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993" w14:paraId="323731CF" w14:textId="77777777">
      <w:pPr>
        <w:jc w:val="center"/>
      </w:pPr>
      <w:r>
        <w:t>189 FERC ¶ 61,034</w:t>
      </w:r>
    </w:p>
    <w:p w:rsidR="002C4A10" w:rsidRPr="00395600" w14:paraId="04DE40B9" w14:textId="009BB24D">
      <w:pPr>
        <w:jc w:val="center"/>
      </w:pPr>
      <w:r>
        <w:t>UNITED STATES OF AMER</w:t>
      </w:r>
      <w:r w:rsidR="00AC4C8C">
        <w:t>I</w:t>
      </w:r>
      <w:r>
        <w:t>CA</w:t>
      </w:r>
    </w:p>
    <w:p w:rsidR="002C4A10" w:rsidRPr="00395600" w14:paraId="5D65B599" w14:textId="77777777">
      <w:pPr>
        <w:jc w:val="center"/>
      </w:pPr>
      <w:r w:rsidRPr="00395600">
        <w:t>FEDERAL ENERGY REGULATORY COMMISSION</w:t>
      </w:r>
    </w:p>
    <w:p w:rsidR="002C4A10" w:rsidRPr="00395600" w14:paraId="21F497DC" w14:textId="77777777">
      <w:pPr>
        <w:jc w:val="center"/>
      </w:pPr>
    </w:p>
    <w:p w:rsidR="002C4A10" w:rsidRPr="00395600" w14:paraId="3F728E44" w14:textId="46716DF9">
      <w:pPr>
        <w:jc w:val="center"/>
      </w:pPr>
      <w:r w:rsidRPr="00395600">
        <w:t xml:space="preserve">18 CFR Part </w:t>
      </w:r>
      <w:r w:rsidR="002A7C5B">
        <w:t>35</w:t>
      </w:r>
    </w:p>
    <w:p w:rsidR="002C4A10" w:rsidRPr="00395600" w14:paraId="28C89B26" w14:textId="77777777">
      <w:pPr>
        <w:jc w:val="center"/>
      </w:pPr>
    </w:p>
    <w:p w:rsidR="002C4A10" w14:paraId="32F4CF7B" w14:textId="411DA7AC">
      <w:pPr>
        <w:jc w:val="center"/>
      </w:pPr>
      <w:r w:rsidRPr="00395600">
        <w:t>[</w:t>
      </w:r>
      <w:r>
        <w:t>Docket No. RM22-2-000</w:t>
      </w:r>
      <w:r w:rsidRPr="00395600">
        <w:t>; Order No.</w:t>
      </w:r>
      <w:r>
        <w:t xml:space="preserve"> </w:t>
      </w:r>
      <w:r w:rsidR="002911D6">
        <w:t>904</w:t>
      </w:r>
      <w:r w:rsidRPr="00395600">
        <w:t>]</w:t>
      </w:r>
    </w:p>
    <w:p w:rsidR="002C4A10" w14:paraId="74C870E1" w14:textId="77777777">
      <w:pPr>
        <w:jc w:val="center"/>
      </w:pPr>
    </w:p>
    <w:p w:rsidR="002C4A10" w14:paraId="489F67B7" w14:textId="77777777">
      <w:pPr>
        <w:jc w:val="center"/>
      </w:pPr>
      <w:r>
        <w:t>Compensation for Reactive Power Within the Standard Power Factor Range</w:t>
      </w:r>
    </w:p>
    <w:p w:rsidR="002C4A10" w14:paraId="265ABA9D" w14:textId="77777777">
      <w:pPr>
        <w:jc w:val="center"/>
      </w:pPr>
    </w:p>
    <w:p w:rsidR="002F5E4A" w:rsidRPr="002F5E4A" w:rsidP="002F5E4A" w14:paraId="232C90E9" w14:textId="7FC007BF">
      <w:pPr>
        <w:widowControl/>
        <w:jc w:val="center"/>
      </w:pPr>
      <w:r w:rsidRPr="002F5E4A">
        <w:t>(Issued October 17, 2024)</w:t>
      </w:r>
    </w:p>
    <w:p w:rsidR="002C4A10" w:rsidRPr="00395600" w14:paraId="01B5D86E" w14:textId="77777777">
      <w:pPr>
        <w:jc w:val="center"/>
      </w:pPr>
    </w:p>
    <w:p w:rsidR="002C4A10" w:rsidRPr="00395600" w14:paraId="383C9AB3" w14:textId="77777777"/>
    <w:p w:rsidR="002C4A10" w:rsidRPr="00395600" w14:paraId="08079B5A" w14:textId="5108B455">
      <w:pPr>
        <w:spacing w:after="260"/>
      </w:pPr>
      <w:r w:rsidRPr="00AD5134">
        <w:rPr>
          <w:b/>
          <w:bCs/>
        </w:rPr>
        <w:t>AGENCY</w:t>
      </w:r>
      <w:r w:rsidRPr="00395600">
        <w:t>:  Federal Energy Regulatory Commission.</w:t>
      </w:r>
    </w:p>
    <w:p w:rsidR="002C4A10" w:rsidRPr="00395600" w14:paraId="26DF7967" w14:textId="77777777">
      <w:pPr>
        <w:spacing w:after="260"/>
      </w:pPr>
      <w:r w:rsidRPr="00AD5134">
        <w:rPr>
          <w:b/>
          <w:bCs/>
        </w:rPr>
        <w:t>ACTION</w:t>
      </w:r>
      <w:r w:rsidRPr="00395600">
        <w:t xml:space="preserve">:  Final </w:t>
      </w:r>
      <w:r>
        <w:t>r</w:t>
      </w:r>
      <w:r w:rsidRPr="00395600">
        <w:t>ule</w:t>
      </w:r>
    </w:p>
    <w:p w:rsidR="00C06D76" w14:paraId="7F9DE410" w14:textId="2503F0ED">
      <w:pPr>
        <w:spacing w:line="480" w:lineRule="auto"/>
      </w:pPr>
      <w:r w:rsidRPr="00AD5134">
        <w:rPr>
          <w:b/>
          <w:bCs/>
        </w:rPr>
        <w:t>SUMMARY</w:t>
      </w:r>
      <w:r w:rsidRPr="00395600">
        <w:t xml:space="preserve">:  </w:t>
      </w:r>
      <w:r w:rsidR="003C23B6">
        <w:t xml:space="preserve">In this </w:t>
      </w:r>
      <w:r w:rsidR="00126E54">
        <w:t>final rule</w:t>
      </w:r>
      <w:r w:rsidR="003C23B6">
        <w:t>, the Federal Energy Regulatory Commission (Commission)</w:t>
      </w:r>
      <w:r w:rsidR="008602BD">
        <w:t xml:space="preserve"> </w:t>
      </w:r>
      <w:r w:rsidR="000E6850">
        <w:t xml:space="preserve">finds that </w:t>
      </w:r>
      <w:r w:rsidR="0056002A">
        <w:t xml:space="preserve">allowing transmission providers to </w:t>
      </w:r>
      <w:r w:rsidR="002863AA">
        <w:t>charge transmission customer</w:t>
      </w:r>
      <w:r w:rsidR="00DB2D59">
        <w:t xml:space="preserve">s </w:t>
      </w:r>
      <w:r w:rsidR="00C84867">
        <w:t xml:space="preserve">for </w:t>
      </w:r>
      <w:r w:rsidR="00F46257">
        <w:t xml:space="preserve">a generating facility’s provision of </w:t>
      </w:r>
      <w:r w:rsidR="001D5432">
        <w:t xml:space="preserve">reactive power </w:t>
      </w:r>
      <w:r w:rsidRPr="005975CF" w:rsidR="00C84867">
        <w:t>within the standard power factor range</w:t>
      </w:r>
      <w:r w:rsidR="00C84867">
        <w:t xml:space="preserve"> is unjust and unreasonable</w:t>
      </w:r>
      <w:r w:rsidRPr="005975CF" w:rsidR="00C84867">
        <w:t>.</w:t>
      </w:r>
      <w:r w:rsidR="00C84867">
        <w:t xml:space="preserve">  The Commission</w:t>
      </w:r>
      <w:r w:rsidR="00726ACA">
        <w:t>,</w:t>
      </w:r>
      <w:r w:rsidR="00C84867">
        <w:t xml:space="preserve"> </w:t>
      </w:r>
      <w:r w:rsidR="00761A5C">
        <w:t>therefore</w:t>
      </w:r>
      <w:r w:rsidR="00726ACA">
        <w:t>,</w:t>
      </w:r>
      <w:r w:rsidR="001D5432">
        <w:t xml:space="preserve"> </w:t>
      </w:r>
      <w:r w:rsidR="00A4400A">
        <w:t>is</w:t>
      </w:r>
      <w:r w:rsidR="00A123C5">
        <w:t xml:space="preserve"> </w:t>
      </w:r>
      <w:r w:rsidRPr="00C06D76" w:rsidR="00692D33">
        <w:t>revising</w:t>
      </w:r>
      <w:r w:rsidR="005975CF">
        <w:t xml:space="preserve"> </w:t>
      </w:r>
      <w:r w:rsidRPr="005975CF" w:rsidR="005975CF">
        <w:t xml:space="preserve">Schedule 2 of its </w:t>
      </w:r>
      <w:r w:rsidRPr="005975CF" w:rsidR="005975CF">
        <w:rPr>
          <w:i/>
          <w:iCs/>
        </w:rPr>
        <w:t>pro forma</w:t>
      </w:r>
      <w:r w:rsidRPr="005975CF" w:rsidR="005975CF">
        <w:t xml:space="preserve"> open-access transmission tariff (OATT), section 9.6.3 of its </w:t>
      </w:r>
      <w:r w:rsidRPr="005975CF" w:rsidR="005975CF">
        <w:rPr>
          <w:i/>
          <w:iCs/>
        </w:rPr>
        <w:t>pro forma</w:t>
      </w:r>
      <w:r w:rsidRPr="005975CF" w:rsidR="005975CF">
        <w:t xml:space="preserve"> large generator interconnection agreement (LGIA), and section 1.8.2 of its </w:t>
      </w:r>
      <w:r w:rsidR="005C0257">
        <w:t xml:space="preserve">   </w:t>
      </w:r>
      <w:r w:rsidRPr="005975CF" w:rsidR="005975CF">
        <w:rPr>
          <w:i/>
          <w:iCs/>
        </w:rPr>
        <w:t>pro forma</w:t>
      </w:r>
      <w:r w:rsidRPr="005975CF" w:rsidR="005975CF">
        <w:t xml:space="preserve"> small generator interconnection agreement (SGIA) to prohibit the inclusion in transmission rates </w:t>
      </w:r>
      <w:r w:rsidR="005975CF">
        <w:t xml:space="preserve">of </w:t>
      </w:r>
      <w:r w:rsidR="00882CEA">
        <w:t>any</w:t>
      </w:r>
      <w:r w:rsidRPr="005975CF" w:rsidR="005975CF">
        <w:t xml:space="preserve"> charges related to the provision of reactive power within the standard power factor range</w:t>
      </w:r>
      <w:r w:rsidR="00F64195">
        <w:t xml:space="preserve"> </w:t>
      </w:r>
      <w:r w:rsidRPr="005975CF" w:rsidR="005975CF">
        <w:t>by generating facilities.</w:t>
      </w:r>
      <w:r w:rsidR="00427FCD">
        <w:t xml:space="preserve">  </w:t>
      </w:r>
    </w:p>
    <w:p w:rsidR="002C4A10" w:rsidRPr="00395600" w14:paraId="6ED908D6" w14:textId="233E89AB">
      <w:pPr>
        <w:spacing w:line="480" w:lineRule="auto"/>
      </w:pPr>
      <w:r w:rsidRPr="00591753">
        <w:rPr>
          <w:b/>
          <w:bCs/>
        </w:rPr>
        <w:t>DATE</w:t>
      </w:r>
      <w:r>
        <w:rPr>
          <w:b/>
          <w:bCs/>
        </w:rPr>
        <w:t>S</w:t>
      </w:r>
      <w:r w:rsidRPr="00395600">
        <w:t xml:space="preserve">: </w:t>
      </w:r>
      <w:r w:rsidR="005C0257">
        <w:t xml:space="preserve"> </w:t>
      </w:r>
      <w:r w:rsidRPr="00395600">
        <w:t xml:space="preserve">This rule </w:t>
      </w:r>
      <w:r>
        <w:t xml:space="preserve">is </w:t>
      </w:r>
      <w:r w:rsidRPr="00395600">
        <w:t>effective</w:t>
      </w:r>
      <w:r>
        <w:t xml:space="preserve"> </w:t>
      </w:r>
      <w:r w:rsidRPr="00A440F4">
        <w:rPr>
          <w:b/>
        </w:rPr>
        <w:t xml:space="preserve">[INSERT DATE </w:t>
      </w:r>
      <w:r w:rsidR="00CE680E">
        <w:rPr>
          <w:b/>
        </w:rPr>
        <w:t xml:space="preserve">60 </w:t>
      </w:r>
      <w:r w:rsidRPr="00591753">
        <w:rPr>
          <w:b/>
          <w:bCs/>
        </w:rPr>
        <w:t>DAYS</w:t>
      </w:r>
      <w:r>
        <w:rPr>
          <w:b/>
          <w:bCs/>
        </w:rPr>
        <w:t xml:space="preserve"> </w:t>
      </w:r>
      <w:r w:rsidRPr="00A440F4">
        <w:rPr>
          <w:b/>
        </w:rPr>
        <w:t>AFTER DATE OF PUBLICATION IN THE FEDERAL REGISTER]</w:t>
      </w:r>
    </w:p>
    <w:p w:rsidR="002C4A10" w:rsidP="007445BC" w14:paraId="1734F7D9" w14:textId="77777777">
      <w:pPr>
        <w:pageBreakBefore/>
      </w:pPr>
      <w:r w:rsidRPr="00AD5134">
        <w:rPr>
          <w:b/>
          <w:bCs/>
        </w:rPr>
        <w:t>FOR FURTHER INFORMATION CONTACT</w:t>
      </w:r>
      <w:r w:rsidRPr="00395600">
        <w:t>:</w:t>
      </w:r>
    </w:p>
    <w:p w:rsidR="002C4A10" w:rsidRPr="00395600" w14:paraId="66150E48" w14:textId="77777777"/>
    <w:p w:rsidR="002C4A10" w14:paraId="50D1C0D0" w14:textId="77777777">
      <w:r>
        <w:t>Paul Robinson (Technical Information)</w:t>
      </w:r>
    </w:p>
    <w:p w:rsidR="002C4A10" w14:paraId="19DED18B" w14:textId="77777777">
      <w:r>
        <w:t>Office of Energy Market Regulation</w:t>
      </w:r>
    </w:p>
    <w:p w:rsidR="002C4A10" w14:paraId="14197D24" w14:textId="77777777">
      <w:r>
        <w:t>888 First Street, NE</w:t>
      </w:r>
    </w:p>
    <w:p w:rsidR="002C4A10" w14:paraId="30E29809" w14:textId="661BA5BA">
      <w:r>
        <w:t>Washington, DC</w:t>
      </w:r>
      <w:r w:rsidR="005C0257">
        <w:t xml:space="preserve">  </w:t>
      </w:r>
      <w:r>
        <w:t>20426</w:t>
      </w:r>
    </w:p>
    <w:p w:rsidR="002C4A10" w14:paraId="7FEF4F75" w14:textId="6C4E88C2">
      <w:r>
        <w:t>(202) 502-</w:t>
      </w:r>
      <w:r w:rsidRPr="00E25BA5" w:rsidR="00E25BA5">
        <w:t>8460</w:t>
      </w:r>
    </w:p>
    <w:p w:rsidR="002C4A10" w14:paraId="1AC83291" w14:textId="77777777">
      <w:r w:rsidRPr="002C4A10">
        <w:t>Paul.Robinson@ferc.gov</w:t>
      </w:r>
    </w:p>
    <w:p w:rsidR="002C4A10" w14:paraId="0D48B048" w14:textId="77777777"/>
    <w:p w:rsidR="002C4A10" w14:paraId="4C7B67DA" w14:textId="77777777">
      <w:r>
        <w:t>Jennifer Enos (Legal Information)</w:t>
      </w:r>
    </w:p>
    <w:p w:rsidR="002C4A10" w14:paraId="354BF8CD" w14:textId="77777777">
      <w:r>
        <w:t>Office of the General Counsel</w:t>
      </w:r>
    </w:p>
    <w:p w:rsidR="002C4A10" w:rsidP="002C4A10" w14:paraId="3E94ABD0" w14:textId="77777777">
      <w:r>
        <w:t>888 First Street, NE</w:t>
      </w:r>
    </w:p>
    <w:p w:rsidR="002C4A10" w:rsidP="002C4A10" w14:paraId="68900E25" w14:textId="4DB1CB9A">
      <w:r>
        <w:t xml:space="preserve">Washington, DC </w:t>
      </w:r>
      <w:r w:rsidR="005C0257">
        <w:t xml:space="preserve"> </w:t>
      </w:r>
      <w:r>
        <w:t>20426</w:t>
      </w:r>
    </w:p>
    <w:p w:rsidR="002C4A10" w:rsidP="002C4A10" w14:paraId="797B9B7F" w14:textId="7F2BFF47">
      <w:r>
        <w:t>(202) 502-</w:t>
      </w:r>
      <w:r w:rsidRPr="00356847" w:rsidR="00356847">
        <w:t>6247</w:t>
      </w:r>
    </w:p>
    <w:p w:rsidR="002C4A10" w:rsidP="002C4A10" w14:paraId="16095339" w14:textId="77777777">
      <w:r w:rsidRPr="002C4A10">
        <w:t>Jennifer.Enos@ferc.gov</w:t>
      </w:r>
    </w:p>
    <w:p w:rsidR="002C4A10" w14:paraId="7ECA5D63" w14:textId="77777777"/>
    <w:p w:rsidR="002C4A10" w:rsidRPr="00395600" w14:paraId="346D9B32" w14:textId="77777777">
      <w:pPr>
        <w:sectPr w:rsidSect="007644AC">
          <w:headerReference w:type="even" r:id="rId11"/>
          <w:headerReference w:type="default" r:id="rId12"/>
          <w:headerReference w:type="first" r:id="rId13"/>
          <w:pgSz w:w="12240" w:h="15840"/>
          <w:pgMar w:top="1440" w:right="1440" w:bottom="1440" w:left="1440" w:header="720" w:footer="720" w:gutter="0"/>
          <w:pgNumType w:fmt="lowerRoman" w:start="1"/>
          <w:cols w:space="720"/>
          <w:titlePg/>
          <w:docGrid w:linePitch="360"/>
        </w:sectPr>
      </w:pPr>
      <w:r w:rsidRPr="00AD5134">
        <w:rPr>
          <w:b/>
          <w:bCs/>
        </w:rPr>
        <w:t>SUPPLEMENTARY INFORMATION</w:t>
      </w:r>
      <w:r w:rsidRPr="00395600">
        <w:t>:</w:t>
      </w:r>
    </w:p>
    <w:p w:rsidR="002C4A10" w:rsidRPr="00395600" w14:paraId="6BE7AD4B" w14:textId="29CF2A59">
      <w:pPr>
        <w:jc w:val="center"/>
      </w:pPr>
      <w:r w:rsidRPr="00395600">
        <w:t>UNITED STATES OF AMERICA</w:t>
      </w:r>
    </w:p>
    <w:p w:rsidR="002C4A10" w:rsidRPr="00395600" w14:paraId="31F0182C" w14:textId="77777777">
      <w:pPr>
        <w:jc w:val="center"/>
      </w:pPr>
      <w:r w:rsidRPr="00395600">
        <w:t>FEDERAL ENERGY REGULATORY COMMISSION</w:t>
      </w:r>
    </w:p>
    <w:p w:rsidR="002C4A10" w:rsidRPr="00395600" w14:paraId="6E988C4A"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70"/>
        <w:gridCol w:w="1710"/>
        <w:gridCol w:w="1980"/>
      </w:tblGrid>
      <w:tr w14:paraId="62A46B53" w14:textId="77777777" w:rsidTr="002F5E4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670" w:type="dxa"/>
            <w:shd w:val="clear" w:color="auto" w:fill="auto"/>
          </w:tcPr>
          <w:p w:rsidR="002C4A10" w:rsidRPr="00395600" w14:paraId="6D4AE179" w14:textId="77777777">
            <w:pPr>
              <w:widowControl/>
              <w:autoSpaceDE/>
              <w:autoSpaceDN/>
              <w:adjustRightInd/>
              <w:rPr>
                <w:rFonts w:cstheme="minorBidi"/>
                <w:szCs w:val="22"/>
              </w:rPr>
            </w:pPr>
            <w:r>
              <w:rPr>
                <w:rFonts w:cstheme="minorBidi"/>
                <w:szCs w:val="22"/>
              </w:rPr>
              <w:t>Compensation for Reactive Power Within the Standard Power Factor Range</w:t>
            </w:r>
          </w:p>
        </w:tc>
        <w:tc>
          <w:tcPr>
            <w:tcW w:w="1710" w:type="dxa"/>
            <w:shd w:val="clear" w:color="auto" w:fill="auto"/>
          </w:tcPr>
          <w:p w:rsidR="002C4A10" w:rsidRPr="00395600" w:rsidP="002F5E4A" w14:paraId="6CB8E30E" w14:textId="20331B16">
            <w:pPr>
              <w:widowControl/>
              <w:autoSpaceDE/>
              <w:autoSpaceDN/>
              <w:adjustRightInd/>
              <w:rPr>
                <w:rFonts w:cstheme="minorBidi"/>
                <w:szCs w:val="22"/>
              </w:rPr>
            </w:pPr>
            <w:r>
              <w:rPr>
                <w:rFonts w:cstheme="minorBidi"/>
                <w:szCs w:val="22"/>
              </w:rPr>
              <w:t xml:space="preserve">    </w:t>
            </w:r>
            <w:r>
              <w:rPr>
                <w:rFonts w:cstheme="minorBidi"/>
                <w:szCs w:val="22"/>
              </w:rPr>
              <w:t>Docket No.</w:t>
            </w:r>
            <w:r>
              <w:rPr>
                <w:rFonts w:cstheme="minorBidi"/>
                <w:szCs w:val="22"/>
              </w:rPr>
              <w:t xml:space="preserve"> </w:t>
            </w:r>
          </w:p>
        </w:tc>
        <w:tc>
          <w:tcPr>
            <w:tcW w:w="1980" w:type="dxa"/>
            <w:shd w:val="clear" w:color="auto" w:fill="auto"/>
          </w:tcPr>
          <w:p w:rsidR="002C4A10" w:rsidRPr="00395600" w:rsidP="002F5E4A" w14:paraId="0BEB72EB" w14:textId="77777777">
            <w:pPr>
              <w:widowControl/>
              <w:autoSpaceDE/>
              <w:autoSpaceDN/>
              <w:adjustRightInd/>
              <w:ind w:hanging="105"/>
              <w:rPr>
                <w:rFonts w:cstheme="minorBidi"/>
                <w:szCs w:val="22"/>
              </w:rPr>
            </w:pPr>
            <w:r>
              <w:rPr>
                <w:rFonts w:cstheme="minorBidi"/>
                <w:szCs w:val="22"/>
              </w:rPr>
              <w:t>RM22-2-000</w:t>
            </w:r>
          </w:p>
        </w:tc>
      </w:tr>
    </w:tbl>
    <w:p w:rsidR="002C4A10" w:rsidRPr="00395600" w14:paraId="60EA7773" w14:textId="77777777"/>
    <w:p w:rsidR="002C4A10" w14:paraId="1DF568AC" w14:textId="17FB4D8A">
      <w:pPr>
        <w:jc w:val="center"/>
      </w:pPr>
      <w:r w:rsidRPr="00395600">
        <w:t>ORDER NO.</w:t>
      </w:r>
      <w:r>
        <w:t xml:space="preserve">  </w:t>
      </w:r>
      <w:r w:rsidR="005C0257">
        <w:t>904</w:t>
      </w:r>
      <w:r>
        <w:t xml:space="preserve"> </w:t>
      </w:r>
    </w:p>
    <w:p w:rsidR="002C4A10" w14:paraId="6ABD458E" w14:textId="77777777">
      <w:pPr>
        <w:jc w:val="center"/>
      </w:pPr>
    </w:p>
    <w:p w:rsidR="002C4A10" w14:paraId="77A9A325" w14:textId="01EAEBD5">
      <w:pPr>
        <w:jc w:val="center"/>
      </w:pPr>
      <w:r>
        <w:t>TABLE OF CONTENTS</w:t>
      </w:r>
    </w:p>
    <w:p w:rsidR="00365F29" w:rsidP="005C0257" w14:paraId="2783885B" w14:textId="77777777">
      <w:bookmarkStart w:id="0" w:name="_Start_TOC"/>
      <w:bookmarkEnd w:id="0"/>
    </w:p>
    <w:p w:rsidR="008F5564" w:rsidP="008F5564" w14:paraId="0ADA0712" w14:textId="1A4EFBF5">
      <w:pPr>
        <w:pStyle w:val="myTOC1"/>
        <w:spacing w:before="144"/>
      </w:pPr>
      <w:r>
        <w:t>I. Background</w:t>
      </w:r>
      <w:r>
        <w:tab/>
      </w:r>
      <w:hyperlink w:anchor="_bmk1" w:history="1">
        <w:r>
          <w:rPr>
            <w:rStyle w:val="Hyperlink"/>
            <w:rFonts w:eastAsiaTheme="minorHAnsi"/>
            <w:szCs w:val="22"/>
          </w:rPr>
          <w:t>3.</w:t>
        </w:r>
      </w:hyperlink>
    </w:p>
    <w:p w:rsidR="008F5564" w:rsidP="008F5564" w14:paraId="357E3A49" w14:textId="100C5F3E">
      <w:pPr>
        <w:pStyle w:val="myTOC2"/>
      </w:pPr>
      <w:r>
        <w:t>A. Historical Framework Including Order Nos. 888 and 2003</w:t>
      </w:r>
      <w:r>
        <w:tab/>
      </w:r>
      <w:hyperlink w:anchor="_bmk2" w:history="1">
        <w:r>
          <w:rPr>
            <w:rStyle w:val="Hyperlink"/>
            <w:rFonts w:eastAsiaTheme="minorHAnsi"/>
            <w:szCs w:val="22"/>
          </w:rPr>
          <w:t>3.</w:t>
        </w:r>
      </w:hyperlink>
    </w:p>
    <w:p w:rsidR="008F5564" w:rsidP="008F5564" w14:paraId="7A1BC7AA" w14:textId="5626E5AD">
      <w:pPr>
        <w:pStyle w:val="myTOC2"/>
      </w:pPr>
      <w:r>
        <w:t>B. Notice of Inquiry and Notice of Proposed Rulemaking</w:t>
      </w:r>
      <w:r>
        <w:tab/>
      </w:r>
      <w:hyperlink w:anchor="_bmk3" w:history="1">
        <w:r>
          <w:rPr>
            <w:rStyle w:val="Hyperlink"/>
            <w:rFonts w:eastAsiaTheme="minorHAnsi"/>
            <w:szCs w:val="22"/>
          </w:rPr>
          <w:t>16.</w:t>
        </w:r>
      </w:hyperlink>
    </w:p>
    <w:p w:rsidR="008F5564" w:rsidP="008F5564" w14:paraId="262FD934" w14:textId="6FDD10E0">
      <w:pPr>
        <w:pStyle w:val="myTOC1"/>
        <w:spacing w:before="144"/>
      </w:pPr>
      <w:r>
        <w:t>II. Discussion</w:t>
      </w:r>
      <w:r>
        <w:tab/>
      </w:r>
      <w:hyperlink w:anchor="_bmk4" w:history="1">
        <w:r>
          <w:rPr>
            <w:rStyle w:val="Hyperlink"/>
            <w:rFonts w:eastAsiaTheme="minorHAnsi"/>
            <w:szCs w:val="22"/>
          </w:rPr>
          <w:t>20.</w:t>
        </w:r>
      </w:hyperlink>
    </w:p>
    <w:p w:rsidR="008F5564" w:rsidP="008F5564" w14:paraId="0D5FB6A8" w14:textId="5B463B58">
      <w:pPr>
        <w:pStyle w:val="myTOC2"/>
      </w:pPr>
      <w:r>
        <w:t>A. Need for Reform</w:t>
      </w:r>
      <w:r>
        <w:tab/>
      </w:r>
      <w:hyperlink w:anchor="_bmk5" w:history="1">
        <w:r>
          <w:rPr>
            <w:rStyle w:val="Hyperlink"/>
            <w:rFonts w:eastAsiaTheme="minorHAnsi"/>
            <w:szCs w:val="22"/>
          </w:rPr>
          <w:t>27.</w:t>
        </w:r>
      </w:hyperlink>
    </w:p>
    <w:p w:rsidR="008F5564" w:rsidP="008F5564" w14:paraId="27B5D5C4" w14:textId="5D78E307">
      <w:pPr>
        <w:pStyle w:val="myTOC3"/>
      </w:pPr>
      <w:r>
        <w:t>1. Comments</w:t>
      </w:r>
      <w:r>
        <w:tab/>
      </w:r>
      <w:hyperlink w:anchor="_bmk6" w:history="1">
        <w:r>
          <w:rPr>
            <w:rStyle w:val="Hyperlink"/>
            <w:rFonts w:eastAsiaTheme="minorHAnsi"/>
            <w:szCs w:val="22"/>
          </w:rPr>
          <w:t>29.</w:t>
        </w:r>
      </w:hyperlink>
    </w:p>
    <w:p w:rsidR="008F5564" w:rsidP="008F5564" w14:paraId="77557D77" w14:textId="03178463">
      <w:pPr>
        <w:pStyle w:val="myTOC3"/>
      </w:pPr>
      <w:r>
        <w:t>2. Commission Determination</w:t>
      </w:r>
      <w:r>
        <w:tab/>
      </w:r>
      <w:hyperlink w:anchor="_bmk7" w:history="1">
        <w:r>
          <w:rPr>
            <w:rStyle w:val="Hyperlink"/>
            <w:rFonts w:eastAsiaTheme="minorHAnsi"/>
            <w:szCs w:val="22"/>
          </w:rPr>
          <w:t>49.</w:t>
        </w:r>
      </w:hyperlink>
    </w:p>
    <w:p w:rsidR="008F5564" w:rsidP="008F5564" w14:paraId="2CB66B7A" w14:textId="4D9380EC">
      <w:pPr>
        <w:pStyle w:val="myTOC2"/>
      </w:pPr>
      <w:r>
        <w:t>B. Cost of Producing Reactive Power</w:t>
      </w:r>
      <w:r>
        <w:tab/>
      </w:r>
      <w:hyperlink w:anchor="_bmk8" w:history="1">
        <w:r>
          <w:rPr>
            <w:rStyle w:val="Hyperlink"/>
            <w:rFonts w:eastAsiaTheme="minorHAnsi"/>
            <w:szCs w:val="22"/>
          </w:rPr>
          <w:t>62.</w:t>
        </w:r>
      </w:hyperlink>
    </w:p>
    <w:p w:rsidR="008F5564" w:rsidP="008F5564" w14:paraId="5E746F59" w14:textId="73DB0028">
      <w:pPr>
        <w:pStyle w:val="myTOC3"/>
      </w:pPr>
      <w:r>
        <w:t>1. Comments</w:t>
      </w:r>
      <w:r>
        <w:tab/>
      </w:r>
      <w:hyperlink w:anchor="_bmk9" w:history="1">
        <w:r>
          <w:rPr>
            <w:rStyle w:val="Hyperlink"/>
            <w:rFonts w:eastAsiaTheme="minorHAnsi"/>
            <w:szCs w:val="22"/>
          </w:rPr>
          <w:t>66.</w:t>
        </w:r>
      </w:hyperlink>
    </w:p>
    <w:p w:rsidR="008F5564" w:rsidP="008F5564" w14:paraId="4C1DACC4" w14:textId="6585E8C5">
      <w:pPr>
        <w:pStyle w:val="myTOC3"/>
      </w:pPr>
      <w:r>
        <w:t>2. Commission Determination</w:t>
      </w:r>
      <w:r>
        <w:tab/>
      </w:r>
      <w:hyperlink w:anchor="_bmk10" w:history="1">
        <w:r>
          <w:rPr>
            <w:rStyle w:val="Hyperlink"/>
            <w:rFonts w:eastAsiaTheme="minorHAnsi"/>
            <w:szCs w:val="22"/>
          </w:rPr>
          <w:t>89.</w:t>
        </w:r>
      </w:hyperlink>
    </w:p>
    <w:p w:rsidR="008F5564" w:rsidP="008F5564" w14:paraId="06BE794A" w14:textId="71EB8593">
      <w:pPr>
        <w:pStyle w:val="myTOC2"/>
      </w:pPr>
      <w:r>
        <w:t>C. Cost Recovery</w:t>
      </w:r>
      <w:r>
        <w:tab/>
      </w:r>
      <w:hyperlink w:anchor="_bmk11" w:history="1">
        <w:r>
          <w:rPr>
            <w:rStyle w:val="Hyperlink"/>
            <w:rFonts w:eastAsiaTheme="minorHAnsi"/>
            <w:szCs w:val="22"/>
          </w:rPr>
          <w:t>109.</w:t>
        </w:r>
      </w:hyperlink>
    </w:p>
    <w:p w:rsidR="008F5564" w:rsidP="008F5564" w14:paraId="1A5BF030" w14:textId="365D76FE">
      <w:pPr>
        <w:pStyle w:val="myTOC3"/>
      </w:pPr>
      <w:r>
        <w:t>1. Comments</w:t>
      </w:r>
      <w:r>
        <w:tab/>
      </w:r>
      <w:hyperlink w:anchor="_bmk12" w:history="1">
        <w:r>
          <w:rPr>
            <w:rStyle w:val="Hyperlink"/>
            <w:rFonts w:eastAsiaTheme="minorHAnsi"/>
            <w:szCs w:val="22"/>
          </w:rPr>
          <w:t>113.</w:t>
        </w:r>
      </w:hyperlink>
    </w:p>
    <w:p w:rsidR="008F5564" w:rsidP="008F5564" w14:paraId="00D699A8" w14:textId="4389E0B1">
      <w:pPr>
        <w:pStyle w:val="myTOC3"/>
      </w:pPr>
      <w:r>
        <w:t>2. Commission Determination</w:t>
      </w:r>
      <w:r>
        <w:tab/>
      </w:r>
      <w:hyperlink w:anchor="_bmk13" w:history="1">
        <w:r>
          <w:rPr>
            <w:rStyle w:val="Hyperlink"/>
            <w:rFonts w:eastAsiaTheme="minorHAnsi"/>
            <w:szCs w:val="22"/>
          </w:rPr>
          <w:t>141.</w:t>
        </w:r>
      </w:hyperlink>
    </w:p>
    <w:p w:rsidR="008F5564" w:rsidP="008F5564" w14:paraId="081D0D0A" w14:textId="425DB575">
      <w:pPr>
        <w:pStyle w:val="myTOC2"/>
      </w:pPr>
      <w:r>
        <w:t>D. Reliability</w:t>
      </w:r>
      <w:r>
        <w:tab/>
      </w:r>
      <w:hyperlink w:anchor="_bmk14" w:history="1">
        <w:r>
          <w:rPr>
            <w:rStyle w:val="Hyperlink"/>
            <w:rFonts w:eastAsiaTheme="minorHAnsi"/>
            <w:szCs w:val="22"/>
          </w:rPr>
          <w:t>155.</w:t>
        </w:r>
      </w:hyperlink>
    </w:p>
    <w:p w:rsidR="008F5564" w:rsidP="008F5564" w14:paraId="1E53B820" w14:textId="4C653E55">
      <w:pPr>
        <w:pStyle w:val="myTOC3"/>
      </w:pPr>
      <w:r>
        <w:t>1. Comments</w:t>
      </w:r>
      <w:r>
        <w:tab/>
      </w:r>
      <w:hyperlink w:anchor="_bmk15" w:history="1">
        <w:r>
          <w:rPr>
            <w:rStyle w:val="Hyperlink"/>
            <w:rFonts w:eastAsiaTheme="minorHAnsi"/>
            <w:szCs w:val="22"/>
          </w:rPr>
          <w:t>157.</w:t>
        </w:r>
      </w:hyperlink>
    </w:p>
    <w:p w:rsidR="008F5564" w:rsidP="008F5564" w14:paraId="7F821C91" w14:textId="3A57E366">
      <w:pPr>
        <w:pStyle w:val="myTOC3"/>
      </w:pPr>
      <w:r>
        <w:t>2. Commission Determination</w:t>
      </w:r>
      <w:r>
        <w:tab/>
      </w:r>
      <w:hyperlink w:anchor="_bmk16" w:history="1">
        <w:r>
          <w:rPr>
            <w:rStyle w:val="Hyperlink"/>
            <w:rFonts w:eastAsiaTheme="minorHAnsi"/>
            <w:szCs w:val="22"/>
          </w:rPr>
          <w:t>165.</w:t>
        </w:r>
      </w:hyperlink>
    </w:p>
    <w:p w:rsidR="008F5564" w:rsidP="008F5564" w14:paraId="288DA389" w14:textId="2E28CD97">
      <w:pPr>
        <w:pStyle w:val="myTOC2"/>
      </w:pPr>
      <w:r>
        <w:t>E. Investment</w:t>
      </w:r>
      <w:r>
        <w:tab/>
      </w:r>
      <w:hyperlink w:anchor="_bmk17" w:history="1">
        <w:r>
          <w:rPr>
            <w:rStyle w:val="Hyperlink"/>
            <w:rFonts w:eastAsiaTheme="minorHAnsi"/>
            <w:szCs w:val="22"/>
          </w:rPr>
          <w:t>170.</w:t>
        </w:r>
      </w:hyperlink>
    </w:p>
    <w:p w:rsidR="008F5564" w:rsidP="008F5564" w14:paraId="5B015CA1" w14:textId="0BBC8303">
      <w:pPr>
        <w:pStyle w:val="myTOC3"/>
      </w:pPr>
      <w:r>
        <w:t>1. Comments</w:t>
      </w:r>
      <w:r>
        <w:tab/>
      </w:r>
      <w:hyperlink w:anchor="_bmk18" w:history="1">
        <w:r>
          <w:rPr>
            <w:rStyle w:val="Hyperlink"/>
            <w:rFonts w:eastAsiaTheme="minorHAnsi"/>
            <w:szCs w:val="22"/>
          </w:rPr>
          <w:t>171.</w:t>
        </w:r>
      </w:hyperlink>
    </w:p>
    <w:p w:rsidR="008F5564" w:rsidP="008F5564" w14:paraId="248F2389" w14:textId="0397B1BB">
      <w:pPr>
        <w:pStyle w:val="myTOC3"/>
      </w:pPr>
      <w:r>
        <w:t>2. Commission Determination</w:t>
      </w:r>
      <w:r>
        <w:tab/>
      </w:r>
      <w:hyperlink w:anchor="_bmk19" w:history="1">
        <w:r>
          <w:rPr>
            <w:rStyle w:val="Hyperlink"/>
            <w:rFonts w:eastAsiaTheme="minorHAnsi"/>
            <w:szCs w:val="22"/>
          </w:rPr>
          <w:t>178.</w:t>
        </w:r>
      </w:hyperlink>
    </w:p>
    <w:p w:rsidR="008F5564" w:rsidP="008F5564" w14:paraId="5E34C4B5" w14:textId="6307FD1C">
      <w:pPr>
        <w:pStyle w:val="myTOC2"/>
      </w:pPr>
      <w:r>
        <w:t>F. Additional Comments</w:t>
      </w:r>
      <w:r>
        <w:tab/>
      </w:r>
      <w:hyperlink w:anchor="_bmk20" w:history="1">
        <w:r>
          <w:rPr>
            <w:rStyle w:val="Hyperlink"/>
            <w:rFonts w:eastAsiaTheme="minorHAnsi"/>
            <w:szCs w:val="22"/>
          </w:rPr>
          <w:t>187.</w:t>
        </w:r>
      </w:hyperlink>
    </w:p>
    <w:p w:rsidR="008F5564" w:rsidP="008F5564" w14:paraId="7C94F2F9" w14:textId="6271419F">
      <w:pPr>
        <w:pStyle w:val="myTOC3"/>
      </w:pPr>
      <w:r>
        <w:t>1. Comments</w:t>
      </w:r>
      <w:r>
        <w:tab/>
      </w:r>
      <w:hyperlink w:anchor="_bmk21" w:history="1">
        <w:r>
          <w:rPr>
            <w:rStyle w:val="Hyperlink"/>
            <w:rFonts w:eastAsiaTheme="minorHAnsi"/>
            <w:szCs w:val="22"/>
          </w:rPr>
          <w:t>187.</w:t>
        </w:r>
      </w:hyperlink>
    </w:p>
    <w:p w:rsidR="008F5564" w:rsidP="008F5564" w14:paraId="5E10EF22" w14:textId="53386325">
      <w:pPr>
        <w:pStyle w:val="myTOC3"/>
      </w:pPr>
      <w:r>
        <w:t>2. Commission Determination</w:t>
      </w:r>
      <w:r>
        <w:tab/>
      </w:r>
      <w:hyperlink w:anchor="_bmk22" w:history="1">
        <w:r>
          <w:rPr>
            <w:rStyle w:val="Hyperlink"/>
            <w:rFonts w:eastAsiaTheme="minorHAnsi"/>
            <w:szCs w:val="22"/>
          </w:rPr>
          <w:t>201.</w:t>
        </w:r>
      </w:hyperlink>
    </w:p>
    <w:p w:rsidR="008F5564" w:rsidP="008F5564" w14:paraId="0877BC01" w14:textId="052059CB">
      <w:pPr>
        <w:pStyle w:val="myTOC1"/>
        <w:spacing w:before="144"/>
      </w:pPr>
      <w:r>
        <w:t>III. Compliance Procedures</w:t>
      </w:r>
      <w:r>
        <w:tab/>
      </w:r>
      <w:hyperlink w:anchor="_bmk23" w:history="1">
        <w:r>
          <w:rPr>
            <w:rStyle w:val="Hyperlink"/>
            <w:rFonts w:eastAsiaTheme="minorHAnsi"/>
            <w:szCs w:val="22"/>
          </w:rPr>
          <w:t>202.</w:t>
        </w:r>
      </w:hyperlink>
    </w:p>
    <w:p w:rsidR="008F5564" w:rsidP="008F5564" w14:paraId="1751CF5F" w14:textId="2DFED131">
      <w:pPr>
        <w:pStyle w:val="myTOC2"/>
      </w:pPr>
      <w:r>
        <w:t>A. Revisions to Eliminate Compensation for Reactive Power Supply Within the Standard Power Factor Range</w:t>
      </w:r>
      <w:r>
        <w:tab/>
      </w:r>
      <w:hyperlink w:anchor="_bmk24" w:history="1">
        <w:r>
          <w:rPr>
            <w:rStyle w:val="Hyperlink"/>
            <w:rFonts w:eastAsiaTheme="minorHAnsi"/>
            <w:szCs w:val="22"/>
          </w:rPr>
          <w:t>202.</w:t>
        </w:r>
      </w:hyperlink>
    </w:p>
    <w:p w:rsidR="008F5564" w:rsidRPr="00C06B6B" w:rsidP="008F5564" w14:paraId="47326075" w14:textId="1CDB4E5B">
      <w:pPr>
        <w:pStyle w:val="myTOC3"/>
      </w:pPr>
      <w:r>
        <w:t>1.</w:t>
      </w:r>
      <w:r w:rsidRPr="00664193">
        <w:t xml:space="preserve"> </w:t>
      </w:r>
      <w:r w:rsidRPr="00C06B6B">
        <w:t xml:space="preserve">Revise Schedule 2 of the Commission’s </w:t>
      </w:r>
      <w:r w:rsidRPr="00C06B6B">
        <w:rPr>
          <w:i/>
          <w:iCs/>
        </w:rPr>
        <w:t>Pro F</w:t>
      </w:r>
      <w:r w:rsidRPr="00C06B6B">
        <w:rPr>
          <w:i/>
        </w:rPr>
        <w:t>orma</w:t>
      </w:r>
      <w:r w:rsidRPr="00C06B6B">
        <w:t xml:space="preserve"> OATT</w:t>
      </w:r>
      <w:r w:rsidRPr="00C06B6B">
        <w:tab/>
      </w:r>
      <w:hyperlink w:anchor="_bmk25" w:history="1">
        <w:r w:rsidRPr="00C06B6B">
          <w:rPr>
            <w:rStyle w:val="Hyperlink"/>
            <w:rFonts w:eastAsiaTheme="minorHAnsi"/>
            <w:szCs w:val="22"/>
            <w:u w:val="none"/>
          </w:rPr>
          <w:t>203.</w:t>
        </w:r>
      </w:hyperlink>
    </w:p>
    <w:p w:rsidR="008F5564" w:rsidRPr="00C06B6B" w:rsidP="008F5564" w14:paraId="137A1746" w14:textId="227E6FF0">
      <w:pPr>
        <w:pStyle w:val="myTOC3"/>
      </w:pPr>
      <w:r w:rsidRPr="00664193">
        <w:t xml:space="preserve">2. </w:t>
      </w:r>
      <w:r w:rsidRPr="00C06B6B">
        <w:t xml:space="preserve">Revise Section 9.6.3 of the </w:t>
      </w:r>
      <w:r w:rsidRPr="00C06B6B">
        <w:rPr>
          <w:i/>
          <w:iCs/>
        </w:rPr>
        <w:t>Pro Forma</w:t>
      </w:r>
      <w:r w:rsidRPr="00C06B6B">
        <w:t xml:space="preserve"> Large Generator Interconnection Agreement</w:t>
      </w:r>
      <w:r w:rsidRPr="00C06B6B">
        <w:tab/>
      </w:r>
      <w:hyperlink w:anchor="_bmk26" w:history="1">
        <w:r w:rsidRPr="00C06B6B">
          <w:rPr>
            <w:rStyle w:val="Hyperlink"/>
            <w:rFonts w:eastAsiaTheme="minorHAnsi"/>
            <w:szCs w:val="22"/>
            <w:u w:val="none"/>
          </w:rPr>
          <w:t>204.</w:t>
        </w:r>
      </w:hyperlink>
    </w:p>
    <w:p w:rsidR="008F5564" w:rsidRPr="00C06B6B" w:rsidP="008F5564" w14:paraId="707F548D" w14:textId="78167D13">
      <w:pPr>
        <w:pStyle w:val="myTOC3"/>
      </w:pPr>
      <w:r w:rsidRPr="00664193">
        <w:t xml:space="preserve">3. </w:t>
      </w:r>
      <w:r w:rsidRPr="00C06B6B">
        <w:t xml:space="preserve">Revise Section 1.8.2 of the </w:t>
      </w:r>
      <w:r w:rsidRPr="00C06B6B">
        <w:rPr>
          <w:i/>
          <w:iCs/>
        </w:rPr>
        <w:t>Pro Forma</w:t>
      </w:r>
      <w:r w:rsidRPr="00C06B6B">
        <w:t xml:space="preserve"> Small Generator Interconnection Agreement</w:t>
      </w:r>
      <w:r w:rsidRPr="00C06B6B">
        <w:tab/>
      </w:r>
      <w:hyperlink w:anchor="_bmk27" w:history="1">
        <w:r w:rsidRPr="00C06B6B">
          <w:rPr>
            <w:rStyle w:val="Hyperlink"/>
            <w:rFonts w:eastAsiaTheme="minorHAnsi"/>
            <w:szCs w:val="22"/>
            <w:u w:val="none"/>
          </w:rPr>
          <w:t>205.</w:t>
        </w:r>
      </w:hyperlink>
    </w:p>
    <w:p w:rsidR="008F5564" w:rsidP="008F5564" w14:paraId="0C68F54E" w14:textId="710B16C7">
      <w:pPr>
        <w:pStyle w:val="myTOC3"/>
      </w:pPr>
      <w:r>
        <w:t>4. Compliance Procedures</w:t>
      </w:r>
      <w:r>
        <w:tab/>
      </w:r>
      <w:hyperlink w:anchor="_bmk28" w:history="1">
        <w:r>
          <w:rPr>
            <w:rStyle w:val="Hyperlink"/>
            <w:rFonts w:eastAsiaTheme="minorHAnsi"/>
            <w:szCs w:val="22"/>
          </w:rPr>
          <w:t>206.</w:t>
        </w:r>
      </w:hyperlink>
    </w:p>
    <w:p w:rsidR="008F5564" w:rsidP="008F5564" w14:paraId="2A40D40B" w14:textId="2D11E93C">
      <w:pPr>
        <w:pStyle w:val="myTOC2"/>
      </w:pPr>
      <w:r>
        <w:t>B. Transition Period</w:t>
      </w:r>
      <w:r>
        <w:tab/>
      </w:r>
      <w:hyperlink w:anchor="_bmk29" w:history="1">
        <w:r>
          <w:rPr>
            <w:rStyle w:val="Hyperlink"/>
            <w:rFonts w:eastAsiaTheme="minorHAnsi"/>
            <w:szCs w:val="22"/>
          </w:rPr>
          <w:t>207.</w:t>
        </w:r>
      </w:hyperlink>
    </w:p>
    <w:p w:rsidR="008F5564" w:rsidP="008F5564" w14:paraId="7BDA6086" w14:textId="239A64CF">
      <w:pPr>
        <w:pStyle w:val="myTOC3"/>
      </w:pPr>
      <w:r>
        <w:t>1. Comments</w:t>
      </w:r>
      <w:r>
        <w:tab/>
      </w:r>
      <w:hyperlink w:anchor="_bmk30" w:history="1">
        <w:r>
          <w:rPr>
            <w:rStyle w:val="Hyperlink"/>
            <w:rFonts w:eastAsiaTheme="minorHAnsi"/>
            <w:szCs w:val="22"/>
          </w:rPr>
          <w:t>210.</w:t>
        </w:r>
      </w:hyperlink>
    </w:p>
    <w:p w:rsidR="008F5564" w:rsidP="008F5564" w14:paraId="6C536AD8" w14:textId="08CBBC51">
      <w:pPr>
        <w:pStyle w:val="myTOC3"/>
      </w:pPr>
      <w:r>
        <w:t>2. Commission Determination</w:t>
      </w:r>
      <w:r>
        <w:tab/>
      </w:r>
      <w:hyperlink w:anchor="_bmk31" w:history="1">
        <w:r>
          <w:rPr>
            <w:rStyle w:val="Hyperlink"/>
            <w:rFonts w:eastAsiaTheme="minorHAnsi"/>
            <w:szCs w:val="22"/>
          </w:rPr>
          <w:t>224.</w:t>
        </w:r>
      </w:hyperlink>
    </w:p>
    <w:p w:rsidR="008F5564" w:rsidP="008F5564" w14:paraId="20E7422C" w14:textId="3A933462">
      <w:pPr>
        <w:pStyle w:val="myTOC1"/>
        <w:spacing w:before="144"/>
      </w:pPr>
      <w:r>
        <w:t>IV. Information Collection Statement</w:t>
      </w:r>
      <w:r>
        <w:tab/>
      </w:r>
      <w:hyperlink w:anchor="_bmk32" w:history="1">
        <w:r>
          <w:rPr>
            <w:rStyle w:val="Hyperlink"/>
            <w:rFonts w:eastAsiaTheme="minorHAnsi"/>
            <w:szCs w:val="22"/>
          </w:rPr>
          <w:t>228.</w:t>
        </w:r>
      </w:hyperlink>
    </w:p>
    <w:p w:rsidR="008F5564" w:rsidP="008F5564" w14:paraId="5D273AE9" w14:textId="7DCEC35D">
      <w:pPr>
        <w:pStyle w:val="myTOC1"/>
        <w:spacing w:before="144"/>
      </w:pPr>
      <w:r>
        <w:t>V. Environmental Analysis</w:t>
      </w:r>
      <w:r>
        <w:tab/>
      </w:r>
      <w:hyperlink w:anchor="_bmk33" w:history="1">
        <w:r>
          <w:rPr>
            <w:rStyle w:val="Hyperlink"/>
            <w:rFonts w:eastAsiaTheme="minorHAnsi"/>
            <w:szCs w:val="22"/>
          </w:rPr>
          <w:t>242.</w:t>
        </w:r>
      </w:hyperlink>
    </w:p>
    <w:p w:rsidR="008F5564" w:rsidP="008F5564" w14:paraId="4D7B713F" w14:textId="5B56C597">
      <w:pPr>
        <w:pStyle w:val="myTOC1"/>
        <w:spacing w:before="144"/>
      </w:pPr>
      <w:r>
        <w:t>VI. Regulatory Flexibility Act</w:t>
      </w:r>
      <w:r>
        <w:tab/>
      </w:r>
      <w:hyperlink w:anchor="_bmk34" w:history="1">
        <w:r>
          <w:rPr>
            <w:rStyle w:val="Hyperlink"/>
            <w:rFonts w:eastAsiaTheme="minorHAnsi"/>
            <w:szCs w:val="22"/>
          </w:rPr>
          <w:t>243.</w:t>
        </w:r>
      </w:hyperlink>
    </w:p>
    <w:p w:rsidR="008F5564" w:rsidP="008F5564" w14:paraId="23B2AAD5" w14:textId="7EDD9304">
      <w:pPr>
        <w:pStyle w:val="myTOC1"/>
        <w:spacing w:before="144"/>
      </w:pPr>
      <w:r>
        <w:t>VII. Document Availability</w:t>
      </w:r>
      <w:r>
        <w:tab/>
      </w:r>
      <w:hyperlink w:anchor="_bmk35" w:history="1">
        <w:r>
          <w:rPr>
            <w:rStyle w:val="Hyperlink"/>
            <w:rFonts w:eastAsiaTheme="minorHAnsi"/>
            <w:szCs w:val="22"/>
          </w:rPr>
          <w:t>247.</w:t>
        </w:r>
      </w:hyperlink>
    </w:p>
    <w:p w:rsidR="008F5564" w:rsidRPr="008F5564" w:rsidP="008F5564" w14:paraId="51815A61" w14:textId="5448C7D0">
      <w:pPr>
        <w:pStyle w:val="myTOC1"/>
        <w:spacing w:before="144"/>
      </w:pPr>
      <w:r>
        <w:t>VIII. Effective Date and Congressional Notification</w:t>
      </w:r>
      <w:r>
        <w:tab/>
      </w:r>
      <w:hyperlink w:anchor="_bmk36" w:history="1">
        <w:r>
          <w:rPr>
            <w:rStyle w:val="Hyperlink"/>
            <w:rFonts w:eastAsiaTheme="minorHAnsi"/>
            <w:szCs w:val="22"/>
          </w:rPr>
          <w:t>250.</w:t>
        </w:r>
      </w:hyperlink>
    </w:p>
    <w:p w:rsidR="009E1308" w14:paraId="17799E53" w14:textId="77777777">
      <w:pPr>
        <w:widowControl/>
        <w:spacing w:after="160" w:line="259" w:lineRule="auto"/>
      </w:pPr>
      <w:r>
        <w:br w:type="page"/>
      </w:r>
    </w:p>
    <w:p w:rsidR="005C0257" w:rsidP="009E1308" w14:paraId="7AB3D81B" w14:textId="5F505D69">
      <w:pPr>
        <w:jc w:val="center"/>
      </w:pPr>
      <w:r>
        <w:t xml:space="preserve">189 FERC </w:t>
      </w:r>
      <w:r>
        <w:rPr>
          <w:rFonts w:ascii="Calibri" w:hAnsi="Calibri" w:cs="Calibri"/>
        </w:rPr>
        <w:t>¶</w:t>
      </w:r>
      <w:r>
        <w:t xml:space="preserve"> 61,034</w:t>
      </w:r>
    </w:p>
    <w:p w:rsidR="009E1308" w:rsidRPr="00395600" w:rsidP="009E1308" w14:paraId="1F56D81B" w14:textId="12665411">
      <w:pPr>
        <w:jc w:val="center"/>
      </w:pPr>
      <w:r w:rsidRPr="00395600">
        <w:t>UNITED STATES OF AMERICA</w:t>
      </w:r>
    </w:p>
    <w:p w:rsidR="009E1308" w:rsidRPr="00395600" w:rsidP="009E1308" w14:paraId="61AD3C9A" w14:textId="77777777">
      <w:pPr>
        <w:jc w:val="center"/>
      </w:pPr>
      <w:r w:rsidRPr="00395600">
        <w:t>FEDERAL ENERGY REGULATORY COMMISSION</w:t>
      </w:r>
    </w:p>
    <w:p w:rsidR="009E1308" w:rsidRPr="00395600" w:rsidP="009E1308" w14:paraId="4DFAD402" w14:textId="77777777"/>
    <w:p w:rsidR="009E1308" w:rsidRPr="005C0257" w:rsidP="005C0257" w14:paraId="2AA4386E" w14:textId="326AE00F">
      <w:pPr>
        <w:widowControl/>
      </w:pPr>
      <w:r w:rsidRPr="005C0257">
        <w:t>Before Commissioners:  Willie L. Phillips, Chairman;</w:t>
      </w:r>
    </w:p>
    <w:p w:rsidR="005C0257" w:rsidRPr="005C0257" w:rsidP="005C0257" w14:paraId="48D371BB" w14:textId="72BEE307">
      <w:pPr>
        <w:widowControl/>
      </w:pPr>
      <w:r w:rsidRPr="005C0257">
        <w:t xml:space="preserve">                                        Mark C. Christie, David Rosner, </w:t>
      </w:r>
    </w:p>
    <w:p w:rsidR="005C0257" w:rsidRPr="00395600" w:rsidP="005C0257" w14:paraId="6882DC8C" w14:textId="5F57CACB">
      <w:pPr>
        <w:widowControl/>
      </w:pPr>
      <w:r w:rsidRPr="005C0257">
        <w:t xml:space="preserve">                                        </w:t>
      </w:r>
      <w:r>
        <w:t xml:space="preserve">and </w:t>
      </w:r>
      <w:r w:rsidRPr="005C0257">
        <w:t>Lindsay S. See.</w:t>
      </w:r>
    </w:p>
    <w:p w:rsidR="009E1308" w:rsidRPr="00395600" w:rsidP="009E1308" w14:paraId="7915966B"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120"/>
        <w:gridCol w:w="1530"/>
        <w:gridCol w:w="1710"/>
      </w:tblGrid>
      <w:tr w14:paraId="02318286" w14:textId="77777777" w:rsidTr="005C025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120" w:type="dxa"/>
            <w:shd w:val="clear" w:color="auto" w:fill="auto"/>
          </w:tcPr>
          <w:p w:rsidR="009E1308" w:rsidRPr="00395600" w14:paraId="4C388B7E" w14:textId="77777777">
            <w:pPr>
              <w:widowControl/>
              <w:autoSpaceDE/>
              <w:autoSpaceDN/>
              <w:adjustRightInd/>
              <w:rPr>
                <w:rFonts w:cstheme="minorBidi"/>
                <w:szCs w:val="22"/>
              </w:rPr>
            </w:pPr>
            <w:r>
              <w:rPr>
                <w:rFonts w:cstheme="minorBidi"/>
                <w:szCs w:val="22"/>
              </w:rPr>
              <w:t>Compensation for Reactive Power Within the Standard Power Factor Range</w:t>
            </w:r>
          </w:p>
        </w:tc>
        <w:tc>
          <w:tcPr>
            <w:tcW w:w="1530" w:type="dxa"/>
            <w:shd w:val="clear" w:color="auto" w:fill="auto"/>
          </w:tcPr>
          <w:p w:rsidR="009E1308" w:rsidRPr="00395600" w14:paraId="304C4E18" w14:textId="75CA8685">
            <w:pPr>
              <w:widowControl/>
              <w:autoSpaceDE/>
              <w:autoSpaceDN/>
              <w:adjustRightInd/>
              <w:rPr>
                <w:rFonts w:cstheme="minorBidi"/>
                <w:szCs w:val="22"/>
              </w:rPr>
            </w:pPr>
            <w:r>
              <w:rPr>
                <w:rFonts w:cstheme="minorBidi"/>
                <w:szCs w:val="22"/>
              </w:rPr>
              <w:t xml:space="preserve"> </w:t>
            </w:r>
            <w:r>
              <w:rPr>
                <w:rFonts w:cstheme="minorBidi"/>
                <w:szCs w:val="22"/>
              </w:rPr>
              <w:t>Docket No.</w:t>
            </w:r>
          </w:p>
        </w:tc>
        <w:tc>
          <w:tcPr>
            <w:tcW w:w="1710" w:type="dxa"/>
            <w:shd w:val="clear" w:color="auto" w:fill="auto"/>
          </w:tcPr>
          <w:p w:rsidR="009E1308" w:rsidRPr="00395600" w:rsidP="005C0257" w14:paraId="7A5CC914" w14:textId="77777777">
            <w:pPr>
              <w:widowControl/>
              <w:autoSpaceDE/>
              <w:autoSpaceDN/>
              <w:adjustRightInd/>
              <w:ind w:hanging="105"/>
              <w:rPr>
                <w:rFonts w:cstheme="minorBidi"/>
                <w:szCs w:val="22"/>
              </w:rPr>
            </w:pPr>
            <w:r>
              <w:rPr>
                <w:rFonts w:cstheme="minorBidi"/>
                <w:szCs w:val="22"/>
              </w:rPr>
              <w:t>RM22-2-000</w:t>
            </w:r>
          </w:p>
        </w:tc>
      </w:tr>
    </w:tbl>
    <w:p w:rsidR="009E1308" w:rsidRPr="00395600" w:rsidP="009E1308" w14:paraId="4FA2EFAF" w14:textId="77777777"/>
    <w:p w:rsidR="009E1308" w:rsidP="009E1308" w14:paraId="38D1E1EB" w14:textId="05F86BD5">
      <w:pPr>
        <w:jc w:val="center"/>
      </w:pPr>
      <w:r w:rsidRPr="00395600">
        <w:t>ORDER NO.</w:t>
      </w:r>
      <w:r>
        <w:t xml:space="preserve">  </w:t>
      </w:r>
      <w:r w:rsidR="007445BC">
        <w:t>904</w:t>
      </w:r>
      <w:r>
        <w:t xml:space="preserve"> </w:t>
      </w:r>
    </w:p>
    <w:p w:rsidR="009E1308" w:rsidP="009E1308" w14:paraId="66D4C9F0" w14:textId="77777777">
      <w:pPr>
        <w:jc w:val="center"/>
      </w:pPr>
    </w:p>
    <w:p w:rsidR="009E1308" w:rsidP="009E1308" w14:paraId="0C53E6AA" w14:textId="77777777">
      <w:pPr>
        <w:jc w:val="center"/>
      </w:pPr>
      <w:r w:rsidRPr="00395600">
        <w:t>FINAL RULE</w:t>
      </w:r>
    </w:p>
    <w:p w:rsidR="00CF7AF5" w:rsidP="009E1308" w14:paraId="0A214765" w14:textId="77777777">
      <w:pPr>
        <w:jc w:val="center"/>
      </w:pPr>
    </w:p>
    <w:p w:rsidR="005C0257" w:rsidRPr="005C0257" w:rsidP="005C0257" w14:paraId="16794766" w14:textId="45B4E32E">
      <w:pPr>
        <w:widowControl/>
        <w:jc w:val="center"/>
      </w:pPr>
      <w:r w:rsidRPr="005C0257">
        <w:t>(Issued October 17, 2024)</w:t>
      </w:r>
    </w:p>
    <w:p w:rsidR="002C4A10" w14:paraId="1DE6CE78" w14:textId="77777777">
      <w:pPr>
        <w:tabs>
          <w:tab w:val="right" w:pos="9360"/>
        </w:tabs>
      </w:pPr>
    </w:p>
    <w:p w:rsidR="002C4A10" w:rsidRPr="00395600" w14:paraId="65A16B02" w14:textId="77777777"/>
    <w:p w:rsidR="0083120E" w:rsidP="00893F5F" w14:paraId="4F780A7C" w14:textId="62899629">
      <w:pPr>
        <w:pStyle w:val="FERCparanumber"/>
        <w:tabs>
          <w:tab w:val="clear" w:pos="720"/>
        </w:tabs>
      </w:pPr>
      <w:bookmarkStart w:id="1" w:name="_Ref177729796"/>
      <w:r>
        <w:t>In t</w:t>
      </w:r>
      <w:r w:rsidR="001B0DB5">
        <w:t>h</w:t>
      </w:r>
      <w:r w:rsidR="001B0DB5">
        <w:t>is</w:t>
      </w:r>
      <w:r w:rsidR="00ED3F0C">
        <w:t xml:space="preserve"> </w:t>
      </w:r>
      <w:r w:rsidR="00126E54">
        <w:t>final rule</w:t>
      </w:r>
      <w:r>
        <w:t xml:space="preserve">, </w:t>
      </w:r>
      <w:r w:rsidR="00DF5455">
        <w:t>pursuant to section 206 of the Federal Power Act</w:t>
      </w:r>
      <w:r w:rsidR="008254E7">
        <w:t xml:space="preserve"> (FPA)</w:t>
      </w:r>
      <w:r w:rsidR="00DF5455">
        <w:t xml:space="preserve">, </w:t>
      </w:r>
      <w:r>
        <w:t>the Federal Energy Regulato</w:t>
      </w:r>
      <w:r w:rsidR="00031F7D">
        <w:t>ry Commission</w:t>
      </w:r>
      <w:r w:rsidR="00AA7F82">
        <w:t xml:space="preserve"> </w:t>
      </w:r>
      <w:r w:rsidR="00FF440B">
        <w:t xml:space="preserve">finds that allowing </w:t>
      </w:r>
      <w:r w:rsidR="000A4BAE">
        <w:t xml:space="preserve">public utility </w:t>
      </w:r>
      <w:r w:rsidR="00FF440B">
        <w:t xml:space="preserve">transmission providers </w:t>
      </w:r>
      <w:r w:rsidR="000A4BAE">
        <w:t>(transmission providers)</w:t>
      </w:r>
      <w:r>
        <w:rPr>
          <w:rStyle w:val="FootnoteReference"/>
        </w:rPr>
        <w:footnoteReference w:id="3"/>
      </w:r>
      <w:r w:rsidR="000A4BAE">
        <w:t xml:space="preserve"> </w:t>
      </w:r>
      <w:r w:rsidR="00FF440B">
        <w:t xml:space="preserve">to charge transmission customers for a generating </w:t>
      </w:r>
      <w:r w:rsidR="00FF440B">
        <w:t xml:space="preserve">facility’s provision of </w:t>
      </w:r>
      <w:r w:rsidRPr="005975CF" w:rsidR="00FF440B">
        <w:t>reactive power within the standard power factor range</w:t>
      </w:r>
      <w:r w:rsidR="00FF440B">
        <w:t xml:space="preserve"> is unjust and unreasonable</w:t>
      </w:r>
      <w:r w:rsidR="00915A88">
        <w:t xml:space="preserve">.  </w:t>
      </w:r>
      <w:r w:rsidR="00DA4FF3">
        <w:t>T</w:t>
      </w:r>
      <w:r w:rsidR="00005CD6">
        <w:t>he Commission</w:t>
      </w:r>
      <w:r w:rsidR="007E7E5F">
        <w:t>, therefore,</w:t>
      </w:r>
      <w:r w:rsidR="00005CD6">
        <w:t xml:space="preserve"> is revising </w:t>
      </w:r>
      <w:r w:rsidRPr="003653C9" w:rsidR="003653C9">
        <w:t xml:space="preserve">Schedule 2 of </w:t>
      </w:r>
      <w:r w:rsidR="00060DF6">
        <w:t xml:space="preserve">the Commission’s </w:t>
      </w:r>
      <w:r w:rsidRPr="00060DF6" w:rsidR="00060DF6">
        <w:rPr>
          <w:i/>
          <w:iCs/>
        </w:rPr>
        <w:t>pro forma</w:t>
      </w:r>
      <w:r w:rsidR="00060DF6">
        <w:t xml:space="preserve"> </w:t>
      </w:r>
      <w:r w:rsidRPr="003653C9" w:rsidR="003653C9">
        <w:t>OATT</w:t>
      </w:r>
      <w:r w:rsidR="00D27A25">
        <w:t xml:space="preserve"> </w:t>
      </w:r>
      <w:r w:rsidRPr="00D27A25" w:rsidR="00D27A25">
        <w:t xml:space="preserve">to prohibit transmission providers from including in their transmission rates any charges associated with the </w:t>
      </w:r>
      <w:r w:rsidR="00BF6362">
        <w:t>provision</w:t>
      </w:r>
      <w:r w:rsidRPr="00D27A25" w:rsidR="00BF6362">
        <w:t xml:space="preserve"> </w:t>
      </w:r>
      <w:r w:rsidRPr="00D27A25" w:rsidR="00D27A25">
        <w:t>of reactive power within the standard power factor range from generating facilities</w:t>
      </w:r>
      <w:r w:rsidR="00AA2D01">
        <w:t xml:space="preserve"> and requiring transmission </w:t>
      </w:r>
      <w:r w:rsidR="00746B6C">
        <w:t>providers</w:t>
      </w:r>
      <w:r w:rsidR="00AA2D01">
        <w:t xml:space="preserve"> to make compliance filings to update </w:t>
      </w:r>
      <w:r w:rsidR="006709B8">
        <w:t xml:space="preserve">Schedule 2 of </w:t>
      </w:r>
      <w:r w:rsidR="00AA2D01">
        <w:t xml:space="preserve">their </w:t>
      </w:r>
      <w:r w:rsidR="00177A16">
        <w:t>OATT</w:t>
      </w:r>
      <w:r w:rsidR="001C13D0">
        <w:t>s</w:t>
      </w:r>
      <w:r w:rsidR="00B15F3F">
        <w:t xml:space="preserve"> </w:t>
      </w:r>
      <w:r w:rsidRPr="00650810" w:rsidR="00595987">
        <w:t>accordingly</w:t>
      </w:r>
      <w:r w:rsidR="00D27A25">
        <w:t>.</w:t>
      </w:r>
      <w:r w:rsidR="003B04E9">
        <w:rPr>
          <w:rFonts w:ascii="ZWAdobeF" w:hAnsi="ZWAdobeF" w:cs="ZWAdobeF"/>
          <w:sz w:val="2"/>
          <w:szCs w:val="2"/>
        </w:rPr>
        <w:t>0F</w:t>
      </w:r>
      <w:r>
        <w:rPr>
          <w:b/>
          <w:vertAlign w:val="superscript"/>
        </w:rPr>
        <w:footnoteReference w:id="4"/>
      </w:r>
      <w:r w:rsidR="000E4ABF">
        <w:t xml:space="preserve">  </w:t>
      </w:r>
      <w:r w:rsidR="00196EB2">
        <w:t xml:space="preserve">The </w:t>
      </w:r>
      <w:r w:rsidR="00126E54">
        <w:t>final rule</w:t>
      </w:r>
      <w:r w:rsidR="00196EB2">
        <w:t xml:space="preserve"> </w:t>
      </w:r>
      <w:r w:rsidRPr="000E4ABF" w:rsidR="000E4ABF">
        <w:t xml:space="preserve">further </w:t>
      </w:r>
      <w:r w:rsidR="00D61DCE">
        <w:t xml:space="preserve">revises the Commission’s </w:t>
      </w:r>
      <w:r w:rsidRPr="006311FE" w:rsidR="008B01D5">
        <w:rPr>
          <w:i/>
          <w:iCs/>
        </w:rPr>
        <w:t>pro forma</w:t>
      </w:r>
      <w:r w:rsidR="008B01D5">
        <w:t xml:space="preserve"> LGIA</w:t>
      </w:r>
      <w:r w:rsidR="00EA15D9">
        <w:t xml:space="preserve"> and</w:t>
      </w:r>
      <w:r w:rsidR="008B01D5">
        <w:t xml:space="preserve"> </w:t>
      </w:r>
      <w:r w:rsidRPr="006311FE" w:rsidR="008B01D5">
        <w:rPr>
          <w:i/>
          <w:iCs/>
        </w:rPr>
        <w:t>pro forma</w:t>
      </w:r>
      <w:r w:rsidR="008B01D5">
        <w:t xml:space="preserve"> SGIA </w:t>
      </w:r>
      <w:r w:rsidR="00A334BF">
        <w:t xml:space="preserve">to remove </w:t>
      </w:r>
      <w:r w:rsidRPr="000E4ABF" w:rsidR="000E4ABF">
        <w:t xml:space="preserve">the requirement that a transmission provider pay an interconnection customer for reactive power within the standard power factor range if the transmission provider pays its own or affiliated </w:t>
      </w:r>
      <w:r w:rsidR="000850AD">
        <w:t>generating facilities</w:t>
      </w:r>
      <w:r w:rsidRPr="000E4ABF" w:rsidR="000850AD">
        <w:t xml:space="preserve"> </w:t>
      </w:r>
      <w:r w:rsidRPr="000E4ABF" w:rsidR="000E4ABF">
        <w:t>for the same service</w:t>
      </w:r>
      <w:r w:rsidR="00814C03">
        <w:t>,</w:t>
      </w:r>
      <w:r w:rsidR="00595987">
        <w:t xml:space="preserve"> and</w:t>
      </w:r>
      <w:r w:rsidR="002620C8">
        <w:t xml:space="preserve"> the </w:t>
      </w:r>
      <w:r w:rsidR="00F07763">
        <w:t>f</w:t>
      </w:r>
      <w:r w:rsidR="002620C8">
        <w:t xml:space="preserve">inal </w:t>
      </w:r>
      <w:r w:rsidR="00F07763">
        <w:t>r</w:t>
      </w:r>
      <w:r w:rsidR="002620C8">
        <w:t>ule</w:t>
      </w:r>
      <w:r w:rsidR="00595987">
        <w:t xml:space="preserve"> requires </w:t>
      </w:r>
      <w:r w:rsidR="00E5523E">
        <w:t xml:space="preserve">transmission </w:t>
      </w:r>
      <w:r w:rsidR="00F77061">
        <w:t xml:space="preserve">providers </w:t>
      </w:r>
      <w:r w:rsidR="00595987">
        <w:t xml:space="preserve">to </w:t>
      </w:r>
      <w:r w:rsidR="009A6293">
        <w:t xml:space="preserve">make compliance filings to </w:t>
      </w:r>
      <w:r w:rsidR="00595987">
        <w:t xml:space="preserve">update </w:t>
      </w:r>
      <w:r w:rsidR="009A6293">
        <w:t xml:space="preserve">their </w:t>
      </w:r>
      <w:r w:rsidR="001407BF">
        <w:rPr>
          <w:i/>
          <w:iCs/>
        </w:rPr>
        <w:t>pro forma</w:t>
      </w:r>
      <w:r w:rsidR="001407BF">
        <w:t xml:space="preserve"> </w:t>
      </w:r>
      <w:r w:rsidR="000A02F7">
        <w:t xml:space="preserve">interconnection </w:t>
      </w:r>
      <w:r w:rsidR="001407BF">
        <w:t>agreements</w:t>
      </w:r>
      <w:r w:rsidR="00335124">
        <w:t xml:space="preserve"> accordingly</w:t>
      </w:r>
      <w:r w:rsidR="001407BF">
        <w:t>.</w:t>
      </w:r>
      <w:r w:rsidR="002D7A4E">
        <w:t xml:space="preserve">  </w:t>
      </w:r>
      <w:r w:rsidR="00FB7286">
        <w:t>As a result of</w:t>
      </w:r>
      <w:r w:rsidR="00335124">
        <w:t xml:space="preserve"> this </w:t>
      </w:r>
      <w:r w:rsidR="00126E54">
        <w:t>final rule</w:t>
      </w:r>
      <w:r w:rsidRPr="000E4ABF" w:rsidR="00BF31A6">
        <w:t>, transmission providers w</w:t>
      </w:r>
      <w:r w:rsidR="00583F28">
        <w:t>ill</w:t>
      </w:r>
      <w:r w:rsidRPr="000E4ABF" w:rsidR="00BF31A6">
        <w:t xml:space="preserve"> be required to pay an interconnection customer for reactive power </w:t>
      </w:r>
      <w:r w:rsidR="00B80B6C">
        <w:t xml:space="preserve">only </w:t>
      </w:r>
      <w:r w:rsidRPr="000E4ABF" w:rsidR="00BF31A6">
        <w:t xml:space="preserve">when the transmission provider </w:t>
      </w:r>
      <w:r w:rsidR="0015593B">
        <w:t>requests</w:t>
      </w:r>
      <w:r w:rsidR="00D4094B">
        <w:t xml:space="preserve"> or directs</w:t>
      </w:r>
      <w:r w:rsidRPr="000E4ABF" w:rsidR="00BF31A6">
        <w:t xml:space="preserve"> the interconnection customer to operate its facility </w:t>
      </w:r>
      <w:r w:rsidRPr="001150FF" w:rsidR="00BF31A6">
        <w:rPr>
          <w:i/>
        </w:rPr>
        <w:t>outside</w:t>
      </w:r>
      <w:r w:rsidRPr="000E4ABF" w:rsidR="00BF31A6">
        <w:t xml:space="preserve"> the standard power factor range set forth in its interconnection agreement.</w:t>
      </w:r>
      <w:bookmarkEnd w:id="1"/>
    </w:p>
    <w:p w:rsidR="000E4ABF" w:rsidRPr="000E4ABF" w:rsidP="003B4C2B" w14:paraId="2E3770DB" w14:textId="23AF233F">
      <w:pPr>
        <w:pStyle w:val="FERCparanumber"/>
      </w:pPr>
      <w:r w:rsidRPr="00131600">
        <w:t xml:space="preserve">As discussed </w:t>
      </w:r>
      <w:r w:rsidRPr="00131600" w:rsidR="006937D4">
        <w:t>below</w:t>
      </w:r>
      <w:r w:rsidR="006937D4">
        <w:t>, t</w:t>
      </w:r>
      <w:r w:rsidRPr="00985219" w:rsidR="00985219">
        <w:t xml:space="preserve">he Commission has a statutory duty to ensure that transmission rates are and remain just and reasonable. </w:t>
      </w:r>
      <w:r w:rsidR="00A01598">
        <w:t xml:space="preserve"> </w:t>
      </w:r>
      <w:r w:rsidR="00946578">
        <w:t xml:space="preserve">We find that </w:t>
      </w:r>
      <w:r w:rsidR="0064503F">
        <w:t>this reform</w:t>
      </w:r>
      <w:r w:rsidR="003C59E3">
        <w:t xml:space="preserve"> will </w:t>
      </w:r>
      <w:r w:rsidR="002865BD">
        <w:t xml:space="preserve">ensure that </w:t>
      </w:r>
      <w:r w:rsidR="002669F7">
        <w:t>transmission providers</w:t>
      </w:r>
      <w:r w:rsidR="00BF2892">
        <w:t xml:space="preserve"> </w:t>
      </w:r>
      <w:r w:rsidR="00BE1243">
        <w:t xml:space="preserve">do not </w:t>
      </w:r>
      <w:r w:rsidR="00BF2892">
        <w:t>pass</w:t>
      </w:r>
      <w:r w:rsidR="00E31D99">
        <w:t xml:space="preserve"> onto </w:t>
      </w:r>
      <w:r w:rsidR="002A042D">
        <w:t>transmission</w:t>
      </w:r>
      <w:r w:rsidR="002A042D">
        <w:t xml:space="preserve"> </w:t>
      </w:r>
      <w:r w:rsidR="002A042D">
        <w:t>customers</w:t>
      </w:r>
      <w:r w:rsidRPr="00893F5F" w:rsidR="00893F5F">
        <w:t xml:space="preserve"> </w:t>
      </w:r>
      <w:r w:rsidR="00F04911">
        <w:t>unjust and unreasonable charges</w:t>
      </w:r>
      <w:r w:rsidRPr="00893F5F" w:rsidR="00893F5F">
        <w:t xml:space="preserve"> </w:t>
      </w:r>
      <w:r w:rsidR="00F04911">
        <w:t>that lack</w:t>
      </w:r>
      <w:r w:rsidRPr="00893F5F" w:rsidR="00893F5F">
        <w:t xml:space="preserve"> a sufficient economic basis or justification</w:t>
      </w:r>
      <w:r w:rsidR="00F05905">
        <w:t xml:space="preserve"> and yield no commensurate benefit for ratepayers</w:t>
      </w:r>
      <w:r w:rsidRPr="00893F5F" w:rsidR="00893F5F">
        <w:t>.</w:t>
      </w:r>
    </w:p>
    <w:p w:rsidR="0089602C" w:rsidRPr="00C06B6B" w:rsidP="007F3D6A" w14:paraId="2EC0A033" w14:textId="2904B63C">
      <w:pPr>
        <w:pStyle w:val="Heading1"/>
        <w:rPr>
          <w:u w:val="single"/>
        </w:rPr>
      </w:pPr>
      <w:bookmarkStart w:id="2" w:name="_bmk1"/>
      <w:r w:rsidRPr="00C06B6B">
        <w:rPr>
          <w:u w:val="single"/>
        </w:rPr>
        <w:t>B</w:t>
      </w:r>
      <w:bookmarkEnd w:id="2"/>
      <w:r w:rsidRPr="00C06B6B">
        <w:rPr>
          <w:u w:val="single"/>
        </w:rPr>
        <w:t>ackground</w:t>
      </w:r>
    </w:p>
    <w:p w:rsidR="002C4A10" w:rsidRPr="00C06B6B" w:rsidP="009E28BF" w14:paraId="6CE6D94B" w14:textId="26F15751">
      <w:pPr>
        <w:pStyle w:val="Heading2"/>
        <w:rPr>
          <w:u w:val="single"/>
        </w:rPr>
      </w:pPr>
      <w:bookmarkStart w:id="3" w:name="_bmk2"/>
      <w:r w:rsidRPr="00C06B6B">
        <w:rPr>
          <w:u w:val="single"/>
        </w:rPr>
        <w:t>H</w:t>
      </w:r>
      <w:bookmarkEnd w:id="3"/>
      <w:r w:rsidRPr="00C06B6B">
        <w:rPr>
          <w:u w:val="single"/>
        </w:rPr>
        <w:t>istorical Framework</w:t>
      </w:r>
      <w:r w:rsidRPr="00C06B6B" w:rsidR="00B21BC1">
        <w:rPr>
          <w:u w:val="single"/>
        </w:rPr>
        <w:t xml:space="preserve"> Including</w:t>
      </w:r>
      <w:r w:rsidRPr="00C06B6B">
        <w:rPr>
          <w:u w:val="single"/>
        </w:rPr>
        <w:t xml:space="preserve"> Order Nos</w:t>
      </w:r>
      <w:r w:rsidRPr="00C06B6B" w:rsidR="0097440A">
        <w:rPr>
          <w:u w:val="single"/>
        </w:rPr>
        <w:t>.</w:t>
      </w:r>
      <w:r w:rsidRPr="00C06B6B">
        <w:rPr>
          <w:u w:val="single"/>
        </w:rPr>
        <w:t xml:space="preserve"> 888</w:t>
      </w:r>
      <w:r w:rsidRPr="00C06B6B" w:rsidR="00653438">
        <w:rPr>
          <w:u w:val="single"/>
        </w:rPr>
        <w:t xml:space="preserve"> and 2003</w:t>
      </w:r>
    </w:p>
    <w:p w:rsidR="009E431E" w:rsidRPr="00CD2C9F" w:rsidP="009E431E" w14:paraId="1DF3EE91" w14:textId="7D8D1285">
      <w:pPr>
        <w:pStyle w:val="FERCparanumber"/>
      </w:pPr>
      <w:r w:rsidRPr="00CD2C9F">
        <w:t xml:space="preserve">Almost all bulk electric power is generated, transported, and consumed in alternating current (AC) networks.  Reactive power, which is measured in </w:t>
      </w:r>
      <w:r w:rsidR="005C0257">
        <w:t xml:space="preserve">          </w:t>
      </w:r>
      <w:r w:rsidRPr="00CD2C9F">
        <w:t>megavolt-amperes reactive (MVAr),</w:t>
      </w:r>
      <w:r>
        <w:rPr>
          <w:b/>
          <w:vertAlign w:val="superscript"/>
        </w:rPr>
        <w:footnoteReference w:id="5"/>
      </w:r>
      <w:r w:rsidRPr="00CD2C9F">
        <w:t xml:space="preserve"> is a critical component of operating an AC electricity system and is required to control system voltage within appropriate ranges for efficient and reliable operation of the transmission system.  Reactive power supports the voltages that must be controlled to provide for delivery of real power and for system reliability</w:t>
      </w:r>
      <w:r w:rsidRPr="00CD2C9F">
        <w:t>.</w:t>
      </w:r>
      <w:r w:rsidRPr="00CD2C9F">
        <w:t xml:space="preserve"> </w:t>
      </w:r>
      <w:r w:rsidRPr="00CD2C9F">
        <w:t xml:space="preserve"> </w:t>
      </w:r>
      <w:r w:rsidRPr="00CD2C9F">
        <w:t>Reactive power can be produced or absorbed</w:t>
      </w:r>
      <w:r>
        <w:rPr>
          <w:rStyle w:val="FootnoteReference"/>
        </w:rPr>
        <w:footnoteReference w:id="6"/>
      </w:r>
      <w:r w:rsidRPr="00CD2C9F">
        <w:t xml:space="preserve"> by generating facilities, </w:t>
      </w:r>
      <w:r w:rsidRPr="00E2772B">
        <w:t>power electronic equipment such as flexible AC transmission system devices, transmission lines and equipment, and load</w:t>
      </w:r>
      <w:r w:rsidRPr="00CD2C9F">
        <w:t>.  As relevant here, generating facilities must either produce or absorb reactive power for the transmission system to maintain voltage levels required to reliably supply real power from generation to load.</w:t>
      </w:r>
    </w:p>
    <w:p w:rsidR="006D2EA3" w:rsidP="005B3817" w14:paraId="5E2E7A7F" w14:textId="1F821EB8">
      <w:pPr>
        <w:pStyle w:val="FERCparanumber"/>
      </w:pPr>
      <w:bookmarkStart w:id="4" w:name="_Ref156907408"/>
      <w:r w:rsidRPr="001F7D90">
        <w:t>In Order No. 888, the Commission required that reactive supply and voltage control from generating facilities be offered as a discrete ancillary service by transmission providers and, to the extent feasible, charged for on the basis of the amount required.</w:t>
      </w:r>
      <w:r>
        <w:rPr>
          <w:b/>
          <w:vertAlign w:val="superscript"/>
        </w:rPr>
        <w:footnoteReference w:id="7"/>
      </w:r>
      <w:r w:rsidRPr="001F7D90">
        <w:t xml:space="preserve">  The Commission explained that there are two ways of supplying reactive power and controlling voltage.  One is to install facilities as part of the transmission system, the cost of which is part of the cost of basic transmission service.  The second is to use generating facilities to supply reactive power and voltage control, which must be unbundled from basic transmission service.</w:t>
      </w:r>
    </w:p>
    <w:p w:rsidR="00AF43FF" w:rsidRPr="00CD2C9F" w:rsidP="00AF43FF" w14:paraId="7F71EF13" w14:textId="46CACA91">
      <w:pPr>
        <w:pStyle w:val="FERCparanumber"/>
        <w:tabs>
          <w:tab w:val="clear" w:pos="720"/>
        </w:tabs>
      </w:pPr>
      <w:r w:rsidRPr="00CD2C9F">
        <w:t>With respect to compensation, the Commission stated that the transmission provider’s “rates for ancillary services should be cost-based.”</w:t>
      </w:r>
      <w:r>
        <w:rPr>
          <w:b/>
          <w:vertAlign w:val="superscript"/>
        </w:rPr>
        <w:footnoteReference w:id="8"/>
      </w:r>
      <w:r w:rsidRPr="00CD2C9F">
        <w:t xml:space="preserve">  The Commission expected, however, that transmission customers would be </w:t>
      </w:r>
      <w:r w:rsidR="00D374EE">
        <w:t>able</w:t>
      </w:r>
      <w:r w:rsidRPr="00CD2C9F">
        <w:t xml:space="preserve"> to change the amount of reactive power service they required.  The Commission also identified the possibility that reactive power could potentially be supplied by “a competitive market for such service” if “technology or industry changes” made such a market possible.</w:t>
      </w:r>
      <w:r>
        <w:rPr>
          <w:rStyle w:val="FootnoteReference"/>
        </w:rPr>
        <w:footnoteReference w:id="9"/>
      </w:r>
    </w:p>
    <w:p w:rsidR="005B3817" w:rsidRPr="00CD2C9F" w14:paraId="6C6CCE50" w14:textId="45F3440B">
      <w:pPr>
        <w:pStyle w:val="FERCparanumber"/>
      </w:pPr>
      <w:r>
        <w:t>T</w:t>
      </w:r>
      <w:r w:rsidRPr="00CD2C9F">
        <w:t>he Commission’s policy on reactive power compensation has evolved since issuing Order No. 888</w:t>
      </w:r>
      <w:r>
        <w:t xml:space="preserve"> in 1996</w:t>
      </w:r>
      <w:r w:rsidRPr="001F7D90">
        <w:t>.</w:t>
      </w:r>
      <w:r>
        <w:rPr>
          <w:b/>
          <w:vertAlign w:val="superscript"/>
        </w:rPr>
        <w:footnoteReference w:id="10"/>
      </w:r>
      <w:r w:rsidRPr="001F7D90">
        <w:t xml:space="preserve">  </w:t>
      </w:r>
      <w:r>
        <w:t>I</w:t>
      </w:r>
      <w:r w:rsidRPr="00DB070F" w:rsidR="00DB070F">
        <w:t xml:space="preserve">n Order No. 2003, </w:t>
      </w:r>
      <w:r w:rsidRPr="00831DE5" w:rsidR="00831DE5">
        <w:t xml:space="preserve">the Commission adopted a standard agreement for the interconnection of large generating facilities (the </w:t>
      </w:r>
      <w:r w:rsidRPr="00831DE5" w:rsidR="00831DE5">
        <w:rPr>
          <w:i/>
        </w:rPr>
        <w:t>pro forma</w:t>
      </w:r>
      <w:r w:rsidRPr="00831DE5" w:rsidR="00831DE5">
        <w:t xml:space="preserve"> LGIA), </w:t>
      </w:r>
      <w:r w:rsidRPr="00831DE5" w:rsidR="00831DE5">
        <w:t>and</w:t>
      </w:r>
      <w:r w:rsidRPr="00DB070F" w:rsidR="00DB070F">
        <w:t xml:space="preserve"> specifically addressed the circumstances </w:t>
      </w:r>
      <w:r w:rsidRPr="00E065D8" w:rsidR="00602EC7">
        <w:t>under</w:t>
      </w:r>
      <w:r w:rsidRPr="00DB070F" w:rsidR="00DB070F">
        <w:t xml:space="preserve"> which a transmission provider must pay </w:t>
      </w:r>
      <w:r w:rsidR="0040152F">
        <w:t>an interconnection customer</w:t>
      </w:r>
      <w:r w:rsidR="005E358F">
        <w:t xml:space="preserve"> </w:t>
      </w:r>
      <w:r w:rsidRPr="00DB070F" w:rsidR="00DB070F">
        <w:t>for reactive power</w:t>
      </w:r>
      <w:r w:rsidR="00196F2D">
        <w:t xml:space="preserve"> depending upon </w:t>
      </w:r>
      <w:r w:rsidR="00FC2128">
        <w:t>whether such reactive power was</w:t>
      </w:r>
      <w:r w:rsidRPr="00DB070F" w:rsidR="00DB070F">
        <w:t xml:space="preserve"> </w:t>
      </w:r>
      <w:r w:rsidRPr="003C0C99" w:rsidR="00DB070F">
        <w:t>inside</w:t>
      </w:r>
      <w:r w:rsidRPr="00DB070F" w:rsidR="00DB070F">
        <w:t xml:space="preserve"> </w:t>
      </w:r>
      <w:r w:rsidR="009D7386">
        <w:t>or</w:t>
      </w:r>
      <w:r w:rsidRPr="00DB070F" w:rsidR="00DB070F">
        <w:t xml:space="preserve"> outside the standard power factor range.</w:t>
      </w:r>
      <w:bookmarkStart w:id="5" w:name="_Ref177810294"/>
      <w:r>
        <w:rPr>
          <w:b/>
          <w:vertAlign w:val="superscript"/>
        </w:rPr>
        <w:footnoteReference w:id="11"/>
      </w:r>
      <w:bookmarkEnd w:id="5"/>
      <w:r w:rsidRPr="00DB070F" w:rsidR="00DB070F">
        <w:t xml:space="preserve">  </w:t>
      </w:r>
      <w:r w:rsidRPr="00CD2C9F">
        <w:t xml:space="preserve">This standard agreement included the requirement that interconnection customers maintain a composite power delivery at </w:t>
      </w:r>
      <w:r w:rsidR="00FA288A">
        <w:t xml:space="preserve">a </w:t>
      </w:r>
      <w:r w:rsidRPr="00CD2C9F">
        <w:t>continuous rate of power output at the generating facility’s point of interconnection at a power factor within the range of 0.95 leading to 0.95 lagging when synchronized to the transmission system, unless the transmission provider has established a different power factor range.</w:t>
      </w:r>
      <w:r>
        <w:rPr>
          <w:rStyle w:val="FootnoteReference"/>
        </w:rPr>
        <w:footnoteReference w:id="12"/>
      </w:r>
      <w:r w:rsidRPr="00CD2C9F">
        <w:t xml:space="preserve">  Order No. 2003 required that a transmission provider compensate an interconnection customer for reactive power when the transmission provider requests that the interconnection customer operate its generating facility outside the established power factor range.  With respect to reactive power within the established power factor range, the Commission </w:t>
      </w:r>
      <w:r w:rsidRPr="00705808">
        <w:t xml:space="preserve">concluded </w:t>
      </w:r>
      <w:r w:rsidR="00463EAF">
        <w:t>in Order No. 2003</w:t>
      </w:r>
      <w:r w:rsidRPr="00CD2C9F">
        <w:t xml:space="preserve"> that</w:t>
      </w:r>
      <w:r w:rsidRPr="00CD2C9F">
        <w:t xml:space="preserve"> </w:t>
      </w:r>
      <w:r w:rsidRPr="00CD2C9F">
        <w:t xml:space="preserve">the interconnection customer should not be compensated for reactive power when operating within the range established in the interconnection agreement because doing so “is only </w:t>
      </w:r>
      <w:r w:rsidRPr="00CD2C9F">
        <w:t>meeting</w:t>
      </w:r>
      <w:r>
        <w:t xml:space="preserve"> </w:t>
      </w:r>
      <w:r w:rsidRPr="00CD2C9F">
        <w:t>[the generating facility’s] obligation.”</w:t>
      </w:r>
      <w:r>
        <w:rPr>
          <w:b/>
          <w:vertAlign w:val="superscript"/>
        </w:rPr>
        <w:footnoteReference w:id="13"/>
      </w:r>
      <w:r w:rsidRPr="00CD2C9F">
        <w:t xml:space="preserve">  </w:t>
      </w:r>
      <w:r w:rsidR="000232B6">
        <w:t>However</w:t>
      </w:r>
      <w:r w:rsidRPr="00CD2C9F">
        <w:t>, in Order No. 2003-A, the Commission clarified</w:t>
      </w:r>
      <w:r w:rsidRPr="00CD2C9F">
        <w:t xml:space="preserve"> </w:t>
      </w:r>
      <w:r w:rsidRPr="00CD2C9F">
        <w:t xml:space="preserve">that “if the Transmission Provider pays its own or its affiliated generators for reactive power within the established range, it </w:t>
      </w:r>
      <w:r w:rsidRPr="00CD2C9F" w:rsidR="00D374EE">
        <w:t xml:space="preserve">must </w:t>
      </w:r>
      <w:r w:rsidR="00F66026">
        <w:t>also</w:t>
      </w:r>
      <w:r w:rsidRPr="00705808">
        <w:t xml:space="preserve"> </w:t>
      </w:r>
      <w:r w:rsidRPr="00CD2C9F">
        <w:t>pay the Interconnection Customer.”</w:t>
      </w:r>
      <w:r>
        <w:rPr>
          <w:rStyle w:val="FootnoteReference"/>
        </w:rPr>
        <w:footnoteReference w:id="14"/>
      </w:r>
      <w:r w:rsidRPr="00CD2C9F">
        <w:t xml:space="preserve">  </w:t>
      </w:r>
      <w:r w:rsidRPr="004B57E6" w:rsidR="004B57E6">
        <w:t xml:space="preserve">This standard is generally referred to as the </w:t>
      </w:r>
      <w:r w:rsidRPr="00E065D8" w:rsidR="00477EC1">
        <w:t>“</w:t>
      </w:r>
      <w:r w:rsidRPr="004B57E6" w:rsidR="004B57E6">
        <w:t>comparability standard</w:t>
      </w:r>
      <w:r w:rsidRPr="00705808" w:rsidR="004B57E6">
        <w:t>.</w:t>
      </w:r>
      <w:r w:rsidRPr="00E065D8" w:rsidR="00477EC1">
        <w:t>”</w:t>
      </w:r>
      <w:r>
        <w:rPr>
          <w:rStyle w:val="FootnoteReference"/>
        </w:rPr>
        <w:footnoteReference w:id="15"/>
      </w:r>
      <w:bookmarkEnd w:id="4"/>
    </w:p>
    <w:p w:rsidR="00A319D8" w:rsidP="007F3D6A" w14:paraId="73FD538E" w14:textId="3CF26E53">
      <w:pPr>
        <w:pStyle w:val="FERCparanumber"/>
        <w:tabs>
          <w:tab w:val="clear" w:pos="720"/>
        </w:tabs>
      </w:pPr>
      <w:r w:rsidRPr="00E611B6">
        <w:t>Order No. 661 established technical requirements for interconnecting large wind resources and maintained the exemption from providing reactive power, except where the transmission provider showed, through a system impact study, that reactive power capability was required to ensure safety or reliability.</w:t>
      </w:r>
      <w:r>
        <w:rPr>
          <w:b/>
          <w:vertAlign w:val="superscript"/>
        </w:rPr>
        <w:footnoteReference w:id="16"/>
      </w:r>
      <w:r w:rsidRPr="00E611B6">
        <w:t xml:space="preserve">  </w:t>
      </w:r>
      <w:r w:rsidRPr="00EE1317" w:rsidR="00EE1317">
        <w:t>In Order No. 2006,</w:t>
      </w:r>
      <w:r>
        <w:rPr>
          <w:b/>
          <w:vertAlign w:val="superscript"/>
        </w:rPr>
        <w:footnoteReference w:id="17"/>
      </w:r>
      <w:r w:rsidRPr="00EE1317" w:rsidR="00EE1317">
        <w:t xml:space="preserve"> the </w:t>
      </w:r>
      <w:r w:rsidRPr="00EE1317" w:rsidR="00EE1317">
        <w:t xml:space="preserve">Commission adopted identical power factor and compensation requirements for small generating facilities (facilities that have a capacity of no more than 20 </w:t>
      </w:r>
      <w:r w:rsidR="001759A4">
        <w:t>megawatts</w:t>
      </w:r>
      <w:r w:rsidR="00774292">
        <w:t xml:space="preserve"> (</w:t>
      </w:r>
      <w:r w:rsidRPr="00EE1317" w:rsidR="00EE1317">
        <w:t>MW</w:t>
      </w:r>
      <w:r w:rsidR="00774292">
        <w:t>)</w:t>
      </w:r>
      <w:r w:rsidRPr="00EE1317" w:rsidR="00EE1317">
        <w:t xml:space="preserve">) but exempted small wind generating facilities from the reactive power requirement.  Subsequently, </w:t>
      </w:r>
      <w:r w:rsidR="000C3088">
        <w:t xml:space="preserve">in </w:t>
      </w:r>
      <w:r w:rsidRPr="00EE1317" w:rsidR="00EE1317">
        <w:t>Order No. 827,</w:t>
      </w:r>
      <w:r>
        <w:rPr>
          <w:b/>
          <w:vertAlign w:val="superscript"/>
        </w:rPr>
        <w:footnoteReference w:id="18"/>
      </w:r>
      <w:r w:rsidRPr="00EE1317" w:rsidR="00EE1317">
        <w:t xml:space="preserve"> the Commission eliminated the exemptions for both small and large wind generating facilities, thus requiring those facilities to provide reactive power.  </w:t>
      </w:r>
      <w:r w:rsidR="00E57AAD">
        <w:t xml:space="preserve">The Commission explained </w:t>
      </w:r>
      <w:r w:rsidR="002B4BF7">
        <w:t xml:space="preserve">that it had </w:t>
      </w:r>
      <w:r w:rsidR="00F30225">
        <w:t>previously</w:t>
      </w:r>
      <w:r w:rsidRPr="00F91D74" w:rsidR="00F91D74">
        <w:t xml:space="preserve"> exempted wind generators from the uniform reactive power requirement because, historically, the costs to design and build a wind generator that could provide reactive power were high and could have created an obstacle to the development of wind generation.  </w:t>
      </w:r>
      <w:r w:rsidR="00B302C4">
        <w:t>But t</w:t>
      </w:r>
      <w:r w:rsidR="006A68F9">
        <w:t xml:space="preserve">he Commission found </w:t>
      </w:r>
      <w:r w:rsidR="00B302C4">
        <w:t xml:space="preserve">in </w:t>
      </w:r>
      <w:r w:rsidR="008342E2">
        <w:t>Order No. 827</w:t>
      </w:r>
      <w:r w:rsidR="00B302C4">
        <w:t xml:space="preserve"> </w:t>
      </w:r>
      <w:r w:rsidR="006A68F9">
        <w:t>that, d</w:t>
      </w:r>
      <w:r w:rsidRPr="00F91D74" w:rsidR="00F91D74">
        <w:t>ue to technological advancements</w:t>
      </w:r>
      <w:r w:rsidR="006A68F9">
        <w:t xml:space="preserve"> since the establishment of those exemptions</w:t>
      </w:r>
      <w:r w:rsidRPr="00F91D74" w:rsidR="00F91D74">
        <w:t>, the cost of providing reactive power no longer present</w:t>
      </w:r>
      <w:r w:rsidR="00105CCA">
        <w:t>ed</w:t>
      </w:r>
      <w:r w:rsidRPr="00F91D74" w:rsidR="00F91D74">
        <w:t xml:space="preserve"> an obstacle to the development of wind generation</w:t>
      </w:r>
      <w:r w:rsidR="00B302C4">
        <w:t>,</w:t>
      </w:r>
      <w:r w:rsidR="00460EA7">
        <w:t xml:space="preserve"> </w:t>
      </w:r>
      <w:r w:rsidR="006A3E87">
        <w:t>and therefore found</w:t>
      </w:r>
      <w:r w:rsidR="00460EA7">
        <w:t xml:space="preserve"> that</w:t>
      </w:r>
      <w:r w:rsidRPr="00F91D74" w:rsidR="00F91D74">
        <w:t xml:space="preserve"> the exemptions </w:t>
      </w:r>
      <w:r w:rsidR="006A3E87">
        <w:t>had become</w:t>
      </w:r>
      <w:r w:rsidR="00A9651F">
        <w:t xml:space="preserve"> </w:t>
      </w:r>
      <w:r w:rsidRPr="00F91D74" w:rsidR="00F91D74">
        <w:t>unjust</w:t>
      </w:r>
      <w:r w:rsidR="00A9651F">
        <w:t xml:space="preserve"> and </w:t>
      </w:r>
      <w:r w:rsidRPr="00F91D74" w:rsidR="00F91D74">
        <w:t>unreasonable.</w:t>
      </w:r>
      <w:r>
        <w:rPr>
          <w:rStyle w:val="FootnoteReference"/>
        </w:rPr>
        <w:footnoteReference w:id="19"/>
      </w:r>
      <w:r w:rsidRPr="00F91D74" w:rsidR="00F91D74">
        <w:t xml:space="preserve"> </w:t>
      </w:r>
      <w:r w:rsidR="00AA5764">
        <w:t xml:space="preserve"> </w:t>
      </w:r>
      <w:r w:rsidR="006A3E87">
        <w:t>The Commission therefore required</w:t>
      </w:r>
      <w:r w:rsidRPr="00A56D59" w:rsidR="00A56D59">
        <w:t xml:space="preserve"> all newly interconnecting non-synchronous generating facilities to provide reactive power within the range of 0.95 leading to 0.95 lagging at the high-side of the generator substation transformer as a condition of interconnection.  </w:t>
      </w:r>
    </w:p>
    <w:p w:rsidR="00C519F9" w:rsidP="007F3D6A" w14:paraId="2DCB09D4" w14:textId="7C1F5DDE">
      <w:pPr>
        <w:pStyle w:val="FERCparanumber"/>
        <w:tabs>
          <w:tab w:val="clear" w:pos="720"/>
        </w:tabs>
      </w:pPr>
      <w:r w:rsidRPr="00130E3E">
        <w:t>In sum, “Order Nos. 2003 and 2003-A establish a reactive power compensation policy that, in the first instance, treats the provision of reactive power inside the [standard power factor range] as an obligation of good utility practice rather than as a compensable service and permits compensation inside the [standard power factor range] only as a function of comparability.”</w:t>
      </w:r>
      <w:r>
        <w:rPr>
          <w:b/>
          <w:vertAlign w:val="superscript"/>
        </w:rPr>
        <w:footnoteReference w:id="20"/>
      </w:r>
      <w:r w:rsidRPr="00130E3E">
        <w:t xml:space="preserve">  </w:t>
      </w:r>
      <w:r w:rsidRPr="00CD2C9F" w:rsidR="00D72716">
        <w:t xml:space="preserve">“Put differently, reactive support by generating facilities operating within the standard power factor range ensures that when these facilities inject real power—the product that their facilities exist to create and sell—onto the </w:t>
      </w:r>
      <w:r w:rsidR="007E1586">
        <w:t>grid</w:t>
      </w:r>
      <w:r w:rsidRPr="00CD2C9F" w:rsidR="00D72716">
        <w:t xml:space="preserve"> under normal conditions, they can do their part to maintain adequate voltages and to not </w:t>
      </w:r>
      <w:r w:rsidRPr="00CD2C9F" w:rsidR="00D72716">
        <w:t>threaten reliability.”</w:t>
      </w:r>
      <w:r>
        <w:rPr>
          <w:rStyle w:val="FootnoteReference"/>
        </w:rPr>
        <w:footnoteReference w:id="21"/>
      </w:r>
      <w:r w:rsidR="002E1F64">
        <w:t xml:space="preserve">  </w:t>
      </w:r>
      <w:r w:rsidR="0029372E">
        <w:t xml:space="preserve">By contrast, </w:t>
      </w:r>
      <w:r w:rsidRPr="00CD2C9F" w:rsidR="005B3817">
        <w:t xml:space="preserve">reactive power </w:t>
      </w:r>
      <w:r w:rsidRPr="00CD2C9F" w:rsidR="005B3817">
        <w:t xml:space="preserve">provided </w:t>
      </w:r>
      <w:r w:rsidRPr="006056E4" w:rsidR="005B3817">
        <w:rPr>
          <w:i/>
        </w:rPr>
        <w:t>outside</w:t>
      </w:r>
      <w:r w:rsidRPr="00CD2C9F" w:rsidR="005B3817">
        <w:t xml:space="preserve"> of the standard power factor range is considered an ancillary service for </w:t>
      </w:r>
      <w:r w:rsidRPr="007F3D6A" w:rsidR="005B3817">
        <w:t>transmitting power across the</w:t>
      </w:r>
      <w:r w:rsidRPr="00D374EE" w:rsidR="005B3817">
        <w:t xml:space="preserve"> </w:t>
      </w:r>
      <w:r w:rsidRPr="007F3D6A" w:rsidR="00FB1111">
        <w:t>transmission system</w:t>
      </w:r>
      <w:r w:rsidRPr="00CD2C9F" w:rsidR="005B3817">
        <w:t xml:space="preserve"> to serve load</w:t>
      </w:r>
      <w:r w:rsidR="00901246">
        <w:t>,</w:t>
      </w:r>
      <w:bookmarkStart w:id="6" w:name="_Ref177729479"/>
      <w:r>
        <w:rPr>
          <w:rStyle w:val="FootnoteReference"/>
        </w:rPr>
        <w:footnoteReference w:id="22"/>
      </w:r>
      <w:bookmarkEnd w:id="6"/>
      <w:r w:rsidR="00901246">
        <w:t xml:space="preserve"> </w:t>
      </w:r>
      <w:r w:rsidRPr="00901246" w:rsidR="00901246">
        <w:t>and thus, the Commission has required compensation for such service.</w:t>
      </w:r>
    </w:p>
    <w:p w:rsidR="007213F4" w14:paraId="6AE46786" w14:textId="0021F0B0">
      <w:pPr>
        <w:pStyle w:val="FERCparanumber"/>
        <w:tabs>
          <w:tab w:val="clear" w:pos="720"/>
        </w:tabs>
      </w:pPr>
      <w:r w:rsidRPr="000404EC">
        <w:t>Consistent with Order Nos. 2003 and 2003-A</w:t>
      </w:r>
      <w:r w:rsidRPr="00705808">
        <w:t xml:space="preserve"> </w:t>
      </w:r>
      <w:r w:rsidR="002477D0">
        <w:t xml:space="preserve">and </w:t>
      </w:r>
      <w:r w:rsidR="004C0AB9">
        <w:t>Commission</w:t>
      </w:r>
      <w:r w:rsidR="005F76A7">
        <w:t xml:space="preserve"> precedent that </w:t>
      </w:r>
      <w:r w:rsidR="000D130F">
        <w:t xml:space="preserve">      </w:t>
      </w:r>
      <w:r w:rsidR="005F76A7">
        <w:t xml:space="preserve">pre-dated those </w:t>
      </w:r>
      <w:r w:rsidR="00D34EAC">
        <w:t>Orders,</w:t>
      </w:r>
      <w:r w:rsidRPr="000404EC">
        <w:t xml:space="preserve"> the Commission has</w:t>
      </w:r>
      <w:r w:rsidRPr="000404EC">
        <w:t xml:space="preserve"> </w:t>
      </w:r>
      <w:r w:rsidRPr="000404EC">
        <w:t>permitted transmission providers to eliminate separate compensation for generating facilities providing reactive power within the standard power factor range.</w:t>
      </w:r>
      <w:r>
        <w:rPr>
          <w:b/>
          <w:vertAlign w:val="superscript"/>
        </w:rPr>
        <w:footnoteReference w:id="23"/>
      </w:r>
      <w:r w:rsidRPr="000404EC">
        <w:t xml:space="preserve">  In these cases, the Commission affirmed its determination that the provision of reactive power within the standard power factor range is not compensable except as a matter of comparability.  </w:t>
      </w:r>
      <w:r w:rsidRPr="00CD2C9F" w:rsidR="00D57E0E">
        <w:t xml:space="preserve">For example, in </w:t>
      </w:r>
      <w:r w:rsidRPr="00CD2C9F" w:rsidR="00D57E0E">
        <w:rPr>
          <w:i/>
          <w:iCs/>
        </w:rPr>
        <w:t>BPA</w:t>
      </w:r>
      <w:r w:rsidRPr="00CD2C9F" w:rsidR="00D57E0E">
        <w:t xml:space="preserve">, the Commission granted a complaint filed by Bonneville Power Administration (BPA) arguing that the rate schedules of certain independent power producers (IPP) for reactive power </w:t>
      </w:r>
      <w:r w:rsidR="00C7559B">
        <w:t>within the standard power factor range</w:t>
      </w:r>
      <w:r w:rsidR="005C7D8A">
        <w:t xml:space="preserve">, often referred to as a </w:t>
      </w:r>
      <w:r w:rsidR="00C7559B">
        <w:t>“deadband</w:t>
      </w:r>
      <w:r w:rsidR="00F417DC">
        <w:t>,</w:t>
      </w:r>
      <w:r w:rsidR="00C7559B">
        <w:t>”</w:t>
      </w:r>
      <w:r w:rsidRPr="00CD2C9F" w:rsidR="00D57E0E">
        <w:t xml:space="preserve"> were no longer just and reasonable given BPA’s decision to no longer pay its own or affiliated </w:t>
      </w:r>
      <w:r w:rsidRPr="00CD2C9F" w:rsidR="00D57E0E">
        <w:t>generators</w:t>
      </w:r>
      <w:r w:rsidR="009A3647">
        <w:t xml:space="preserve"> for </w:t>
      </w:r>
      <w:r w:rsidR="00C7559B">
        <w:t>providing this</w:t>
      </w:r>
      <w:r w:rsidR="004F6E29">
        <w:t xml:space="preserve"> service</w:t>
      </w:r>
      <w:r w:rsidRPr="00CD2C9F" w:rsidR="00D57E0E">
        <w:t>.</w:t>
      </w:r>
      <w:r>
        <w:rPr>
          <w:rStyle w:val="FootnoteReference"/>
        </w:rPr>
        <w:footnoteReference w:id="24"/>
      </w:r>
      <w:r w:rsidRPr="00CD2C9F" w:rsidR="00D57E0E">
        <w:t xml:space="preserve">  The Commission found that “Commission policy clearly allows </w:t>
      </w:r>
      <w:r w:rsidR="00D57E0E">
        <w:t>BPA</w:t>
      </w:r>
      <w:r w:rsidRPr="00CD2C9F" w:rsidR="00D57E0E">
        <w:t xml:space="preserve"> to discontinue paying all its merchants for inside the deadband reactive power service</w:t>
      </w:r>
      <w:r w:rsidR="00E330CC">
        <w:t>,</w:t>
      </w:r>
      <w:r w:rsidRPr="00705808" w:rsidR="00D57E0E">
        <w:t xml:space="preserve">” </w:t>
      </w:r>
      <w:r w:rsidR="003141A4">
        <w:t xml:space="preserve">explaining </w:t>
      </w:r>
      <w:r w:rsidR="00B961A8">
        <w:t>that “[t]</w:t>
      </w:r>
      <w:r w:rsidRPr="00B961A8" w:rsidR="00B961A8">
        <w:t>he Commission</w:t>
      </w:r>
      <w:r w:rsidR="000639D1">
        <w:t>’</w:t>
      </w:r>
      <w:r w:rsidRPr="00B961A8" w:rsidR="00B961A8">
        <w:t xml:space="preserve">s policy is not new; we confirmed it in Order No. 2003, when we stated that an interconnecting generator </w:t>
      </w:r>
      <w:r w:rsidR="004C7D77">
        <w:t>‘</w:t>
      </w:r>
      <w:r w:rsidRPr="00B961A8" w:rsidR="00B961A8">
        <w:t>should not be compensated for reactive power when operating its Generating Facility within the established power factor range, since it is only meeting its obligation</w:t>
      </w:r>
      <w:r w:rsidR="004C7D77">
        <w:t>.”</w:t>
      </w:r>
      <w:r>
        <w:rPr>
          <w:rStyle w:val="FootnoteReference"/>
        </w:rPr>
        <w:footnoteReference w:id="25"/>
      </w:r>
    </w:p>
    <w:p w:rsidR="00D57E0E" w:rsidRPr="00CD2C9F" w:rsidP="001C2325" w14:paraId="2F5F6964" w14:textId="6ABDB17D">
      <w:pPr>
        <w:pStyle w:val="FERCparanumber"/>
        <w:tabs>
          <w:tab w:val="clear" w:pos="720"/>
        </w:tabs>
      </w:pPr>
      <w:r w:rsidRPr="00CD2C9F">
        <w:t xml:space="preserve">The Commission </w:t>
      </w:r>
      <w:r w:rsidR="001A4B6C">
        <w:t xml:space="preserve">has </w:t>
      </w:r>
      <w:r w:rsidRPr="00CD2C9F">
        <w:t xml:space="preserve">also found that a transmission provider’s decision to end compensation for reactive power within the standard power factor range </w:t>
      </w:r>
      <w:r w:rsidR="001A4B6C">
        <w:t>does</w:t>
      </w:r>
      <w:r w:rsidRPr="00CD2C9F">
        <w:t xml:space="preserve"> not compromise </w:t>
      </w:r>
      <w:r w:rsidR="005D63B6">
        <w:t>a generating facility’s</w:t>
      </w:r>
      <w:r w:rsidRPr="00CD2C9F">
        <w:t xml:space="preserve"> ability to recover costs that </w:t>
      </w:r>
      <w:r w:rsidR="009662BA">
        <w:t>it</w:t>
      </w:r>
      <w:r w:rsidRPr="00CD2C9F" w:rsidR="009662BA">
        <w:t xml:space="preserve"> </w:t>
      </w:r>
      <w:r w:rsidRPr="00CD2C9F">
        <w:t xml:space="preserve">may incur in producing reactive power within </w:t>
      </w:r>
      <w:r w:rsidR="005C7D8A">
        <w:t>this</w:t>
      </w:r>
      <w:r w:rsidRPr="00CD2C9F" w:rsidR="005C7D8A">
        <w:t xml:space="preserve"> </w:t>
      </w:r>
      <w:r w:rsidRPr="00CD2C9F">
        <w:t>range.</w:t>
      </w:r>
      <w:r>
        <w:rPr>
          <w:rStyle w:val="FootnoteReference"/>
        </w:rPr>
        <w:footnoteReference w:id="26"/>
      </w:r>
      <w:r w:rsidRPr="00CD2C9F">
        <w:t xml:space="preserve">  </w:t>
      </w:r>
      <w:r w:rsidR="001A4B6C">
        <w:t xml:space="preserve">For example, </w:t>
      </w:r>
      <w:r w:rsidR="003B69AA">
        <w:t>t</w:t>
      </w:r>
      <w:r w:rsidRPr="00705808">
        <w:t xml:space="preserve">he </w:t>
      </w:r>
      <w:r w:rsidRPr="006056E4">
        <w:t xml:space="preserve">Commission </w:t>
      </w:r>
      <w:r w:rsidR="002F41C2">
        <w:t xml:space="preserve">has </w:t>
      </w:r>
      <w:r w:rsidR="0096327C">
        <w:t>observed</w:t>
      </w:r>
      <w:r w:rsidRPr="006056E4" w:rsidR="0096327C">
        <w:t xml:space="preserve"> that </w:t>
      </w:r>
      <w:r w:rsidRPr="006056E4" w:rsidR="001D1A4D">
        <w:t>generating facilities “</w:t>
      </w:r>
      <w:r w:rsidRPr="006056E4" w:rsidR="002F41C2">
        <w:t xml:space="preserve">may be able to recover </w:t>
      </w:r>
      <w:r w:rsidRPr="002F41C2" w:rsidR="002F41C2">
        <w:t>the</w:t>
      </w:r>
      <w:r w:rsidRPr="006056E4" w:rsidR="002F41C2">
        <w:t xml:space="preserve"> costs </w:t>
      </w:r>
      <w:r w:rsidRPr="002F41C2" w:rsidR="002F41C2">
        <w:t xml:space="preserve">for reactive power within the deadband </w:t>
      </w:r>
      <w:r w:rsidRPr="006056E4" w:rsidR="002F41C2">
        <w:t>in other ways—such as through higher power sales rates of their own</w:t>
      </w:r>
      <w:r w:rsidRPr="006056E4" w:rsidR="007C0F4B">
        <w:t>.</w:t>
      </w:r>
      <w:r w:rsidRPr="006056E4" w:rsidR="005C1FF4">
        <w:t>”</w:t>
      </w:r>
      <w:r>
        <w:rPr>
          <w:b/>
          <w:vertAlign w:val="superscript"/>
        </w:rPr>
        <w:footnoteReference w:id="27"/>
      </w:r>
      <w:r w:rsidR="005C1FF4">
        <w:t xml:space="preserve"> </w:t>
      </w:r>
      <w:r w:rsidR="007C0F4B">
        <w:t xml:space="preserve"> </w:t>
      </w:r>
      <w:r w:rsidR="00D771DF">
        <w:t>In response to</w:t>
      </w:r>
      <w:r w:rsidR="00183655">
        <w:t xml:space="preserve"> </w:t>
      </w:r>
      <w:r w:rsidR="00D771DF">
        <w:t>arguments by</w:t>
      </w:r>
      <w:r w:rsidR="00183655">
        <w:t xml:space="preserve"> </w:t>
      </w:r>
      <w:r w:rsidR="005D63B6">
        <w:t>certain</w:t>
      </w:r>
      <w:r w:rsidR="00183655">
        <w:t xml:space="preserve"> </w:t>
      </w:r>
      <w:r w:rsidR="00B64CDD">
        <w:t xml:space="preserve">independent </w:t>
      </w:r>
      <w:r w:rsidR="00B64CDD">
        <w:t xml:space="preserve">power producers </w:t>
      </w:r>
      <w:r w:rsidR="00183655">
        <w:t xml:space="preserve">that such </w:t>
      </w:r>
      <w:r w:rsidR="00B64CDD">
        <w:t xml:space="preserve">recovery is infeasible </w:t>
      </w:r>
      <w:r w:rsidR="003B0DED">
        <w:t xml:space="preserve">because of </w:t>
      </w:r>
      <w:r w:rsidRPr="00183655" w:rsidR="00183655">
        <w:t>competition</w:t>
      </w:r>
      <w:r w:rsidR="00B64CDD">
        <w:t xml:space="preserve">, the Commission </w:t>
      </w:r>
      <w:r w:rsidR="00E52284">
        <w:t xml:space="preserve">has </w:t>
      </w:r>
      <w:r w:rsidR="00DC7F00">
        <w:t>found</w:t>
      </w:r>
      <w:r w:rsidR="00626144">
        <w:t xml:space="preserve"> that</w:t>
      </w:r>
      <w:r w:rsidR="005C1FF4">
        <w:t xml:space="preserve"> </w:t>
      </w:r>
      <w:r w:rsidR="00CB1E22">
        <w:t>“</w:t>
      </w:r>
      <w:r w:rsidRPr="002F41C2" w:rsidR="002F41C2">
        <w:t xml:space="preserve">since the incremental cost of reactive power service within the deadband is minimal, the infeasibility argument </w:t>
      </w:r>
      <w:r w:rsidRPr="002F41C2" w:rsidR="002F41C2">
        <w:t xml:space="preserve">lacks plausibility. </w:t>
      </w:r>
      <w:r w:rsidR="00976CEB">
        <w:t xml:space="preserve"> </w:t>
      </w:r>
      <w:r w:rsidRPr="002F41C2" w:rsidR="002F41C2">
        <w:t>The purpose for which generation assets are built (including reactive power capability to maintain voltage levels for generation entering the grid) is to make sales of real power.</w:t>
      </w:r>
      <w:r w:rsidR="00260BEB">
        <w:t>”</w:t>
      </w:r>
      <w:r>
        <w:rPr>
          <w:b/>
          <w:vertAlign w:val="superscript"/>
        </w:rPr>
        <w:footnoteReference w:id="28"/>
      </w:r>
    </w:p>
    <w:p w:rsidR="002538BB" w:rsidP="007F3D6A" w14:paraId="74BC6D42" w14:textId="0A4EF296">
      <w:pPr>
        <w:pStyle w:val="FERCparanumber"/>
        <w:tabs>
          <w:tab w:val="clear" w:pos="720"/>
        </w:tabs>
      </w:pPr>
      <w:r w:rsidRPr="00CD2C9F">
        <w:t xml:space="preserve">The Commission made similar findings in </w:t>
      </w:r>
      <w:r w:rsidRPr="00CD2C9F">
        <w:rPr>
          <w:i/>
          <w:iCs/>
        </w:rPr>
        <w:t>MISO</w:t>
      </w:r>
      <w:r w:rsidRPr="00CD2C9F">
        <w:t>, wherein it accepted an FPA section 205 application by Midcontinent Independent System Operator, Inc. (MISO) transmission owners to end generator compensation for the provision of reactive power within the standard power factor range.</w:t>
      </w:r>
      <w:r>
        <w:rPr>
          <w:rStyle w:val="FootnoteReference"/>
        </w:rPr>
        <w:footnoteReference w:id="29"/>
      </w:r>
      <w:r w:rsidRPr="00CD2C9F">
        <w:t xml:space="preserve">  In accepting MISO transmission owners’ proposal, the Commission reiterated its longstanding policy “that the provision of reactive power within the standard power factor range is, in the first instance, an obligation of the interconnecting generator and good utility practice,” such that “MISO </w:t>
      </w:r>
      <w:r w:rsidR="0033237F">
        <w:t>[</w:t>
      </w:r>
      <w:r w:rsidRPr="00CD2C9F">
        <w:t>transmission owners</w:t>
      </w:r>
      <w:r w:rsidR="0033237F">
        <w:t>]</w:t>
      </w:r>
      <w:r w:rsidRPr="00CD2C9F">
        <w:t xml:space="preserve"> do not have an obligation to continue to compensate an independent generator for reactive power within the standard power factor range when its </w:t>
      </w:r>
      <w:r w:rsidRPr="00CD2C9F">
        <w:t>own or affiliated generators are no longer being compensated.”</w:t>
      </w:r>
      <w:r>
        <w:rPr>
          <w:rStyle w:val="FootnoteReference"/>
        </w:rPr>
        <w:footnoteReference w:id="30"/>
      </w:r>
      <w:r w:rsidRPr="00CD2C9F">
        <w:t xml:space="preserve">  The Commission also rejected any reliance arguments, reasoning in part that the provision of reactive power within the standard power factor range required little or no incremental investment</w:t>
      </w:r>
      <w:r w:rsidRPr="00AA40F0" w:rsidR="00AA40F0">
        <w:t xml:space="preserve"> </w:t>
      </w:r>
      <w:r w:rsidR="005124E3">
        <w:t>given</w:t>
      </w:r>
      <w:r w:rsidR="006D3620">
        <w:t xml:space="preserve"> </w:t>
      </w:r>
      <w:r w:rsidRPr="001C2325" w:rsidR="006D3620">
        <w:t>that</w:t>
      </w:r>
      <w:r w:rsidRPr="00CD2C9F" w:rsidR="00AA40F0">
        <w:t>, for both synchronous and non-synchronous generating facilities,</w:t>
      </w:r>
      <w:r>
        <w:rPr>
          <w:rStyle w:val="FootnoteReference"/>
        </w:rPr>
        <w:footnoteReference w:id="31"/>
      </w:r>
      <w:r w:rsidRPr="00CD2C9F" w:rsidR="00AA40F0">
        <w:t xml:space="preserve"> </w:t>
      </w:r>
      <w:r w:rsidRPr="007F3D6A" w:rsidR="00AA40F0">
        <w:t>the same equipment is used for the production of real power and reactive power</w:t>
      </w:r>
      <w:r w:rsidRPr="00CD2C9F" w:rsidR="00AA40F0">
        <w:t>.</w:t>
      </w:r>
      <w:r>
        <w:rPr>
          <w:b/>
          <w:vertAlign w:val="superscript"/>
        </w:rPr>
        <w:footnoteReference w:id="32"/>
      </w:r>
      <w:r w:rsidRPr="00CD2C9F" w:rsidR="00AA40F0">
        <w:t xml:space="preserve">  </w:t>
      </w:r>
      <w:r w:rsidRPr="00CD2C9F">
        <w:t>In addition, the Commission found that generating facilities have other opportunities, beyond Schedule 2, to seek to recover their costs of providing reactive power.</w:t>
      </w:r>
      <w:r>
        <w:rPr>
          <w:rStyle w:val="FootnoteReference"/>
        </w:rPr>
        <w:footnoteReference w:id="33"/>
      </w:r>
    </w:p>
    <w:p w:rsidR="005B3817" w:rsidRPr="00CD2C9F" w:rsidP="005B3817" w14:paraId="56B7C70E" w14:textId="3691F82C">
      <w:pPr>
        <w:pStyle w:val="FERCparanumber"/>
      </w:pPr>
      <w:bookmarkStart w:id="7" w:name="_Ref156907411"/>
      <w:r w:rsidRPr="00CD2C9F">
        <w:t>Consistent with Order Nos. 2003 and 2003-A</w:t>
      </w:r>
      <w:r w:rsidR="00C26826">
        <w:t xml:space="preserve"> and other</w:t>
      </w:r>
      <w:r w:rsidR="009E19F2">
        <w:t xml:space="preserve"> Commission precedent</w:t>
      </w:r>
      <w:r w:rsidRPr="00CD2C9F">
        <w:t xml:space="preserve">, </w:t>
      </w:r>
      <w:r w:rsidRPr="00C9296A" w:rsidR="00C9296A">
        <w:t>multiple RTO</w:t>
      </w:r>
      <w:r w:rsidR="00E5055C">
        <w:t>s/</w:t>
      </w:r>
      <w:r w:rsidRPr="00C9296A" w:rsidR="00C9296A">
        <w:t xml:space="preserve">ISOs and </w:t>
      </w:r>
      <w:r w:rsidRPr="00C9296A" w:rsidR="009E125E">
        <w:t>non</w:t>
      </w:r>
      <w:r w:rsidR="009E125E">
        <w:t>-</w:t>
      </w:r>
      <w:r w:rsidRPr="00C9296A" w:rsidR="00C9296A">
        <w:t xml:space="preserve">RTO/ISO transmission providers have elected not to compensate </w:t>
      </w:r>
      <w:r w:rsidRPr="00CD2C9F">
        <w:t xml:space="preserve">generating facilities </w:t>
      </w:r>
      <w:r w:rsidR="00E212B6">
        <w:t xml:space="preserve">for </w:t>
      </w:r>
      <w:r w:rsidRPr="00CD2C9F">
        <w:t>providing reactive power within the standard power factor range</w:t>
      </w:r>
      <w:r w:rsidR="00637A54">
        <w:t xml:space="preserve"> under Schedule 2 of t</w:t>
      </w:r>
      <w:r w:rsidR="006D7D02">
        <w:t>heir OATTs</w:t>
      </w:r>
      <w:r w:rsidRPr="00CD2C9F">
        <w:t>.</w:t>
      </w:r>
      <w:bookmarkStart w:id="8" w:name="_Ref158395051"/>
      <w:r>
        <w:rPr>
          <w:rStyle w:val="FootnoteReference"/>
        </w:rPr>
        <w:footnoteReference w:id="34"/>
      </w:r>
      <w:bookmarkEnd w:id="8"/>
    </w:p>
    <w:bookmarkEnd w:id="7"/>
    <w:p w:rsidR="004376DF" w:rsidP="004376DF" w14:paraId="6A7A45FE" w14:textId="31627591">
      <w:pPr>
        <w:pStyle w:val="FERCparanumber"/>
      </w:pPr>
      <w:r w:rsidRPr="00CD2C9F">
        <w:t>Of the six Commission-jurisdictional RTOs/ISOs, only three currently compensate generating facilities for reactive power provided within the standard power factor range.  Generating facilities in PJM Interconnection, L.L.C. (PJM)</w:t>
      </w:r>
      <w:r>
        <w:rPr>
          <w:rStyle w:val="FootnoteReference"/>
        </w:rPr>
        <w:footnoteReference w:id="35"/>
      </w:r>
      <w:r w:rsidRPr="00CD2C9F">
        <w:t xml:space="preserve"> generally</w:t>
      </w:r>
      <w:r w:rsidRPr="00CD2C9F">
        <w:t xml:space="preserve"> </w:t>
      </w:r>
      <w:r w:rsidRPr="00CD2C9F">
        <w:t>use the cost-based AEP Methodology to calculate cost-of-service rates for the production of reactive power.</w:t>
      </w:r>
      <w:r>
        <w:rPr>
          <w:rStyle w:val="FootnoteReference"/>
        </w:rPr>
        <w:footnoteReference w:id="36"/>
      </w:r>
      <w:r w:rsidRPr="00CD2C9F">
        <w:t xml:space="preserve">  Because the same generation equipment contributes to the production of both real power and reactive power, the AEP Methodology </w:t>
      </w:r>
      <w:r w:rsidR="00831F71">
        <w:t>allocate</w:t>
      </w:r>
      <w:r w:rsidR="00E6706E">
        <w:t>s</w:t>
      </w:r>
      <w:r w:rsidR="00831F71">
        <w:t xml:space="preserve"> the costs of</w:t>
      </w:r>
      <w:r w:rsidRPr="00CD2C9F">
        <w:t xml:space="preserve"> each piece of equipment to real power </w:t>
      </w:r>
      <w:r w:rsidR="00AB04CE">
        <w:t xml:space="preserve">service </w:t>
      </w:r>
      <w:r w:rsidRPr="00CD2C9F">
        <w:t xml:space="preserve">and reactive power </w:t>
      </w:r>
      <w:r w:rsidR="00AB04CE">
        <w:t xml:space="preserve">service </w:t>
      </w:r>
      <w:r w:rsidR="00C9045E">
        <w:t xml:space="preserve">by assigning </w:t>
      </w:r>
      <w:r w:rsidR="001E664A">
        <w:t xml:space="preserve">the cost of each </w:t>
      </w:r>
      <w:r w:rsidR="001E664A">
        <w:t>piece of equipment to</w:t>
      </w:r>
      <w:r w:rsidR="00311DF2">
        <w:t xml:space="preserve"> </w:t>
      </w:r>
      <w:r w:rsidR="00CB672C">
        <w:t>either real power service, reactive power service, or both</w:t>
      </w:r>
      <w:r w:rsidRPr="00705808">
        <w:t>.</w:t>
      </w:r>
      <w:r>
        <w:t xml:space="preserve">  </w:t>
      </w:r>
      <w:r w:rsidR="000D130F">
        <w:t xml:space="preserve">          </w:t>
      </w:r>
      <w:r w:rsidRPr="00CD2C9F">
        <w:t>ISO New England Inc. (ISO-NE)</w:t>
      </w:r>
      <w:r>
        <w:rPr>
          <w:rStyle w:val="FootnoteReference"/>
        </w:rPr>
        <w:footnoteReference w:id="37"/>
      </w:r>
      <w:r w:rsidRPr="00CD2C9F">
        <w:t xml:space="preserve"> and New York Independent System Operator, Inc. (NYISO)</w:t>
      </w:r>
      <w:r>
        <w:rPr>
          <w:rStyle w:val="FootnoteReference"/>
        </w:rPr>
        <w:footnoteReference w:id="38"/>
      </w:r>
      <w:r w:rsidRPr="00CD2C9F">
        <w:t xml:space="preserve"> compensate</w:t>
      </w:r>
      <w:r w:rsidR="00575F59">
        <w:t xml:space="preserve"> g</w:t>
      </w:r>
      <w:r w:rsidRPr="00CD2C9F" w:rsidR="00575F59">
        <w:t xml:space="preserve">enerating facilities </w:t>
      </w:r>
      <w:r w:rsidRPr="00CD2C9F">
        <w:t>for reactive power under flat rate designs that are adjusted for inflation.</w:t>
      </w:r>
      <w:r>
        <w:rPr>
          <w:rStyle w:val="FootnoteReference"/>
        </w:rPr>
        <w:footnoteReference w:id="39"/>
      </w:r>
    </w:p>
    <w:p w:rsidR="005B3817" w:rsidRPr="00CD2C9F" w:rsidP="005B3817" w14:paraId="788F8D9E" w14:textId="5765765A">
      <w:pPr>
        <w:pStyle w:val="FERCparanumber"/>
      </w:pPr>
      <w:r w:rsidRPr="00CD2C9F">
        <w:t>California Independent System Operator Corporation (CAISO),</w:t>
      </w:r>
      <w:r>
        <w:rPr>
          <w:rStyle w:val="FootnoteReference"/>
        </w:rPr>
        <w:footnoteReference w:id="40"/>
      </w:r>
      <w:r w:rsidRPr="00CD2C9F">
        <w:t xml:space="preserve"> Southwest Power Pool, Inc. (SPP),</w:t>
      </w:r>
      <w:r>
        <w:rPr>
          <w:rStyle w:val="FootnoteReference"/>
        </w:rPr>
        <w:footnoteReference w:id="41"/>
      </w:r>
      <w:r w:rsidRPr="00CD2C9F">
        <w:t xml:space="preserve"> and MISO</w:t>
      </w:r>
      <w:r>
        <w:rPr>
          <w:rStyle w:val="FootnoteReference"/>
        </w:rPr>
        <w:footnoteReference w:id="42"/>
      </w:r>
      <w:r w:rsidRPr="00CD2C9F">
        <w:t xml:space="preserve"> do not pay separately for reactive power within the standard power factor range.</w:t>
      </w:r>
    </w:p>
    <w:p w:rsidR="00D374EE" w:rsidRPr="00CD2C9F" w:rsidP="005B3817" w14:paraId="10E2FF45" w14:textId="262D7EFF">
      <w:pPr>
        <w:pStyle w:val="FERCparanumber"/>
      </w:pPr>
      <w:r w:rsidRPr="00CD2C9F">
        <w:t xml:space="preserve">Outside the RTOs/ISOs, transmission providers that pay for the provision of reactive power within the standard power factor range generally </w:t>
      </w:r>
      <w:r w:rsidR="00B20881">
        <w:t xml:space="preserve">use the </w:t>
      </w:r>
      <w:r w:rsidRPr="00CD2C9F">
        <w:t xml:space="preserve">AEP </w:t>
      </w:r>
      <w:r w:rsidRPr="00CD2C9F">
        <w:t xml:space="preserve">Methodology to set reactive power compensation on an individual generating facility basis.  </w:t>
      </w:r>
      <w:r>
        <w:t>Many</w:t>
      </w:r>
      <w:r w:rsidRPr="00CD2C9F">
        <w:t xml:space="preserve"> non-RTO/ISO transmission providers do not pay separately for reactive power provided within the standard power factor range.</w:t>
      </w:r>
      <w:r>
        <w:rPr>
          <w:rStyle w:val="FootnoteReference"/>
        </w:rPr>
        <w:footnoteReference w:id="43"/>
      </w:r>
    </w:p>
    <w:p w:rsidR="00FF3E2F" w:rsidRPr="00C06B6B" w:rsidP="00885F94" w14:paraId="6DF5041D" w14:textId="1DA5381A">
      <w:pPr>
        <w:pStyle w:val="Heading2"/>
        <w:rPr>
          <w:u w:val="single"/>
        </w:rPr>
      </w:pPr>
      <w:bookmarkStart w:id="9" w:name="_bmk3"/>
      <w:r w:rsidRPr="00C06B6B">
        <w:rPr>
          <w:u w:val="single"/>
        </w:rPr>
        <w:t>N</w:t>
      </w:r>
      <w:bookmarkEnd w:id="9"/>
      <w:r w:rsidRPr="00C06B6B">
        <w:rPr>
          <w:u w:val="single"/>
        </w:rPr>
        <w:t>otice of Inquiry</w:t>
      </w:r>
      <w:r w:rsidRPr="00C06B6B" w:rsidR="00267118">
        <w:rPr>
          <w:u w:val="single"/>
        </w:rPr>
        <w:t xml:space="preserve"> and Notice of Proposed Rulemaking</w:t>
      </w:r>
    </w:p>
    <w:p w:rsidR="00AE0CCE" w:rsidP="00426D89" w14:paraId="55002215" w14:textId="53334B80">
      <w:pPr>
        <w:pStyle w:val="FERCparanumber"/>
      </w:pPr>
      <w:r w:rsidRPr="00CD2C9F">
        <w:t>On November 18, 2021, the Commission issued a N</w:t>
      </w:r>
      <w:r w:rsidR="00267118">
        <w:t xml:space="preserve">otice </w:t>
      </w:r>
      <w:r w:rsidR="00C131D3">
        <w:t>o</w:t>
      </w:r>
      <w:r w:rsidR="00267118">
        <w:t xml:space="preserve">f </w:t>
      </w:r>
      <w:r w:rsidRPr="00CD2C9F">
        <w:t>I</w:t>
      </w:r>
      <w:r w:rsidR="00267118">
        <w:t>nquiry (NOI</w:t>
      </w:r>
      <w:r w:rsidR="008864D9">
        <w:t>)</w:t>
      </w:r>
      <w:r>
        <w:rPr>
          <w:b/>
          <w:vertAlign w:val="superscript"/>
        </w:rPr>
        <w:footnoteReference w:id="44"/>
      </w:r>
      <w:r w:rsidRPr="00CD2C9F">
        <w:t xml:space="preserve"> </w:t>
      </w:r>
      <w:r w:rsidR="00CA0D7B">
        <w:t xml:space="preserve">in this proceeding, </w:t>
      </w:r>
      <w:r w:rsidRPr="00CD2C9F">
        <w:t>seeking comment on various issues regarding reactive power compensation and market design as a result of the significant changes that have taken place in the electric industry in the last two decades, including changes in the generation resource mix and a general shift away from cost-of-service rates for generating facilities selling into</w:t>
      </w:r>
      <w:r w:rsidR="00067262">
        <w:t xml:space="preserve"> </w:t>
      </w:r>
      <w:r w:rsidRPr="00CD2C9F">
        <w:t>Commission-jurisdictional markets.  Generally, the Commission sought to “examine whether the current regime for reactive power capability compensation require</w:t>
      </w:r>
      <w:r>
        <w:t>s</w:t>
      </w:r>
      <w:r w:rsidRPr="00CD2C9F">
        <w:t xml:space="preserve"> revisions </w:t>
      </w:r>
      <w:r w:rsidRPr="00CD2C9F">
        <w:t>to ensure that payments for reactive power capability accurately reflect</w:t>
      </w:r>
      <w:r w:rsidRPr="00CD2C9F">
        <w:t xml:space="preserve"> </w:t>
      </w:r>
      <w:r w:rsidRPr="00CD2C9F">
        <w:t>the costs associated with reactive power capability.”</w:t>
      </w:r>
      <w:r>
        <w:rPr>
          <w:rStyle w:val="FootnoteReference"/>
        </w:rPr>
        <w:footnoteReference w:id="45"/>
      </w:r>
    </w:p>
    <w:p w:rsidR="00652A0E" w:rsidP="00426D89" w14:paraId="1BFCFE8E" w14:textId="11BD26BB">
      <w:pPr>
        <w:pStyle w:val="FERCparanumber"/>
      </w:pPr>
      <w:r>
        <w:t xml:space="preserve">On March 21, 2024, the Commission issued a NOPR in </w:t>
      </w:r>
      <w:r w:rsidR="00CC5022">
        <w:t>this</w:t>
      </w:r>
      <w:r>
        <w:t xml:space="preserve"> same proceeding</w:t>
      </w:r>
      <w:r>
        <w:t>.</w:t>
      </w:r>
      <w:r w:rsidR="002A0937">
        <w:t xml:space="preserve"> </w:t>
      </w:r>
      <w:r>
        <w:t>B</w:t>
      </w:r>
      <w:r w:rsidRPr="00652A0E">
        <w:t xml:space="preserve">ased on </w:t>
      </w:r>
      <w:r>
        <w:t>a</w:t>
      </w:r>
      <w:r w:rsidRPr="00652A0E">
        <w:t xml:space="preserve"> review of the comments submitted in response to the Commission’s </w:t>
      </w:r>
      <w:r>
        <w:t>NOI</w:t>
      </w:r>
      <w:r w:rsidRPr="00652A0E">
        <w:t xml:space="preserve"> in the instant docket, as well as the Commission’s experience in the years since the issuance of Order </w:t>
      </w:r>
      <w:r w:rsidRPr="00705808">
        <w:t>No</w:t>
      </w:r>
      <w:r w:rsidRPr="009901CA" w:rsidR="005C745E">
        <w:t>s</w:t>
      </w:r>
      <w:r w:rsidRPr="00705808">
        <w:t>.</w:t>
      </w:r>
      <w:r w:rsidR="005C745E">
        <w:t xml:space="preserve"> </w:t>
      </w:r>
      <w:r w:rsidRPr="001C2325" w:rsidR="005C745E">
        <w:t>2003 and</w:t>
      </w:r>
      <w:r w:rsidRPr="00652A0E">
        <w:t xml:space="preserve"> 2003-A, </w:t>
      </w:r>
      <w:r>
        <w:t xml:space="preserve">the NOPR </w:t>
      </w:r>
      <w:r w:rsidRPr="00652A0E">
        <w:t xml:space="preserve">preliminarily </w:t>
      </w:r>
      <w:r>
        <w:t>found</w:t>
      </w:r>
      <w:r w:rsidRPr="00652A0E">
        <w:t xml:space="preserve"> </w:t>
      </w:r>
      <w:r w:rsidRPr="00CB12BE" w:rsidR="00CB12BE">
        <w:t>that where transmission providers require transmission customers to pay for the provision of reactive power within the standard power factor range, transmission rates may be unjust and unreasonable, as they include costs without a sufficient economic basis or justification</w:t>
      </w:r>
      <w:r w:rsidRPr="00652A0E">
        <w:t xml:space="preserve">.  </w:t>
      </w:r>
      <w:r w:rsidR="00C6315C">
        <w:t xml:space="preserve">In support of </w:t>
      </w:r>
      <w:r w:rsidR="002700F8">
        <w:t xml:space="preserve">such preliminary finding, the </w:t>
      </w:r>
      <w:r>
        <w:t>NO</w:t>
      </w:r>
      <w:r w:rsidR="005F3C44">
        <w:t>PR</w:t>
      </w:r>
      <w:r>
        <w:t xml:space="preserve"> explained that </w:t>
      </w:r>
      <w:r w:rsidRPr="00B96CFD" w:rsidR="00B96CFD">
        <w:t>generating facilit</w:t>
      </w:r>
      <w:r w:rsidR="00B96CFD">
        <w:t>ies</w:t>
      </w:r>
      <w:r w:rsidRPr="00B96CFD" w:rsidR="00B96CFD">
        <w:t xml:space="preserve"> provide reactive power within the standard power factor range at no cost or </w:t>
      </w:r>
      <w:r w:rsidRPr="00B96CFD" w:rsidR="00B96CFD">
        <w:rPr>
          <w:i/>
          <w:iCs/>
        </w:rPr>
        <w:t>de minimis</w:t>
      </w:r>
      <w:r w:rsidRPr="00B96CFD" w:rsidR="00B96CFD">
        <w:rPr>
          <w:i/>
        </w:rPr>
        <w:t xml:space="preserve"> </w:t>
      </w:r>
      <w:r w:rsidRPr="00B96CFD" w:rsidR="00B96CFD">
        <w:t>cost</w:t>
      </w:r>
      <w:r w:rsidRPr="009901CA" w:rsidR="00D26EA0">
        <w:t>,</w:t>
      </w:r>
      <w:r w:rsidRPr="00B96CFD" w:rsidR="00B96CFD">
        <w:t xml:space="preserve"> and</w:t>
      </w:r>
      <w:r w:rsidRPr="00705808" w:rsidR="00B96CFD">
        <w:t xml:space="preserve"> </w:t>
      </w:r>
      <w:r w:rsidRPr="001C2325" w:rsidR="00D26EA0">
        <w:t>that</w:t>
      </w:r>
      <w:r w:rsidRPr="00B96CFD" w:rsidR="00B96CFD">
        <w:t xml:space="preserve"> providing reactive power within the standard power factor range is </w:t>
      </w:r>
      <w:r w:rsidRPr="001C2325" w:rsidR="007461F6">
        <w:t>already</w:t>
      </w:r>
      <w:r w:rsidR="007461F6">
        <w:t xml:space="preserve"> </w:t>
      </w:r>
      <w:r w:rsidRPr="00B96CFD" w:rsidR="00B96CFD">
        <w:t>an obligation of the generating facility as an interconnection customer and consistent with good utility practice</w:t>
      </w:r>
      <w:r w:rsidRPr="00652A0E">
        <w:t>.</w:t>
      </w:r>
      <w:r>
        <w:rPr>
          <w:b/>
          <w:vertAlign w:val="superscript"/>
        </w:rPr>
        <w:footnoteReference w:id="46"/>
      </w:r>
      <w:r w:rsidRPr="00652A0E">
        <w:t xml:space="preserve">  </w:t>
      </w:r>
      <w:r w:rsidR="00E77767">
        <w:t xml:space="preserve">The NOPR also stated that current </w:t>
      </w:r>
      <w:r w:rsidRPr="00B96CFD" w:rsidR="00E77767">
        <w:t>compensation may result in undue compensation or other market distortions</w:t>
      </w:r>
      <w:r w:rsidR="00E77767">
        <w:t xml:space="preserve">.  </w:t>
      </w:r>
      <w:r w:rsidR="00444D1B">
        <w:t>T</w:t>
      </w:r>
      <w:r>
        <w:t>he NOPR</w:t>
      </w:r>
      <w:r w:rsidRPr="00652A0E">
        <w:t xml:space="preserve"> propose</w:t>
      </w:r>
      <w:r>
        <w:t>d</w:t>
      </w:r>
      <w:r w:rsidRPr="000D3677" w:rsidR="000D3677">
        <w:t>, pursuant to FPA section 206,</w:t>
      </w:r>
      <w:r>
        <w:rPr>
          <w:b/>
          <w:vertAlign w:val="superscript"/>
        </w:rPr>
        <w:footnoteReference w:id="47"/>
      </w:r>
      <w:r w:rsidRPr="000D3677" w:rsidR="000D3677">
        <w:t xml:space="preserve"> that a just and reasonable replacement rate </w:t>
      </w:r>
      <w:r w:rsidR="00444D1B">
        <w:t>wa</w:t>
      </w:r>
      <w:r w:rsidRPr="000D3677" w:rsidR="000D3677">
        <w:t>s to prohibit transmission providers from including in their transmission rates any charges associated with the</w:t>
      </w:r>
      <w:r w:rsidRPr="000D3677" w:rsidR="000D3677">
        <w:t xml:space="preserve"> </w:t>
      </w:r>
      <w:r w:rsidRPr="000D3677" w:rsidR="000D3677">
        <w:t>supply of reactive power within the standard power factor range from a generating facility</w:t>
      </w:r>
      <w:r w:rsidR="003F18DE">
        <w:t>.</w:t>
      </w:r>
    </w:p>
    <w:p w:rsidR="00652A0E" w:rsidRPr="00CD2C9F" w:rsidP="00652A0E" w14:paraId="75DC7C51" w14:textId="6DC42374">
      <w:pPr>
        <w:pStyle w:val="FERCparanumber"/>
        <w:tabs>
          <w:tab w:val="clear" w:pos="720"/>
        </w:tabs>
      </w:pPr>
      <w:r>
        <w:t>Specifically, the NOPR</w:t>
      </w:r>
      <w:r w:rsidRPr="00CD2C9F">
        <w:t xml:space="preserve"> propose</w:t>
      </w:r>
      <w:r>
        <w:t>d</w:t>
      </w:r>
      <w:r w:rsidRPr="00CD2C9F">
        <w:t xml:space="preserve"> to add the following sentence to the end of Schedule 2 of the </w:t>
      </w:r>
      <w:r w:rsidRPr="00652A0E">
        <w:rPr>
          <w:i/>
          <w:iCs/>
        </w:rPr>
        <w:t>pro forma</w:t>
      </w:r>
      <w:r w:rsidRPr="00CD2C9F">
        <w:t xml:space="preserve"> OATT:</w:t>
      </w:r>
      <w:r>
        <w:rPr>
          <w:rStyle w:val="FootnoteReference"/>
        </w:rPr>
        <w:footnoteReference w:id="48"/>
      </w:r>
      <w:r>
        <w:t xml:space="preserve">  </w:t>
      </w:r>
      <w:r w:rsidRPr="00CD2C9F">
        <w:t xml:space="preserve">“However, such rates shall not include compensation to generating facilities for the supply of reactive power within the power factor range specified in its interconnection agreement.”  Second, </w:t>
      </w:r>
      <w:r>
        <w:t>the NOPR</w:t>
      </w:r>
      <w:r w:rsidRPr="00CD2C9F">
        <w:t xml:space="preserve"> propose</w:t>
      </w:r>
      <w:r>
        <w:t>d</w:t>
      </w:r>
      <w:r w:rsidRPr="00CD2C9F">
        <w:t xml:space="preserve"> to remove the following clause from </w:t>
      </w:r>
      <w:r w:rsidR="003D4C16">
        <w:t xml:space="preserve">section 9.6.3 of </w:t>
      </w:r>
      <w:r w:rsidRPr="00CD2C9F">
        <w:t xml:space="preserve">the </w:t>
      </w:r>
      <w:r w:rsidRPr="00652A0E">
        <w:rPr>
          <w:i/>
          <w:iCs/>
        </w:rPr>
        <w:t>pro forma</w:t>
      </w:r>
      <w:r w:rsidRPr="00CD2C9F">
        <w:t xml:space="preserve"> LGIA:</w:t>
      </w:r>
      <w:r>
        <w:rPr>
          <w:rStyle w:val="FootnoteReference"/>
        </w:rPr>
        <w:footnoteReference w:id="49"/>
      </w:r>
      <w:r>
        <w:t xml:space="preserve">  </w:t>
      </w:r>
      <w:r w:rsidRPr="00CD2C9F">
        <w:t xml:space="preserve">“provided that if Transmission Provider pays its own or affiliated generators for reactive power service within the specified range, it must also pay Interconnection Customer.”  Third, </w:t>
      </w:r>
      <w:r>
        <w:t>the NOPR</w:t>
      </w:r>
      <w:r w:rsidRPr="00CD2C9F">
        <w:t xml:space="preserve"> propose</w:t>
      </w:r>
      <w:r>
        <w:t>d</w:t>
      </w:r>
      <w:r w:rsidRPr="00CD2C9F">
        <w:t xml:space="preserve"> to remove the following sentence from </w:t>
      </w:r>
      <w:r w:rsidR="003D4C16">
        <w:t xml:space="preserve">section 1.8.2 of </w:t>
      </w:r>
      <w:r w:rsidRPr="00CD2C9F">
        <w:t xml:space="preserve">the </w:t>
      </w:r>
      <w:r w:rsidRPr="00652A0E">
        <w:rPr>
          <w:i/>
          <w:iCs/>
        </w:rPr>
        <w:t>pro forma</w:t>
      </w:r>
      <w:r w:rsidRPr="00CD2C9F">
        <w:t xml:space="preserve"> SGIA:</w:t>
      </w:r>
      <w:r>
        <w:rPr>
          <w:rStyle w:val="FootnoteReference"/>
        </w:rPr>
        <w:footnoteReference w:id="50"/>
      </w:r>
      <w:r>
        <w:t xml:space="preserve">  </w:t>
      </w:r>
      <w:r w:rsidRPr="00CD2C9F">
        <w:t>“In addition, if the Transmission Provider pays its own or affiliated generators for reactive power service within the specified range, it must also pay the Interconnection Customer.”</w:t>
      </w:r>
    </w:p>
    <w:p w:rsidR="0005278A" w:rsidRPr="0005278A" w:rsidP="000D130F" w14:paraId="6FBBD6E3" w14:textId="565B746D">
      <w:pPr>
        <w:pStyle w:val="FERCparanumber"/>
        <w:keepLines/>
        <w:widowControl w:val="0"/>
      </w:pPr>
      <w:r w:rsidRPr="0005278A">
        <w:t>Comments</w:t>
      </w:r>
      <w:r>
        <w:t xml:space="preserve"> on the NOPR were due on </w:t>
      </w:r>
      <w:r w:rsidR="00F8748F">
        <w:t>June 26, 2024</w:t>
      </w:r>
      <w:r>
        <w:t xml:space="preserve">.  </w:t>
      </w:r>
      <w:r w:rsidR="00E74B6C">
        <w:t>Thirty-one</w:t>
      </w:r>
      <w:r>
        <w:t xml:space="preserve"> parties filed comments</w:t>
      </w:r>
      <w:r w:rsidR="004B71F7">
        <w:t>.</w:t>
      </w:r>
      <w:r>
        <w:rPr>
          <w:rStyle w:val="FootnoteReference"/>
        </w:rPr>
        <w:footnoteReference w:id="51"/>
      </w:r>
      <w:r>
        <w:t xml:space="preserve"> </w:t>
      </w:r>
      <w:r w:rsidR="00533058">
        <w:t xml:space="preserve"> </w:t>
      </w:r>
      <w:r>
        <w:t xml:space="preserve">Comments were </w:t>
      </w:r>
      <w:r w:rsidR="003431E5">
        <w:t xml:space="preserve">submitted by </w:t>
      </w:r>
      <w:r>
        <w:t xml:space="preserve">RTOs/ISOs and other transmission providers, generating facilities, generation developers, transmission owners, load-serving entities (LSE), </w:t>
      </w:r>
      <w:r w:rsidRPr="007043F2" w:rsidR="007043F2">
        <w:t>Monitoring Analytics, LLC, acting in its capacity as the Independent Market Monitor for</w:t>
      </w:r>
      <w:r>
        <w:t xml:space="preserve"> PJM </w:t>
      </w:r>
      <w:r w:rsidR="007043F2">
        <w:t>(</w:t>
      </w:r>
      <w:r>
        <w:t>PJM IMM</w:t>
      </w:r>
      <w:r w:rsidR="007043F2">
        <w:t>)</w:t>
      </w:r>
      <w:r>
        <w:t xml:space="preserve">, trade associations representing specific generation technologies, and consumer advocates.  Of these, </w:t>
      </w:r>
      <w:r w:rsidR="00C1302F">
        <w:t xml:space="preserve">and </w:t>
      </w:r>
      <w:r>
        <w:t>with few exceptions, transmission owners, LSEs</w:t>
      </w:r>
      <w:r w:rsidRPr="00705808">
        <w:t xml:space="preserve">, </w:t>
      </w:r>
      <w:r>
        <w:t xml:space="preserve">the PJM IMM, </w:t>
      </w:r>
      <w:r w:rsidR="00BD62A7">
        <w:t>independent filers,</w:t>
      </w:r>
      <w:r>
        <w:rPr>
          <w:rStyle w:val="FootnoteReference"/>
        </w:rPr>
        <w:footnoteReference w:id="52"/>
      </w:r>
      <w:r w:rsidR="00BD62A7">
        <w:t xml:space="preserve"> </w:t>
      </w:r>
      <w:r>
        <w:t>and consumer advocates supported</w:t>
      </w:r>
      <w:r w:rsidR="00C1498E">
        <w:t xml:space="preserve"> or did not oppose</w:t>
      </w:r>
      <w:r>
        <w:t xml:space="preserve"> the NOPR proposal to eliminate compensation in the standard power factor range,</w:t>
      </w:r>
      <w:r>
        <w:rPr>
          <w:rStyle w:val="FootnoteReference"/>
        </w:rPr>
        <w:footnoteReference w:id="53"/>
      </w:r>
      <w:r>
        <w:t xml:space="preserve"> while generating facilities, generation developers, and trade associations representing specific generation technologies oppose the NOPR proposal.</w:t>
      </w:r>
      <w:r>
        <w:rPr>
          <w:rStyle w:val="FootnoteReference"/>
        </w:rPr>
        <w:footnoteReference w:id="54"/>
      </w:r>
    </w:p>
    <w:p w:rsidR="00466058" w:rsidRPr="00C06B6B" w:rsidP="0005278A" w14:paraId="2B5139DC" w14:textId="1D57B6B8">
      <w:pPr>
        <w:pStyle w:val="Heading1"/>
        <w:rPr>
          <w:u w:val="single"/>
        </w:rPr>
      </w:pPr>
      <w:bookmarkStart w:id="10" w:name="_bmk4"/>
      <w:bookmarkStart w:id="11" w:name="_Toc175819926"/>
      <w:bookmarkStart w:id="12" w:name="_Toc175819983"/>
      <w:r w:rsidRPr="00C06B6B">
        <w:rPr>
          <w:u w:val="single"/>
        </w:rPr>
        <w:t>D</w:t>
      </w:r>
      <w:bookmarkEnd w:id="10"/>
      <w:r w:rsidRPr="00C06B6B">
        <w:rPr>
          <w:u w:val="single"/>
        </w:rPr>
        <w:t>iscussion</w:t>
      </w:r>
    </w:p>
    <w:p w:rsidR="00134D97" w:rsidP="00E1233B" w14:paraId="2B1795C1" w14:textId="54BA2B63">
      <w:pPr>
        <w:pStyle w:val="FERCparanumber"/>
        <w:tabs>
          <w:tab w:val="clear" w:pos="720"/>
        </w:tabs>
      </w:pPr>
      <w:r>
        <w:t xml:space="preserve">In this </w:t>
      </w:r>
      <w:r w:rsidR="00126E54">
        <w:t>final rule</w:t>
      </w:r>
      <w:r>
        <w:t>, the Commission adopt</w:t>
      </w:r>
      <w:r w:rsidR="003D0C3B">
        <w:t>s</w:t>
      </w:r>
      <w:r>
        <w:t xml:space="preserve"> the NOPR as proposed</w:t>
      </w:r>
      <w:r w:rsidR="00DE1D0B">
        <w:t>,</w:t>
      </w:r>
      <w:r w:rsidR="0041049A">
        <w:t xml:space="preserve"> exc</w:t>
      </w:r>
      <w:r w:rsidR="00334E47">
        <w:t xml:space="preserve">ept </w:t>
      </w:r>
      <w:r w:rsidR="00615D5D">
        <w:t xml:space="preserve">with respect </w:t>
      </w:r>
      <w:r w:rsidR="004B5B51">
        <w:t xml:space="preserve">to </w:t>
      </w:r>
      <w:r w:rsidR="00615D5D">
        <w:t>the</w:t>
      </w:r>
      <w:r w:rsidR="00A854B1">
        <w:t xml:space="preserve"> timing of the</w:t>
      </w:r>
      <w:r w:rsidR="00615D5D">
        <w:t xml:space="preserve"> </w:t>
      </w:r>
      <w:r w:rsidR="004B5B51">
        <w:t>compliance procedures</w:t>
      </w:r>
      <w:r w:rsidR="00B733A2">
        <w:t xml:space="preserve"> and implementation</w:t>
      </w:r>
      <w:r>
        <w:t xml:space="preserve">.  </w:t>
      </w:r>
      <w:r w:rsidR="003834CD">
        <w:t>Based on our review of the record, we</w:t>
      </w:r>
      <w:r w:rsidR="00BF1D64">
        <w:t xml:space="preserve"> find there is substantial </w:t>
      </w:r>
      <w:r w:rsidR="00C80ED8">
        <w:t>evidence to support the conclusion</w:t>
      </w:r>
      <w:r w:rsidR="003834CD">
        <w:t xml:space="preserve"> that </w:t>
      </w:r>
      <w:r w:rsidR="00484629">
        <w:t xml:space="preserve">allowing transmission providers to charge transmission customers for a generating facility’s provision of </w:t>
      </w:r>
      <w:r w:rsidRPr="005975CF" w:rsidR="00484629">
        <w:t>reactive power within the standard power factor range</w:t>
      </w:r>
      <w:r w:rsidR="00484629">
        <w:t xml:space="preserve"> </w:t>
      </w:r>
      <w:r w:rsidRPr="00BB5F94" w:rsidR="00BB5F94">
        <w:t>result</w:t>
      </w:r>
      <w:r w:rsidR="00761BE9">
        <w:t>s</w:t>
      </w:r>
      <w:r w:rsidRPr="00BB5F94" w:rsidR="00BB5F94">
        <w:t xml:space="preserve"> in unjust and unreasonable transmission rates</w:t>
      </w:r>
      <w:r w:rsidRPr="00E2772B" w:rsidR="00BB5F94">
        <w:t xml:space="preserve">.  </w:t>
      </w:r>
      <w:r w:rsidRPr="00E2772B" w:rsidR="00711F21">
        <w:t>As explained in the NOPR, g</w:t>
      </w:r>
      <w:r w:rsidRPr="00E2772B" w:rsidR="00BB5F94">
        <w:t xml:space="preserve">enerating facilities providing reactive power within the standard power factor range are only meeting their obligations under their interconnection agreements and in accordance with good utility practice, and in doing so, </w:t>
      </w:r>
      <w:r w:rsidR="00592193">
        <w:t xml:space="preserve">incur </w:t>
      </w:r>
      <w:r w:rsidR="004F75F7">
        <w:t xml:space="preserve">no </w:t>
      </w:r>
      <w:r w:rsidRPr="006056E4" w:rsidR="004F75F7">
        <w:t xml:space="preserve">or at most </w:t>
      </w:r>
      <w:r w:rsidRPr="006056E4" w:rsidR="004F75F7">
        <w:rPr>
          <w:i/>
        </w:rPr>
        <w:t>de minimis</w:t>
      </w:r>
      <w:r w:rsidRPr="006056E4" w:rsidR="004F75F7">
        <w:t xml:space="preserve"> </w:t>
      </w:r>
      <w:r w:rsidR="00AD11BC">
        <w:t xml:space="preserve">variable </w:t>
      </w:r>
      <w:r w:rsidR="004F75F7">
        <w:t xml:space="preserve">costs </w:t>
      </w:r>
      <w:r w:rsidR="004F75F7">
        <w:t>beyond the cost of providing real power</w:t>
      </w:r>
      <w:r w:rsidRPr="00E2772B" w:rsidR="00BB5F94">
        <w:t xml:space="preserve">.  </w:t>
      </w:r>
      <w:r w:rsidRPr="00E2772B" w:rsidR="00752DAC">
        <w:t>More</w:t>
      </w:r>
      <w:r w:rsidR="00752DAC">
        <w:t xml:space="preserve">over, </w:t>
      </w:r>
      <w:r w:rsidRPr="00EF7F40" w:rsidR="00EF7F40">
        <w:t>providing compensation for the provision of reactive power within the standard power factor range risks overcompensation and market distortion</w:t>
      </w:r>
      <w:r w:rsidRPr="00EF7F40" w:rsidR="00EF7F40">
        <w:t xml:space="preserve"> in ways that did not exist prior to the existence of organized markets</w:t>
      </w:r>
      <w:r w:rsidR="00EF7F40">
        <w:t>.</w:t>
      </w:r>
      <w:r w:rsidR="00070C80">
        <w:t xml:space="preserve">  </w:t>
      </w:r>
    </w:p>
    <w:p w:rsidR="00D71A44" w:rsidP="00E1233B" w14:paraId="7ED66D27" w14:textId="2F4ACB92">
      <w:pPr>
        <w:pStyle w:val="FERCparanumber"/>
        <w:tabs>
          <w:tab w:val="clear" w:pos="720"/>
        </w:tabs>
      </w:pPr>
      <w:r>
        <w:t>W</w:t>
      </w:r>
      <w:r w:rsidRPr="00705808" w:rsidR="00070C80">
        <w:t xml:space="preserve">e </w:t>
      </w:r>
      <w:r w:rsidR="00D95097">
        <w:t>find</w:t>
      </w:r>
      <w:r w:rsidRPr="00705808" w:rsidR="00D95097">
        <w:t xml:space="preserve"> </w:t>
      </w:r>
      <w:r w:rsidRPr="00705808" w:rsidR="00070C80">
        <w:t>that these reforms will not adversely impact reliability</w:t>
      </w:r>
      <w:r w:rsidR="00573DCA">
        <w:t>.  We also</w:t>
      </w:r>
      <w:r w:rsidR="00573DCA">
        <w:t xml:space="preserve"> </w:t>
      </w:r>
      <w:r w:rsidR="00D95097">
        <w:t>find</w:t>
      </w:r>
      <w:r w:rsidR="00573DCA">
        <w:t xml:space="preserve"> that </w:t>
      </w:r>
      <w:r w:rsidRPr="00705808" w:rsidR="00070C80">
        <w:t xml:space="preserve">generating facilities </w:t>
      </w:r>
      <w:r w:rsidR="00272587">
        <w:t xml:space="preserve">have the opportunity to seek to recover </w:t>
      </w:r>
      <w:r w:rsidRPr="00705808" w:rsidR="00070C80">
        <w:t xml:space="preserve">any costs </w:t>
      </w:r>
      <w:r w:rsidRPr="00705808" w:rsidR="00070C80">
        <w:t xml:space="preserve">associated with </w:t>
      </w:r>
      <w:r w:rsidRPr="00705808" w:rsidR="00070C80">
        <w:t>providing reactive power within the standard power factor range</w:t>
      </w:r>
      <w:r w:rsidRPr="00705808" w:rsidR="00070C80">
        <w:t xml:space="preserve"> </w:t>
      </w:r>
      <w:r w:rsidRPr="00705808" w:rsidR="00070C80">
        <w:t xml:space="preserve">through </w:t>
      </w:r>
      <w:r w:rsidR="00E2371C">
        <w:t>their rates for selling real power</w:t>
      </w:r>
      <w:r w:rsidR="00BE1CEC">
        <w:t>, including</w:t>
      </w:r>
      <w:r w:rsidRPr="00705808" w:rsidR="00070C80">
        <w:t xml:space="preserve"> energy or capacity sales</w:t>
      </w:r>
      <w:r w:rsidR="005357A9">
        <w:t>, whether in organized or bilateral markets</w:t>
      </w:r>
      <w:r w:rsidR="00E20EDA">
        <w:t xml:space="preserve">.  </w:t>
      </w:r>
      <w:r w:rsidR="008D7B18">
        <w:t xml:space="preserve">Given </w:t>
      </w:r>
      <w:r w:rsidR="00B235CE">
        <w:t xml:space="preserve">that </w:t>
      </w:r>
      <w:r w:rsidRPr="00573DCA" w:rsidR="00573DCA">
        <w:t xml:space="preserve">the primary function of a generating </w:t>
      </w:r>
      <w:r w:rsidR="008D7B18">
        <w:t>facility</w:t>
      </w:r>
      <w:r w:rsidRPr="00573DCA" w:rsidR="00573DCA">
        <w:t xml:space="preserve"> is to produce real power</w:t>
      </w:r>
      <w:r w:rsidR="00715991">
        <w:t xml:space="preserve"> and that the provision of reactive power within the standard power factor range is </w:t>
      </w:r>
      <w:r w:rsidR="005B23F9">
        <w:t>necessary</w:t>
      </w:r>
      <w:r w:rsidR="00C867A0">
        <w:t xml:space="preserve"> </w:t>
      </w:r>
      <w:r w:rsidR="003A7413">
        <w:t>for</w:t>
      </w:r>
      <w:r w:rsidR="00C867A0">
        <w:t xml:space="preserve"> the provision of real power</w:t>
      </w:r>
      <w:r w:rsidR="001532B4">
        <w:t xml:space="preserve">, </w:t>
      </w:r>
      <w:r w:rsidR="00210CC6">
        <w:t>we find</w:t>
      </w:r>
      <w:r w:rsidR="00B235CE">
        <w:t xml:space="preserve"> that</w:t>
      </w:r>
      <w:r w:rsidR="00210CC6">
        <w:t xml:space="preserve"> </w:t>
      </w:r>
      <w:r w:rsidR="00D604CC">
        <w:t xml:space="preserve">the </w:t>
      </w:r>
      <w:r w:rsidR="00255D53">
        <w:t xml:space="preserve">existing </w:t>
      </w:r>
      <w:r w:rsidR="00702558">
        <w:t>means</w:t>
      </w:r>
      <w:r w:rsidR="00255D53">
        <w:t xml:space="preserve"> </w:t>
      </w:r>
      <w:r w:rsidR="004E79B0">
        <w:t xml:space="preserve">of </w:t>
      </w:r>
      <w:r w:rsidR="00E40FCD">
        <w:t xml:space="preserve">cost </w:t>
      </w:r>
      <w:r w:rsidR="004E79B0">
        <w:t>recovery</w:t>
      </w:r>
      <w:r w:rsidR="00E40FCD">
        <w:t xml:space="preserve"> </w:t>
      </w:r>
      <w:r w:rsidR="007C47F6">
        <w:t xml:space="preserve">for real power </w:t>
      </w:r>
      <w:r w:rsidR="0003282F">
        <w:t xml:space="preserve">are </w:t>
      </w:r>
      <w:r w:rsidR="00FD7015">
        <w:t>not only reasonable but also the most logical outcome.</w:t>
      </w:r>
    </w:p>
    <w:p w:rsidR="006B60ED" w:rsidP="00957566" w14:paraId="5B20824D" w14:textId="0EC29949">
      <w:pPr>
        <w:pStyle w:val="FERCparanumber"/>
        <w:tabs>
          <w:tab w:val="clear" w:pos="720"/>
        </w:tabs>
      </w:pPr>
      <w:r>
        <w:t xml:space="preserve">Based </w:t>
      </w:r>
      <w:r w:rsidR="00904D42">
        <w:t>on</w:t>
      </w:r>
      <w:r>
        <w:t xml:space="preserve"> </w:t>
      </w:r>
      <w:r w:rsidR="00904D42">
        <w:t>more than</w:t>
      </w:r>
      <w:r>
        <w:t xml:space="preserve"> </w:t>
      </w:r>
      <w:r w:rsidR="00904D42">
        <w:t xml:space="preserve">two decades of </w:t>
      </w:r>
      <w:r>
        <w:t>experience</w:t>
      </w:r>
      <w:r w:rsidR="004F3868">
        <w:t xml:space="preserve"> since</w:t>
      </w:r>
      <w:r w:rsidR="00C65315">
        <w:t xml:space="preserve"> Order No. 2003, </w:t>
      </w:r>
      <w:r w:rsidR="005974A5">
        <w:t xml:space="preserve">and the record </w:t>
      </w:r>
      <w:r w:rsidR="009C73FC">
        <w:t xml:space="preserve">developed in this </w:t>
      </w:r>
      <w:r w:rsidR="00DF76FF">
        <w:t>proceeding</w:t>
      </w:r>
      <w:r w:rsidR="009C73FC">
        <w:t xml:space="preserve">, </w:t>
      </w:r>
      <w:r w:rsidR="00B42A01">
        <w:t>we find that</w:t>
      </w:r>
      <w:r w:rsidR="003C23E0">
        <w:t>,</w:t>
      </w:r>
      <w:r w:rsidR="00B42A01">
        <w:t xml:space="preserve"> </w:t>
      </w:r>
      <w:r w:rsidR="005528EA">
        <w:t xml:space="preserve">even as a function of comparability, </w:t>
      </w:r>
      <w:r w:rsidR="002F7807">
        <w:t>charging</w:t>
      </w:r>
      <w:r w:rsidRPr="00705808" w:rsidR="004C76E1">
        <w:t xml:space="preserve"> transmission customers under Schedule 2</w:t>
      </w:r>
      <w:r w:rsidR="00E150FD">
        <w:t xml:space="preserve"> for the provision of reactive power within the standard power factor range</w:t>
      </w:r>
      <w:r w:rsidR="005E3877">
        <w:t xml:space="preserve"> </w:t>
      </w:r>
      <w:r w:rsidR="00435910">
        <w:t xml:space="preserve">has become </w:t>
      </w:r>
      <w:r w:rsidR="00F16D15">
        <w:t>unjust and unreasonabl</w:t>
      </w:r>
      <w:r w:rsidR="00FC7085">
        <w:t>e.</w:t>
      </w:r>
      <w:r w:rsidR="00304B48">
        <w:t xml:space="preserve"> </w:t>
      </w:r>
      <w:r w:rsidR="00483835">
        <w:t xml:space="preserve"> </w:t>
      </w:r>
      <w:r w:rsidR="0015408E">
        <w:t>As explained above</w:t>
      </w:r>
      <w:r w:rsidR="009D3053">
        <w:t xml:space="preserve"> and for the reasons discussed below</w:t>
      </w:r>
      <w:r w:rsidR="0015408E">
        <w:t xml:space="preserve">, </w:t>
      </w:r>
      <w:r w:rsidR="00527571">
        <w:t>in Order No. 2003, the Commission found generators should not receive compensation for the provision of reactive power within the standard power factor</w:t>
      </w:r>
      <w:r w:rsidR="00E87AA8">
        <w:t xml:space="preserve"> as it was an obligation of good utility practice</w:t>
      </w:r>
      <w:r w:rsidR="00527571">
        <w:t xml:space="preserve">.  </w:t>
      </w:r>
      <w:r w:rsidR="00DE67D1">
        <w:t>B</w:t>
      </w:r>
      <w:r w:rsidR="00527571">
        <w:t>ased on rehearing requests, in</w:t>
      </w:r>
      <w:r w:rsidR="0015408E">
        <w:t xml:space="preserve"> </w:t>
      </w:r>
      <w:r w:rsidRPr="00705808" w:rsidR="00F724F6">
        <w:t xml:space="preserve">Order </w:t>
      </w:r>
      <w:r w:rsidR="00527571">
        <w:t xml:space="preserve">No. </w:t>
      </w:r>
      <w:r w:rsidRPr="00705808" w:rsidR="00F724F6">
        <w:t>2003-A</w:t>
      </w:r>
      <w:r w:rsidR="00797005">
        <w:t>,</w:t>
      </w:r>
      <w:r w:rsidRPr="00705808" w:rsidR="00F724F6">
        <w:t xml:space="preserve"> </w:t>
      </w:r>
      <w:r w:rsidR="00527571">
        <w:t xml:space="preserve">the Commission </w:t>
      </w:r>
      <w:r w:rsidR="00FE7190">
        <w:t>agreed</w:t>
      </w:r>
      <w:r w:rsidR="0057582B">
        <w:t xml:space="preserve"> that whe</w:t>
      </w:r>
      <w:r w:rsidR="00764319">
        <w:t>re</w:t>
      </w:r>
      <w:r w:rsidR="00E87AA8">
        <w:t xml:space="preserve"> vertically integrated transmission owners continued to have rate schedules providing payment to their </w:t>
      </w:r>
      <w:r w:rsidR="001300C3">
        <w:t xml:space="preserve">affiliated </w:t>
      </w:r>
      <w:r w:rsidR="00E87AA8">
        <w:t>generat</w:t>
      </w:r>
      <w:r w:rsidR="005A3C6E">
        <w:t>ing facilities</w:t>
      </w:r>
      <w:r w:rsidR="00E87AA8">
        <w:t xml:space="preserve"> for reactive power service</w:t>
      </w:r>
      <w:r w:rsidR="00F07D4D">
        <w:t xml:space="preserve"> within the standard power</w:t>
      </w:r>
      <w:r w:rsidR="000653EC">
        <w:t xml:space="preserve"> </w:t>
      </w:r>
      <w:r w:rsidR="000653EC">
        <w:t>factor range</w:t>
      </w:r>
      <w:r w:rsidR="00B158E3">
        <w:t xml:space="preserve">, such transmission owners were </w:t>
      </w:r>
      <w:r w:rsidR="006B5BD8">
        <w:t>also required to pay non-affiliated interconnection customers</w:t>
      </w:r>
      <w:r w:rsidRPr="009204D8" w:rsidR="009204D8">
        <w:t xml:space="preserve"> </w:t>
      </w:r>
      <w:r w:rsidR="009204D8">
        <w:t xml:space="preserve">for the same provision </w:t>
      </w:r>
      <w:r w:rsidR="008B493F">
        <w:t xml:space="preserve">of </w:t>
      </w:r>
      <w:r w:rsidR="009204D8">
        <w:t>reactive power</w:t>
      </w:r>
      <w:r w:rsidR="00E87AA8">
        <w:t xml:space="preserve">.  </w:t>
      </w:r>
      <w:r w:rsidR="00D62F4F">
        <w:t>At the time</w:t>
      </w:r>
      <w:r w:rsidR="001F65B9">
        <w:t xml:space="preserve"> of Order No</w:t>
      </w:r>
      <w:r w:rsidR="00B235CE">
        <w:t>s</w:t>
      </w:r>
      <w:r w:rsidR="001F65B9">
        <w:t>. 2003</w:t>
      </w:r>
      <w:r w:rsidR="000A5AF8">
        <w:t xml:space="preserve"> and 2003-A,</w:t>
      </w:r>
      <w:r w:rsidR="001F65B9">
        <w:t xml:space="preserve"> </w:t>
      </w:r>
      <w:r w:rsidR="0066690B">
        <w:t>functional</w:t>
      </w:r>
      <w:r w:rsidR="00D62F4F">
        <w:t xml:space="preserve"> unbundling </w:t>
      </w:r>
      <w:r w:rsidR="00A2043D">
        <w:t>of transmission service</w:t>
      </w:r>
      <w:r>
        <w:rPr>
          <w:rStyle w:val="FootnoteReference"/>
        </w:rPr>
        <w:footnoteReference w:id="55"/>
      </w:r>
      <w:r w:rsidR="00A2043D">
        <w:t xml:space="preserve"> </w:t>
      </w:r>
      <w:r w:rsidR="00D62F4F">
        <w:t xml:space="preserve">and </w:t>
      </w:r>
      <w:r w:rsidR="00A2043D">
        <w:t xml:space="preserve">the development of </w:t>
      </w:r>
      <w:r w:rsidR="000E3599">
        <w:t>organized wholesale electricity markets</w:t>
      </w:r>
      <w:r>
        <w:rPr>
          <w:rStyle w:val="FootnoteReference"/>
        </w:rPr>
        <w:footnoteReference w:id="56"/>
      </w:r>
      <w:r w:rsidR="00A2043D">
        <w:t xml:space="preserve"> </w:t>
      </w:r>
      <w:r w:rsidR="0011077D">
        <w:t>were</w:t>
      </w:r>
      <w:r w:rsidR="00A2043D">
        <w:t xml:space="preserve"> relatively nascent</w:t>
      </w:r>
      <w:r w:rsidR="00D62F4F">
        <w:t xml:space="preserve">, </w:t>
      </w:r>
      <w:r w:rsidR="009373B2">
        <w:t xml:space="preserve">and </w:t>
      </w:r>
      <w:r w:rsidR="005A7114">
        <w:t xml:space="preserve">so too was </w:t>
      </w:r>
      <w:r w:rsidR="009373B2">
        <w:t>the Commission</w:t>
      </w:r>
      <w:r w:rsidR="00D56B61">
        <w:t>’s</w:t>
      </w:r>
      <w:r w:rsidR="00E0069A">
        <w:t xml:space="preserve"> </w:t>
      </w:r>
      <w:r w:rsidR="009373B2">
        <w:t>experience</w:t>
      </w:r>
      <w:r w:rsidR="00E0069A">
        <w:t xml:space="preserve"> with </w:t>
      </w:r>
      <w:r w:rsidR="006F1B78">
        <w:t xml:space="preserve">the impacts of </w:t>
      </w:r>
      <w:r w:rsidR="00E44206">
        <w:t xml:space="preserve">establishing the </w:t>
      </w:r>
      <w:r w:rsidR="00656565">
        <w:t xml:space="preserve">comparability </w:t>
      </w:r>
      <w:r w:rsidR="00FD4AFA">
        <w:t xml:space="preserve">standard </w:t>
      </w:r>
      <w:r w:rsidR="0040267F">
        <w:t xml:space="preserve">for the provision of reactive power within the </w:t>
      </w:r>
      <w:r w:rsidR="001D6FA5">
        <w:t>standard power factor range</w:t>
      </w:r>
      <w:r w:rsidR="00FD4AFA">
        <w:t xml:space="preserve">.  </w:t>
      </w:r>
      <w:r w:rsidR="0057170C">
        <w:t>At the time</w:t>
      </w:r>
      <w:r w:rsidR="00FD4AFA">
        <w:t xml:space="preserve">, establishing the comparability </w:t>
      </w:r>
      <w:r w:rsidR="00C42D88">
        <w:t>standard</w:t>
      </w:r>
      <w:r w:rsidR="001D6FA5">
        <w:t xml:space="preserve"> </w:t>
      </w:r>
      <w:r w:rsidR="00F63A1F">
        <w:t xml:space="preserve">appeared </w:t>
      </w:r>
      <w:r w:rsidR="00801228">
        <w:t xml:space="preserve">consistent with </w:t>
      </w:r>
      <w:r w:rsidR="00C977FA">
        <w:t xml:space="preserve">Order </w:t>
      </w:r>
      <w:r w:rsidR="00C71A19">
        <w:t xml:space="preserve">          </w:t>
      </w:r>
      <w:r w:rsidR="00C977FA">
        <w:t>No. 2003’s</w:t>
      </w:r>
      <w:r w:rsidR="00801228">
        <w:t xml:space="preserve"> </w:t>
      </w:r>
      <w:r w:rsidR="001F65B9">
        <w:t>stated intent of “minimiz[ing]</w:t>
      </w:r>
      <w:r w:rsidRPr="004F2304" w:rsidR="001F65B9">
        <w:t xml:space="preserve"> opportunities for undue discrimination and expedit</w:t>
      </w:r>
      <w:r w:rsidR="001F65B9">
        <w:t>[ing]</w:t>
      </w:r>
      <w:r w:rsidRPr="004F2304" w:rsidR="001F65B9">
        <w:t xml:space="preserve"> the development of new generation, while protecting reliability and ensuring that rates are just and reasonable</w:t>
      </w:r>
      <w:r w:rsidR="001F65B9">
        <w:t>.”</w:t>
      </w:r>
      <w:r>
        <w:rPr>
          <w:rStyle w:val="FootnoteReference"/>
        </w:rPr>
        <w:footnoteReference w:id="57"/>
      </w:r>
      <w:r w:rsidR="000E3599">
        <w:t xml:space="preserve">  </w:t>
      </w:r>
    </w:p>
    <w:p w:rsidR="00851148" w:rsidP="00957566" w14:paraId="6A8D647F" w14:textId="6A86A22C">
      <w:pPr>
        <w:pStyle w:val="FERCparanumber"/>
        <w:tabs>
          <w:tab w:val="clear" w:pos="720"/>
        </w:tabs>
      </w:pPr>
      <w:r>
        <w:t>S</w:t>
      </w:r>
      <w:r w:rsidR="00BF5853">
        <w:t xml:space="preserve">ince Order No. </w:t>
      </w:r>
      <w:r w:rsidR="00F9520D">
        <w:t>20</w:t>
      </w:r>
      <w:r w:rsidR="008B7AD5">
        <w:t>0</w:t>
      </w:r>
      <w:r w:rsidR="00F9520D">
        <w:t xml:space="preserve">3, </w:t>
      </w:r>
      <w:r w:rsidR="00505B5C">
        <w:t xml:space="preserve">however, </w:t>
      </w:r>
      <w:r w:rsidR="00F9520D">
        <w:t>many industry changes have occurred</w:t>
      </w:r>
      <w:r w:rsidR="007F2935">
        <w:t xml:space="preserve">.  </w:t>
      </w:r>
      <w:r w:rsidR="0003061D">
        <w:t>Some v</w:t>
      </w:r>
      <w:r w:rsidR="00F9520D">
        <w:t xml:space="preserve">ertically integrated </w:t>
      </w:r>
      <w:r w:rsidR="002457E3">
        <w:t>utilities</w:t>
      </w:r>
      <w:r w:rsidR="00F9520D">
        <w:t xml:space="preserve"> have </w:t>
      </w:r>
      <w:r w:rsidR="00523333">
        <w:t>divested</w:t>
      </w:r>
      <w:r w:rsidR="00F9520D">
        <w:t xml:space="preserve"> their generation</w:t>
      </w:r>
      <w:r w:rsidRPr="007F2935" w:rsidR="007F2935">
        <w:t>.</w:t>
      </w:r>
      <w:r w:rsidR="007F2935">
        <w:t xml:space="preserve">  C</w:t>
      </w:r>
      <w:r w:rsidR="008C207F">
        <w:t xml:space="preserve">ompetitive </w:t>
      </w:r>
      <w:r w:rsidR="00F9520D">
        <w:t xml:space="preserve">markets have </w:t>
      </w:r>
      <w:r w:rsidR="00F9520D">
        <w:t>developed</w:t>
      </w:r>
      <w:r w:rsidR="00C906CA">
        <w:t>,</w:t>
      </w:r>
      <w:r w:rsidR="00B6258E">
        <w:t xml:space="preserve"> </w:t>
      </w:r>
      <w:r w:rsidR="004B3D72">
        <w:t xml:space="preserve">leading many generators </w:t>
      </w:r>
      <w:r w:rsidR="00904719">
        <w:t xml:space="preserve">to recover their costs through </w:t>
      </w:r>
      <w:r w:rsidR="00F304C6">
        <w:t>market-based</w:t>
      </w:r>
      <w:r w:rsidR="00ED7974">
        <w:t xml:space="preserve"> rather than cost-based rates</w:t>
      </w:r>
      <w:r w:rsidR="00D81957">
        <w:t xml:space="preserve">.  The development of competitive </w:t>
      </w:r>
      <w:r w:rsidRPr="00416E38" w:rsidR="00D81957">
        <w:t>marke</w:t>
      </w:r>
      <w:r w:rsidRPr="00C06B6B" w:rsidR="00EE2897">
        <w:t>ts</w:t>
      </w:r>
      <w:r w:rsidR="00D81957">
        <w:t xml:space="preserve"> </w:t>
      </w:r>
      <w:r w:rsidRPr="00D81957" w:rsidR="00D81957">
        <w:t xml:space="preserve">makes even more </w:t>
      </w:r>
      <w:r w:rsidR="00546DBF">
        <w:t>challenging</w:t>
      </w:r>
      <w:r w:rsidRPr="00D81957" w:rsidR="00D81957">
        <w:t xml:space="preserve"> any allocation of costs between real power production</w:t>
      </w:r>
      <w:r w:rsidR="00483D97">
        <w:t xml:space="preserve">, </w:t>
      </w:r>
      <w:r w:rsidRPr="00D81957" w:rsidR="00D81957">
        <w:t>under market-based rates</w:t>
      </w:r>
      <w:r w:rsidR="00483D97">
        <w:t>,</w:t>
      </w:r>
      <w:r w:rsidRPr="00D81957" w:rsidR="00D81957">
        <w:t xml:space="preserve"> and reactive power service</w:t>
      </w:r>
      <w:r w:rsidR="00483D97">
        <w:t xml:space="preserve">, under </w:t>
      </w:r>
      <w:r w:rsidRPr="00D81957" w:rsidR="00483D97">
        <w:t>cost of service rates</w:t>
      </w:r>
      <w:r w:rsidRPr="00D81957" w:rsidR="00D81957">
        <w:t>.</w:t>
      </w:r>
      <w:r>
        <w:rPr>
          <w:b/>
          <w:vertAlign w:val="superscript"/>
        </w:rPr>
        <w:footnoteReference w:id="58"/>
      </w:r>
      <w:r w:rsidRPr="00D81957" w:rsidR="00D81957">
        <w:t xml:space="preserve">  When rates are </w:t>
      </w:r>
      <w:r w:rsidR="00C71A19">
        <w:t xml:space="preserve">      </w:t>
      </w:r>
      <w:r w:rsidRPr="00D81957" w:rsidR="00D81957">
        <w:t xml:space="preserve">market-based, </w:t>
      </w:r>
      <w:r w:rsidR="008D30C3">
        <w:t>challenges</w:t>
      </w:r>
      <w:r w:rsidRPr="00D81957" w:rsidR="00D81957">
        <w:t xml:space="preserve"> in allocation will affect the competitive positions of the entities.</w:t>
      </w:r>
      <w:r>
        <w:rPr>
          <w:b/>
          <w:vertAlign w:val="superscript"/>
        </w:rPr>
        <w:footnoteReference w:id="59"/>
      </w:r>
      <w:r w:rsidR="00483D97">
        <w:t xml:space="preserve">  N</w:t>
      </w:r>
      <w:r w:rsidR="00B157F2">
        <w:t xml:space="preserve">ew technologies have developed </w:t>
      </w:r>
      <w:r w:rsidRPr="004E6005" w:rsidR="004E6005">
        <w:t xml:space="preserve">that provide reactive power through different means and to which the </w:t>
      </w:r>
      <w:r w:rsidR="00516072">
        <w:t>AEP M</w:t>
      </w:r>
      <w:r w:rsidRPr="004E6005" w:rsidR="004E6005">
        <w:t>ethodolog</w:t>
      </w:r>
      <w:r w:rsidR="00E14650">
        <w:t xml:space="preserve">y </w:t>
      </w:r>
      <w:r w:rsidRPr="004E6005" w:rsidR="004E6005">
        <w:t>that predate</w:t>
      </w:r>
      <w:r w:rsidR="00E14650">
        <w:t>s</w:t>
      </w:r>
      <w:r w:rsidRPr="004E6005" w:rsidR="004E6005">
        <w:t xml:space="preserve"> these technologies do</w:t>
      </w:r>
      <w:r w:rsidR="001F5719">
        <w:t>es</w:t>
      </w:r>
      <w:r w:rsidRPr="004E6005" w:rsidR="004E6005">
        <w:t xml:space="preserve"> not squarely apply</w:t>
      </w:r>
      <w:r w:rsidR="00F743F2">
        <w:t xml:space="preserve">.  </w:t>
      </w:r>
      <w:r w:rsidR="006D7C9B">
        <w:t xml:space="preserve">With fewer </w:t>
      </w:r>
      <w:r w:rsidR="00EE62EE">
        <w:t>vertically integrated utilities</w:t>
      </w:r>
      <w:r w:rsidR="002544AD">
        <w:t xml:space="preserve">, </w:t>
      </w:r>
      <w:r w:rsidR="00371641">
        <w:t xml:space="preserve">the </w:t>
      </w:r>
      <w:r w:rsidR="00FF36EA">
        <w:t xml:space="preserve">continued </w:t>
      </w:r>
      <w:r w:rsidR="002544AD">
        <w:t>develop</w:t>
      </w:r>
      <w:r w:rsidR="00FF36EA">
        <w:t>ment</w:t>
      </w:r>
      <w:r w:rsidR="002544AD">
        <w:t xml:space="preserve"> </w:t>
      </w:r>
      <w:r w:rsidR="00FF36EA">
        <w:t>of</w:t>
      </w:r>
      <w:r w:rsidR="002544AD">
        <w:t xml:space="preserve"> </w:t>
      </w:r>
      <w:r w:rsidR="0005429A">
        <w:t xml:space="preserve">competitive </w:t>
      </w:r>
      <w:r w:rsidR="003B6C8E">
        <w:t xml:space="preserve">markets, and </w:t>
      </w:r>
      <w:r w:rsidR="00957215">
        <w:t>new technologies</w:t>
      </w:r>
      <w:r w:rsidR="0056348E">
        <w:t xml:space="preserve">, the </w:t>
      </w:r>
      <w:r w:rsidR="00C672BD">
        <w:t xml:space="preserve">initial justification for compensation </w:t>
      </w:r>
      <w:r w:rsidR="00647155">
        <w:t>(</w:t>
      </w:r>
      <w:r w:rsidRPr="00C06B6B" w:rsidR="00647155">
        <w:t>i.e.,</w:t>
      </w:r>
      <w:r w:rsidRPr="006F13F5" w:rsidR="00647155">
        <w:t xml:space="preserve"> </w:t>
      </w:r>
      <w:r w:rsidR="00C672BD">
        <w:t xml:space="preserve">that the Commission </w:t>
      </w:r>
      <w:r w:rsidRPr="00A2116F" w:rsidR="001B0F03">
        <w:t xml:space="preserve">required </w:t>
      </w:r>
      <w:r w:rsidR="00647155">
        <w:t>separate compensation</w:t>
      </w:r>
      <w:r w:rsidR="00C672BD">
        <w:t xml:space="preserve"> </w:t>
      </w:r>
      <w:r w:rsidR="00647155">
        <w:t xml:space="preserve">on a comparable basis </w:t>
      </w:r>
      <w:r w:rsidR="00C672BD">
        <w:t>because vertically integrated transmission owners continued to have rate schedules providing payment to their affiliated generating facilities for reactive power service</w:t>
      </w:r>
      <w:r w:rsidR="00647155">
        <w:t>)</w:t>
      </w:r>
      <w:r w:rsidR="00C672BD">
        <w:t xml:space="preserve"> </w:t>
      </w:r>
      <w:r w:rsidR="007D3AC7">
        <w:t xml:space="preserve">is </w:t>
      </w:r>
      <w:r w:rsidR="00CC2F75">
        <w:t xml:space="preserve">no longer </w:t>
      </w:r>
      <w:r w:rsidR="00357284">
        <w:t xml:space="preserve">broadly </w:t>
      </w:r>
      <w:r w:rsidR="007D3AC7">
        <w:t>applicable</w:t>
      </w:r>
      <w:r w:rsidR="006D7C9B">
        <w:t xml:space="preserve">.  </w:t>
      </w:r>
      <w:r w:rsidR="00F86116">
        <w:t xml:space="preserve">Indeed, </w:t>
      </w:r>
      <w:r w:rsidR="00442AAF">
        <w:t xml:space="preserve">the </w:t>
      </w:r>
      <w:r w:rsidR="000A77BE">
        <w:t>wide-ranging rates for</w:t>
      </w:r>
      <w:r w:rsidR="00442AAF">
        <w:t xml:space="preserve"> reactive power </w:t>
      </w:r>
      <w:r w:rsidR="00100F98">
        <w:t>resulting from cost</w:t>
      </w:r>
      <w:r w:rsidR="00B573F4">
        <w:t>-</w:t>
      </w:r>
      <w:r w:rsidR="00100F98">
        <w:t>of</w:t>
      </w:r>
      <w:r w:rsidR="00B573F4">
        <w:t>-</w:t>
      </w:r>
      <w:r w:rsidR="00100F98">
        <w:t xml:space="preserve">service </w:t>
      </w:r>
      <w:r w:rsidR="0021062E">
        <w:t xml:space="preserve">proceedings </w:t>
      </w:r>
      <w:r w:rsidR="007A07CD">
        <w:t xml:space="preserve">further </w:t>
      </w:r>
      <w:r w:rsidR="00A45057">
        <w:t xml:space="preserve">undermine the </w:t>
      </w:r>
      <w:r w:rsidR="00507ABA">
        <w:t xml:space="preserve">principle of </w:t>
      </w:r>
      <w:r w:rsidR="00291FB3">
        <w:t>comparability as</w:t>
      </w:r>
      <w:r w:rsidR="00442AAF">
        <w:t xml:space="preserve"> </w:t>
      </w:r>
      <w:r w:rsidR="009B537D">
        <w:t>some generat</w:t>
      </w:r>
      <w:r w:rsidR="008667FF">
        <w:t>ing facilities</w:t>
      </w:r>
      <w:r w:rsidR="009B537D">
        <w:t xml:space="preserve"> </w:t>
      </w:r>
      <w:r w:rsidR="000109AA">
        <w:t xml:space="preserve">now </w:t>
      </w:r>
      <w:r w:rsidR="009B537D">
        <w:t xml:space="preserve">receive substantially </w:t>
      </w:r>
      <w:r w:rsidR="00141017">
        <w:t>higher rates</w:t>
      </w:r>
      <w:r w:rsidR="009B537D">
        <w:t xml:space="preserve"> for </w:t>
      </w:r>
      <w:r w:rsidR="00A66768">
        <w:t xml:space="preserve">the provision of </w:t>
      </w:r>
      <w:r w:rsidR="009B537D">
        <w:t xml:space="preserve">reactive power </w:t>
      </w:r>
      <w:r w:rsidR="00A66768">
        <w:t xml:space="preserve">within the standard power factor range </w:t>
      </w:r>
      <w:r w:rsidR="009B537D">
        <w:t>than others</w:t>
      </w:r>
      <w:r w:rsidR="00C6388E">
        <w:t>.</w:t>
      </w:r>
      <w:r>
        <w:rPr>
          <w:rStyle w:val="FootnoteReference"/>
        </w:rPr>
        <w:footnoteReference w:id="60"/>
      </w:r>
    </w:p>
    <w:p w:rsidR="00957566" w:rsidP="00957566" w14:paraId="462C68FD" w14:textId="36C76DB4">
      <w:pPr>
        <w:pStyle w:val="FERCparanumber"/>
        <w:tabs>
          <w:tab w:val="clear" w:pos="720"/>
        </w:tabs>
      </w:pPr>
      <w:r>
        <w:t>All of these changes</w:t>
      </w:r>
      <w:r w:rsidR="0061520C">
        <w:t xml:space="preserve"> taken together</w:t>
      </w:r>
      <w:r>
        <w:t>,</w:t>
      </w:r>
      <w:r w:rsidR="00F9520D">
        <w:t xml:space="preserve"> </w:t>
      </w:r>
      <w:r w:rsidR="00CF4D24">
        <w:t>coupled with</w:t>
      </w:r>
      <w:r w:rsidR="00851B2F">
        <w:t xml:space="preserve"> the record developed here</w:t>
      </w:r>
      <w:r w:rsidR="00584CD9">
        <w:t>,</w:t>
      </w:r>
      <w:r w:rsidR="000E3599">
        <w:t xml:space="preserve"> </w:t>
      </w:r>
      <w:r w:rsidR="00C34535">
        <w:t xml:space="preserve">make </w:t>
      </w:r>
      <w:r w:rsidR="000E3599">
        <w:t xml:space="preserve">clear that separate compensation for the provision of reactive power within the standard power factor range </w:t>
      </w:r>
      <w:r w:rsidRPr="00F60D93" w:rsidR="00F60D93">
        <w:t>results in unjust and unreasonable rates to transmission customers, because such compensation is</w:t>
      </w:r>
      <w:r w:rsidR="000E3599">
        <w:t xml:space="preserve"> not necessary </w:t>
      </w:r>
      <w:r w:rsidR="00F377BF">
        <w:t xml:space="preserve">for comparability </w:t>
      </w:r>
      <w:r w:rsidR="00F0587C">
        <w:t xml:space="preserve">or </w:t>
      </w:r>
      <w:r w:rsidR="000E3599">
        <w:t xml:space="preserve">to ensure </w:t>
      </w:r>
      <w:r w:rsidR="000F738B">
        <w:t xml:space="preserve">continued </w:t>
      </w:r>
      <w:r w:rsidR="000E3599">
        <w:t xml:space="preserve">investment in </w:t>
      </w:r>
      <w:r w:rsidR="006B1F87">
        <w:t xml:space="preserve">the capability of </w:t>
      </w:r>
      <w:r w:rsidR="000E3599">
        <w:t>generating facilities to provide reactive power within the standard power factor range.</w:t>
      </w:r>
      <w:r>
        <w:rPr>
          <w:rStyle w:val="FootnoteReference"/>
        </w:rPr>
        <w:footnoteReference w:id="61"/>
      </w:r>
      <w:r w:rsidR="00E45A1D">
        <w:t xml:space="preserve">  We </w:t>
      </w:r>
      <w:r w:rsidR="003E69D7">
        <w:t xml:space="preserve">acknowledge </w:t>
      </w:r>
      <w:r w:rsidR="001D427E">
        <w:t xml:space="preserve">that </w:t>
      </w:r>
      <w:r w:rsidR="00F9166D">
        <w:t xml:space="preserve">this </w:t>
      </w:r>
      <w:r w:rsidR="00126E54">
        <w:t>final rule</w:t>
      </w:r>
      <w:r w:rsidR="00F9166D">
        <w:t xml:space="preserve"> represents a change in </w:t>
      </w:r>
      <w:r w:rsidR="00B063F8">
        <w:t>policy</w:t>
      </w:r>
      <w:r w:rsidR="00297F61">
        <w:t>,</w:t>
      </w:r>
      <w:r>
        <w:rPr>
          <w:rStyle w:val="FootnoteReference"/>
        </w:rPr>
        <w:footnoteReference w:id="62"/>
      </w:r>
      <w:r w:rsidR="007D11B8">
        <w:t xml:space="preserve"> </w:t>
      </w:r>
      <w:r w:rsidR="006B7500">
        <w:t xml:space="preserve">a change we find appropriate based on </w:t>
      </w:r>
      <w:r w:rsidR="005D094E">
        <w:t>the record before us, as explained in detail herein.</w:t>
      </w:r>
      <w:r>
        <w:rPr>
          <w:rStyle w:val="FootnoteReference"/>
        </w:rPr>
        <w:footnoteReference w:id="63"/>
      </w:r>
    </w:p>
    <w:p w:rsidR="00E1233B" w:rsidP="00792346" w14:paraId="3DC30668" w14:textId="50469A7E">
      <w:pPr>
        <w:pStyle w:val="FERCparanumber"/>
        <w:tabs>
          <w:tab w:val="clear" w:pos="720"/>
        </w:tabs>
      </w:pPr>
      <w:r w:rsidRPr="00BB5F94">
        <w:t xml:space="preserve">Accordingly, we </w:t>
      </w:r>
      <w:r w:rsidR="00D82DF2">
        <w:t xml:space="preserve">are modifying Schedule 2 of the </w:t>
      </w:r>
      <w:r w:rsidRPr="001150FF" w:rsidR="00D82DF2">
        <w:rPr>
          <w:i/>
          <w:iCs/>
        </w:rPr>
        <w:t>pro forma</w:t>
      </w:r>
      <w:r w:rsidR="00D82DF2">
        <w:t xml:space="preserve"> OATT</w:t>
      </w:r>
      <w:r w:rsidR="00592713">
        <w:t>,</w:t>
      </w:r>
      <w:r w:rsidR="00D82DF2">
        <w:t xml:space="preserve"> </w:t>
      </w:r>
      <w:r w:rsidR="00592713">
        <w:t xml:space="preserve">section 9.6.3 of the </w:t>
      </w:r>
      <w:r w:rsidRPr="001150FF" w:rsidR="00D82DF2">
        <w:rPr>
          <w:i/>
          <w:iCs/>
        </w:rPr>
        <w:t>pro forma</w:t>
      </w:r>
      <w:r w:rsidR="00D82DF2">
        <w:t xml:space="preserve"> LGIA</w:t>
      </w:r>
      <w:r w:rsidR="00592713">
        <w:t>,</w:t>
      </w:r>
      <w:r w:rsidR="00D82DF2">
        <w:t xml:space="preserve"> and </w:t>
      </w:r>
      <w:r w:rsidR="00592713">
        <w:t xml:space="preserve">section 1.8.2 of the </w:t>
      </w:r>
      <w:r w:rsidR="0038647D">
        <w:rPr>
          <w:i/>
          <w:iCs/>
        </w:rPr>
        <w:t xml:space="preserve">pro forma </w:t>
      </w:r>
      <w:r w:rsidR="00D82DF2">
        <w:t>SGIA</w:t>
      </w:r>
      <w:r w:rsidR="00ED1A52">
        <w:t>,</w:t>
      </w:r>
      <w:r w:rsidR="00D82DF2">
        <w:t xml:space="preserve"> and </w:t>
      </w:r>
      <w:r w:rsidR="0038647D">
        <w:t>we are</w:t>
      </w:r>
      <w:r w:rsidR="00D82DF2">
        <w:t xml:space="preserve"> requiring transmission </w:t>
      </w:r>
      <w:r w:rsidR="002E2101">
        <w:t>providers to</w:t>
      </w:r>
      <w:r w:rsidR="00596F33">
        <w:t xml:space="preserve"> make corresponding </w:t>
      </w:r>
      <w:r w:rsidR="00AD16A3">
        <w:t xml:space="preserve">revisions to their OATTs and </w:t>
      </w:r>
      <w:r w:rsidRPr="00F83394" w:rsidR="00AD16A3">
        <w:rPr>
          <w:i/>
        </w:rPr>
        <w:t>pro forma</w:t>
      </w:r>
      <w:r w:rsidR="00AD16A3">
        <w:t xml:space="preserve"> interconnection agreements</w:t>
      </w:r>
      <w:r w:rsidR="00ED1A52">
        <w:t>,</w:t>
      </w:r>
      <w:r w:rsidR="00AD16A3">
        <w:t xml:space="preserve"> </w:t>
      </w:r>
      <w:r>
        <w:t xml:space="preserve">to </w:t>
      </w:r>
      <w:r w:rsidRPr="00D27A25">
        <w:t xml:space="preserve">prohibit transmission providers from including in their transmission rates any charges associated with the </w:t>
      </w:r>
      <w:r>
        <w:t>provision</w:t>
      </w:r>
      <w:r w:rsidRPr="00D27A25">
        <w:t xml:space="preserve"> of reactive power within the standard power factor range</w:t>
      </w:r>
      <w:r>
        <w:t xml:space="preserve"> from generating facilities.</w:t>
      </w:r>
    </w:p>
    <w:p w:rsidR="00E1233B" w:rsidRPr="00E1233B" w:rsidP="00F83394" w14:paraId="037654DB" w14:textId="6F1D0959">
      <w:pPr>
        <w:pStyle w:val="FERCparanumber"/>
      </w:pPr>
      <w:r w:rsidRPr="00D57508">
        <w:t>We discuss below the issues raised in the comments.</w:t>
      </w:r>
    </w:p>
    <w:p w:rsidR="00ED6EE1" w:rsidRPr="00C06B6B" w:rsidP="00AF5FDB" w14:paraId="08C70816" w14:textId="4ED2EF6D">
      <w:pPr>
        <w:pStyle w:val="Heading2"/>
        <w:rPr>
          <w:u w:val="single"/>
        </w:rPr>
      </w:pPr>
      <w:bookmarkStart w:id="13" w:name="_bmk5"/>
      <w:bookmarkStart w:id="14" w:name="_Ref178242451"/>
      <w:r w:rsidRPr="00C06B6B">
        <w:rPr>
          <w:u w:val="single"/>
        </w:rPr>
        <w:t>N</w:t>
      </w:r>
      <w:bookmarkEnd w:id="13"/>
      <w:r w:rsidRPr="00C06B6B">
        <w:rPr>
          <w:u w:val="single"/>
        </w:rPr>
        <w:t>eed for Reform</w:t>
      </w:r>
      <w:bookmarkEnd w:id="14"/>
    </w:p>
    <w:p w:rsidR="00D15490" w:rsidP="0011638A" w14:paraId="75A649F5" w14:textId="00814FFE">
      <w:pPr>
        <w:pStyle w:val="FERCparanumber"/>
      </w:pPr>
      <w:r w:rsidRPr="009A03A0">
        <w:t xml:space="preserve">The NOPR preliminarily found that where transmission providers require transmission customers to pay for </w:t>
      </w:r>
      <w:r w:rsidR="0015069E">
        <w:t>generating facilities’</w:t>
      </w:r>
      <w:r w:rsidRPr="009A03A0">
        <w:t xml:space="preserve"> provision of reactive power within the standard power factor range, transmission rates may be unjust and unreasonable, as </w:t>
      </w:r>
      <w:r w:rsidR="00E72EEC">
        <w:t xml:space="preserve">such rates may </w:t>
      </w:r>
      <w:r w:rsidRPr="009A03A0">
        <w:t>include costs without a sufficient economic basis or justification</w:t>
      </w:r>
      <w:r w:rsidRPr="0011638A" w:rsidR="00AE699C">
        <w:rPr>
          <w:b/>
          <w:vertAlign w:val="superscript"/>
        </w:rPr>
        <w:t xml:space="preserve"> </w:t>
      </w:r>
      <w:r w:rsidRPr="007A2A57" w:rsidR="00AE699C">
        <w:t xml:space="preserve">and </w:t>
      </w:r>
      <w:r w:rsidR="00D3744F">
        <w:t xml:space="preserve">such costs </w:t>
      </w:r>
      <w:r w:rsidRPr="007A2A57" w:rsidR="00AE699C">
        <w:t xml:space="preserve">may not </w:t>
      </w:r>
      <w:r w:rsidR="0060516B">
        <w:t>r</w:t>
      </w:r>
      <w:r w:rsidR="00962CA0">
        <w:t xml:space="preserve">esult in </w:t>
      </w:r>
      <w:r w:rsidR="00FE0E29">
        <w:t>tra</w:t>
      </w:r>
      <w:r w:rsidR="005318C8">
        <w:t xml:space="preserve">nsmission </w:t>
      </w:r>
      <w:r w:rsidR="00962CA0">
        <w:t>customers</w:t>
      </w:r>
      <w:r w:rsidRPr="007A2A57" w:rsidR="00AE699C">
        <w:t xml:space="preserve"> receiving commensurate reliability benefits.</w:t>
      </w:r>
      <w:r>
        <w:rPr>
          <w:b/>
          <w:vertAlign w:val="superscript"/>
        </w:rPr>
        <w:footnoteReference w:id="64"/>
      </w:r>
      <w:r w:rsidR="008D509C">
        <w:t xml:space="preserve">  </w:t>
      </w:r>
      <w:r w:rsidR="00364A89">
        <w:t>In</w:t>
      </w:r>
      <w:r w:rsidR="00364A89">
        <w:t xml:space="preserve"> </w:t>
      </w:r>
      <w:r w:rsidR="00364A89">
        <w:t xml:space="preserve">support of the need for reform, </w:t>
      </w:r>
      <w:r w:rsidR="004645BB">
        <w:t xml:space="preserve">the NOPR preliminarily found that </w:t>
      </w:r>
      <w:r w:rsidRPr="00135071" w:rsidR="00135071">
        <w:t xml:space="preserve">generating facilities providing reactive power within the standard power factor range are only meeting their obligations under their interconnection agreements and in accordance with good utility practice, and in doing so, incur no </w:t>
      </w:r>
      <w:r w:rsidR="008D78F1">
        <w:t xml:space="preserve">or at most a </w:t>
      </w:r>
      <w:r w:rsidR="008D78F1">
        <w:rPr>
          <w:i/>
          <w:iCs/>
        </w:rPr>
        <w:t>de minimis</w:t>
      </w:r>
      <w:r w:rsidRPr="00C05B45" w:rsidR="008D78F1">
        <w:t xml:space="preserve"> </w:t>
      </w:r>
      <w:r w:rsidR="008D78F1">
        <w:t xml:space="preserve">increase in </w:t>
      </w:r>
      <w:r w:rsidR="00C94B83">
        <w:t xml:space="preserve">variable </w:t>
      </w:r>
      <w:r w:rsidR="008D78F1">
        <w:t>costs beyond the cost of providing real power</w:t>
      </w:r>
      <w:r w:rsidRPr="00135071" w:rsidR="00135071">
        <w:t>.</w:t>
      </w:r>
      <w:r>
        <w:rPr>
          <w:rStyle w:val="FootnoteReference"/>
        </w:rPr>
        <w:footnoteReference w:id="65"/>
      </w:r>
      <w:r w:rsidRPr="00135071" w:rsidR="00135071">
        <w:t xml:space="preserve"> </w:t>
      </w:r>
      <w:r w:rsidR="000D4597">
        <w:t xml:space="preserve"> </w:t>
      </w:r>
      <w:r w:rsidR="008B0BBF">
        <w:t xml:space="preserve">The </w:t>
      </w:r>
      <w:r w:rsidR="00C43D0C">
        <w:t xml:space="preserve">NOPR also highlighted various adverse impacts of the Commission’s </w:t>
      </w:r>
      <w:r w:rsidR="00A9177F">
        <w:t xml:space="preserve">policy on </w:t>
      </w:r>
      <w:r w:rsidR="00C43D0C">
        <w:t xml:space="preserve">reactive power </w:t>
      </w:r>
      <w:r w:rsidR="001A6666">
        <w:t>compensation</w:t>
      </w:r>
      <w:r w:rsidR="00B7100E">
        <w:t xml:space="preserve">, which </w:t>
      </w:r>
      <w:r w:rsidR="00D51112">
        <w:t xml:space="preserve">have been </w:t>
      </w:r>
      <w:r w:rsidRPr="00D51112" w:rsidR="00D51112">
        <w:t>exacerbated by the increasing volume of filings for reactive power compensation</w:t>
      </w:r>
      <w:r w:rsidR="000041C1">
        <w:t xml:space="preserve"> and </w:t>
      </w:r>
      <w:r w:rsidR="00437BCF">
        <w:t xml:space="preserve">in turn, </w:t>
      </w:r>
      <w:r w:rsidR="00EF7C50">
        <w:t>increas</w:t>
      </w:r>
      <w:r w:rsidR="00437BCF">
        <w:t>ing</w:t>
      </w:r>
      <w:r w:rsidR="00EF7C50">
        <w:t xml:space="preserve"> reactive power-related </w:t>
      </w:r>
      <w:r w:rsidR="000A72A5">
        <w:t>costs to transmission customers</w:t>
      </w:r>
      <w:r w:rsidR="006338F2">
        <w:t>.</w:t>
      </w:r>
      <w:r>
        <w:rPr>
          <w:rStyle w:val="FootnoteReference"/>
        </w:rPr>
        <w:footnoteReference w:id="66"/>
      </w:r>
      <w:r w:rsidR="006338F2">
        <w:t xml:space="preserve">  </w:t>
      </w:r>
      <w:r w:rsidRPr="00CD2C9F" w:rsidR="000E0F1F">
        <w:t>For example</w:t>
      </w:r>
      <w:r w:rsidRPr="00CD2C9F" w:rsidR="000E0F1F">
        <w:t xml:space="preserve">, </w:t>
      </w:r>
      <w:r w:rsidRPr="00CD2C9F" w:rsidR="000E0F1F">
        <w:t xml:space="preserve">in many regions, </w:t>
      </w:r>
      <w:r w:rsidR="00CF0120">
        <w:t>generating facilities</w:t>
      </w:r>
      <w:r w:rsidRPr="00CD2C9F" w:rsidR="00CF0120">
        <w:t xml:space="preserve"> </w:t>
      </w:r>
      <w:r w:rsidRPr="00CD2C9F" w:rsidR="000E0F1F">
        <w:t>are sited without regard to where there is a geographic need for reactive power, which is significant given that unlike real power</w:t>
      </w:r>
      <w:r w:rsidR="00C65B7A">
        <w:t>,</w:t>
      </w:r>
      <w:r w:rsidRPr="00CD2C9F" w:rsidR="000E0F1F">
        <w:t xml:space="preserve"> reactive power cannot be efficiently transmitted </w:t>
      </w:r>
      <w:r w:rsidRPr="00CD2C9F" w:rsidR="000E0F1F">
        <w:t>long distances.</w:t>
      </w:r>
      <w:r>
        <w:rPr>
          <w:rStyle w:val="FootnoteReference"/>
        </w:rPr>
        <w:footnoteReference w:id="67"/>
      </w:r>
      <w:r w:rsidRPr="00CD2C9F" w:rsidR="000E0F1F">
        <w:t xml:space="preserve">  Additionally, </w:t>
      </w:r>
      <w:r w:rsidRPr="00426D36" w:rsidR="000465FF">
        <w:t>adjudicating</w:t>
      </w:r>
      <w:r w:rsidR="000465FF">
        <w:t xml:space="preserve"> </w:t>
      </w:r>
      <w:r w:rsidR="00121327">
        <w:t>cost-of-service reactive power rates</w:t>
      </w:r>
      <w:r w:rsidRPr="00CD2C9F" w:rsidR="000E0F1F">
        <w:t xml:space="preserve"> has become increasingly administratively burdensome</w:t>
      </w:r>
      <w:r w:rsidR="0072084E">
        <w:t xml:space="preserve"> </w:t>
      </w:r>
      <w:r w:rsidR="00F656DA">
        <w:t xml:space="preserve">and </w:t>
      </w:r>
      <w:r w:rsidR="001E6AAB">
        <w:t xml:space="preserve">may </w:t>
      </w:r>
      <w:r w:rsidRPr="00CD2C9F" w:rsidR="000E0F1F">
        <w:t xml:space="preserve">result in inconsistent rate treatment across </w:t>
      </w:r>
      <w:r w:rsidR="00CF0120">
        <w:t xml:space="preserve">generating </w:t>
      </w:r>
      <w:r w:rsidRPr="00CD2C9F" w:rsidR="000E0F1F">
        <w:t>facilities</w:t>
      </w:r>
      <w:r w:rsidRPr="00426D36" w:rsidR="000E0F1F">
        <w:t>.</w:t>
      </w:r>
      <w:r>
        <w:rPr>
          <w:rStyle w:val="FootnoteReference"/>
        </w:rPr>
        <w:footnoteReference w:id="68"/>
      </w:r>
      <w:r w:rsidRPr="00C2264C">
        <w:t xml:space="preserve">  </w:t>
      </w:r>
      <w:r w:rsidR="0091727D">
        <w:t>Furthermore</w:t>
      </w:r>
      <w:r w:rsidR="003C5D60">
        <w:t xml:space="preserve">, </w:t>
      </w:r>
      <w:r w:rsidRPr="003C5D60" w:rsidR="003C5D60">
        <w:t xml:space="preserve">in regions where </w:t>
      </w:r>
      <w:r w:rsidR="00CF0120">
        <w:t>generating facilities</w:t>
      </w:r>
      <w:r w:rsidRPr="00426D36" w:rsidR="00CF0120">
        <w:t xml:space="preserve"> </w:t>
      </w:r>
      <w:r w:rsidR="00BD1787">
        <w:t xml:space="preserve">may seek to </w:t>
      </w:r>
      <w:r w:rsidRPr="003C5D60" w:rsidR="003C5D60">
        <w:t>recover their costs by participating in organized competitive wholesale markets, providing separate compensation for the provision of reactive power within the standard power factor range risks overcompensation and market distortion in ways that did not exist prior to the existence of organized markets</w:t>
      </w:r>
      <w:r w:rsidR="003C5D60">
        <w:t>.</w:t>
      </w:r>
      <w:r>
        <w:rPr>
          <w:rStyle w:val="FootnoteReference"/>
        </w:rPr>
        <w:footnoteReference w:id="69"/>
      </w:r>
      <w:r w:rsidR="00DE5CFC">
        <w:t xml:space="preserve">  </w:t>
      </w:r>
      <w:r w:rsidR="0091727D">
        <w:t>Finally, a</w:t>
      </w:r>
      <w:r w:rsidR="00DE5CFC">
        <w:t xml:space="preserve">s explained in the NOPR, </w:t>
      </w:r>
      <w:r w:rsidRPr="00CD2C9F" w:rsidR="00DE5CFC">
        <w:t>the costs to transmission customers have increased substantially without any commensurate increase in benefits.</w:t>
      </w:r>
      <w:r>
        <w:rPr>
          <w:rStyle w:val="FootnoteReference"/>
        </w:rPr>
        <w:footnoteReference w:id="70"/>
      </w:r>
    </w:p>
    <w:p w:rsidR="00EC4886" w:rsidP="0011638A" w14:paraId="56CFCC7F" w14:textId="47ECFD66">
      <w:pPr>
        <w:pStyle w:val="FERCparanumber"/>
      </w:pPr>
      <w:r>
        <w:t>The NOPR also</w:t>
      </w:r>
      <w:r w:rsidRPr="00EC4886">
        <w:t xml:space="preserve"> preliminarily f</w:t>
      </w:r>
      <w:r w:rsidR="0063388F">
        <w:t>ound</w:t>
      </w:r>
      <w:r w:rsidRPr="00EC4886">
        <w:t xml:space="preserve"> </w:t>
      </w:r>
      <w:r w:rsidRPr="00172F79" w:rsidR="00172F79">
        <w:t xml:space="preserve">that cessation of payments for reactive power within the standard power factor range </w:t>
      </w:r>
      <w:r w:rsidR="0063388F">
        <w:t xml:space="preserve">for generating facilities </w:t>
      </w:r>
      <w:r w:rsidRPr="00172F79" w:rsidR="00172F79">
        <w:t>does not compromise a</w:t>
      </w:r>
      <w:r w:rsidR="0063388F">
        <w:t xml:space="preserve"> generating facility’s</w:t>
      </w:r>
      <w:r w:rsidRPr="00172F79" w:rsidR="00172F79">
        <w:t xml:space="preserve"> ability to recover costs</w:t>
      </w:r>
      <w:r w:rsidR="00C35AB9">
        <w:t>–if any–</w:t>
      </w:r>
      <w:r w:rsidRPr="00172F79" w:rsidR="00172F79">
        <w:t xml:space="preserve">that it may incur in producing reactive power within such range because generating facilities have the opportunity to </w:t>
      </w:r>
      <w:r w:rsidR="00C149B7">
        <w:t xml:space="preserve">seek to </w:t>
      </w:r>
      <w:r w:rsidRPr="00172F79" w:rsidR="00172F79">
        <w:t xml:space="preserve">recover such costs in other ways, such as through </w:t>
      </w:r>
      <w:r w:rsidR="00CE62E5">
        <w:t>energy or capacity</w:t>
      </w:r>
      <w:r w:rsidRPr="00172F79" w:rsidR="00172F79">
        <w:t xml:space="preserve"> sales</w:t>
      </w:r>
      <w:r w:rsidR="00CE62E5">
        <w:t>.</w:t>
      </w:r>
      <w:r>
        <w:rPr>
          <w:rStyle w:val="FootnoteReference"/>
        </w:rPr>
        <w:footnoteReference w:id="71"/>
      </w:r>
      <w:r w:rsidRPr="00EC4886">
        <w:t xml:space="preserve">  </w:t>
      </w:r>
    </w:p>
    <w:p w:rsidR="009A36D1" w:rsidRPr="00C06B6B" w:rsidP="008474B7" w14:paraId="18C3D371" w14:textId="194CE3C1">
      <w:pPr>
        <w:pStyle w:val="Heading3"/>
        <w:rPr>
          <w:u w:val="single"/>
        </w:rPr>
      </w:pPr>
      <w:bookmarkStart w:id="15" w:name="_bmk6"/>
      <w:r w:rsidRPr="00C06B6B">
        <w:rPr>
          <w:u w:val="single"/>
        </w:rPr>
        <w:t>C</w:t>
      </w:r>
      <w:bookmarkEnd w:id="15"/>
      <w:r w:rsidRPr="00C06B6B">
        <w:rPr>
          <w:u w:val="single"/>
        </w:rPr>
        <w:t>omments</w:t>
      </w:r>
    </w:p>
    <w:p w:rsidR="00EB6426" w:rsidP="00EB6426" w14:paraId="69870D07" w14:textId="2B8D8C72">
      <w:pPr>
        <w:pStyle w:val="FERCparanumber"/>
      </w:pPr>
      <w:r w:rsidRPr="00164007">
        <w:t xml:space="preserve"> AEP</w:t>
      </w:r>
      <w:r w:rsidR="00820719">
        <w:t>,</w:t>
      </w:r>
      <w:r w:rsidRPr="00164007">
        <w:t xml:space="preserve"> Ameren</w:t>
      </w:r>
      <w:r w:rsidR="00820719">
        <w:t>,</w:t>
      </w:r>
      <w:r w:rsidRPr="00164007">
        <w:t xml:space="preserve"> Joint Consumer Advocates, Joint Customers, MISO Transmission Owners</w:t>
      </w:r>
      <w:r w:rsidR="00820719">
        <w:t xml:space="preserve">, </w:t>
      </w:r>
      <w:r w:rsidR="008F4039">
        <w:t xml:space="preserve">New England Consumer Advocates, </w:t>
      </w:r>
      <w:r w:rsidR="00C03857">
        <w:t>Ohio FEA,</w:t>
      </w:r>
      <w:r w:rsidRPr="00164007">
        <w:t xml:space="preserve"> </w:t>
      </w:r>
      <w:r w:rsidR="00C03857">
        <w:t>PGE</w:t>
      </w:r>
      <w:r w:rsidR="00820719">
        <w:t>,</w:t>
      </w:r>
      <w:r w:rsidRPr="00164007">
        <w:t xml:space="preserve"> PJM</w:t>
      </w:r>
      <w:r w:rsidR="00AC4E78">
        <w:t>,</w:t>
      </w:r>
      <w:r w:rsidR="00820719">
        <w:t xml:space="preserve"> </w:t>
      </w:r>
      <w:r w:rsidR="008F4039">
        <w:t xml:space="preserve">the PJM IMM, </w:t>
      </w:r>
      <w:r w:rsidR="00820719">
        <w:t xml:space="preserve">and </w:t>
      </w:r>
      <w:r w:rsidR="00C03857">
        <w:t>TAPS</w:t>
      </w:r>
      <w:r>
        <w:t xml:space="preserve"> </w:t>
      </w:r>
      <w:r w:rsidR="008373AF">
        <w:t>agree there is a need for reform and</w:t>
      </w:r>
      <w:r w:rsidR="00C03857">
        <w:t>,</w:t>
      </w:r>
      <w:r w:rsidR="008373AF">
        <w:t xml:space="preserve"> accordingly, support </w:t>
      </w:r>
      <w:r>
        <w:t>the NOPR proposal to eliminate compensation</w:t>
      </w:r>
      <w:r w:rsidR="0036638C">
        <w:t xml:space="preserve"> for reactive power within</w:t>
      </w:r>
      <w:r>
        <w:t xml:space="preserve"> the standard power factor range</w:t>
      </w:r>
      <w:r w:rsidR="00534F8E">
        <w:t>.</w:t>
      </w:r>
      <w:r>
        <w:rPr>
          <w:rStyle w:val="FootnoteReference"/>
        </w:rPr>
        <w:footnoteReference w:id="72"/>
      </w:r>
    </w:p>
    <w:p w:rsidR="00CB150C" w:rsidP="00BE6BE5" w14:paraId="01103AFE" w14:textId="4068CEDA">
      <w:pPr>
        <w:pStyle w:val="FERCparanumber"/>
      </w:pPr>
      <w:r>
        <w:t xml:space="preserve">Many commenters </w:t>
      </w:r>
      <w:r>
        <w:t>argue</w:t>
      </w:r>
      <w:r w:rsidR="00003388">
        <w:t xml:space="preserve"> </w:t>
      </w:r>
      <w:r w:rsidRPr="007A2A57">
        <w:t>that</w:t>
      </w:r>
      <w:r w:rsidR="008235D8">
        <w:t xml:space="preserve"> there is substantial evidence to support the conclusion that allowing transmission providers to charge transmission customers for a generating facility’s provision of </w:t>
      </w:r>
      <w:r w:rsidRPr="005975CF" w:rsidR="008235D8">
        <w:t xml:space="preserve">reactive power </w:t>
      </w:r>
      <w:r w:rsidR="008235D8">
        <w:t xml:space="preserve">from </w:t>
      </w:r>
      <w:r w:rsidRPr="005975CF" w:rsidR="008235D8">
        <w:t>within the standard power factor range</w:t>
      </w:r>
      <w:r w:rsidR="008235D8">
        <w:t xml:space="preserve"> </w:t>
      </w:r>
      <w:r w:rsidRPr="00BB5F94" w:rsidR="008235D8">
        <w:t>result</w:t>
      </w:r>
      <w:r w:rsidR="008235D8">
        <w:t>s</w:t>
      </w:r>
      <w:r w:rsidRPr="00BB5F94" w:rsidR="008235D8">
        <w:t xml:space="preserve"> in unjust and unreasonable</w:t>
      </w:r>
      <w:r w:rsidR="00EE6392">
        <w:t xml:space="preserve"> transmission rates</w:t>
      </w:r>
      <w:r w:rsidR="00352EA5">
        <w:t>.</w:t>
      </w:r>
      <w:r>
        <w:rPr>
          <w:rStyle w:val="FootnoteReference"/>
        </w:rPr>
        <w:footnoteReference w:id="73"/>
      </w:r>
      <w:r w:rsidR="00352EA5">
        <w:t xml:space="preserve">  They </w:t>
      </w:r>
      <w:r w:rsidR="00CE44CD">
        <w:t xml:space="preserve">also </w:t>
      </w:r>
      <w:r w:rsidR="00352EA5">
        <w:t xml:space="preserve">agree </w:t>
      </w:r>
      <w:r w:rsidR="00F97C7E">
        <w:t xml:space="preserve">that current </w:t>
      </w:r>
      <w:r w:rsidRPr="007A2A57">
        <w:t xml:space="preserve">generator compensation for the </w:t>
      </w:r>
      <w:r>
        <w:t>provision</w:t>
      </w:r>
      <w:r w:rsidRPr="007A2A57">
        <w:t xml:space="preserve"> of reactive power within the standard </w:t>
      </w:r>
      <w:r w:rsidRPr="007A2A57">
        <w:t xml:space="preserve">power factor range </w:t>
      </w:r>
      <w:r w:rsidRPr="001D403D" w:rsidR="008A499D">
        <w:t>lacks</w:t>
      </w:r>
      <w:r w:rsidR="008A499D">
        <w:t xml:space="preserve"> </w:t>
      </w:r>
      <w:r w:rsidRPr="007A2A57">
        <w:t>sufficient economic basis or justification,</w:t>
      </w:r>
      <w:r>
        <w:rPr>
          <w:b/>
          <w:vertAlign w:val="superscript"/>
        </w:rPr>
        <w:footnoteReference w:id="74"/>
      </w:r>
      <w:r w:rsidRPr="003E3BA0">
        <w:rPr>
          <w:b/>
          <w:vertAlign w:val="superscript"/>
        </w:rPr>
        <w:t xml:space="preserve"> </w:t>
      </w:r>
      <w:r w:rsidRPr="007A2A57">
        <w:t>and that customers may not be receiving commensurate reliability benefits.</w:t>
      </w:r>
      <w:r>
        <w:rPr>
          <w:b/>
          <w:vertAlign w:val="superscript"/>
        </w:rPr>
        <w:footnoteReference w:id="75"/>
      </w:r>
    </w:p>
    <w:p w:rsidR="00DA4568" w:rsidP="00BE6BE5" w14:paraId="4A0C2AFB" w14:textId="7051BBBE">
      <w:pPr>
        <w:pStyle w:val="FERCparanumber"/>
      </w:pPr>
      <w:r w:rsidRPr="006B7837">
        <w:t>Joint Customers maintain</w:t>
      </w:r>
      <w:r>
        <w:t>, for example,</w:t>
      </w:r>
      <w:r w:rsidRPr="006B7837">
        <w:t xml:space="preserve"> that the NOPR builds on longstanding Commission policy, reaffirmed since </w:t>
      </w:r>
      <w:r>
        <w:t xml:space="preserve">Order No. </w:t>
      </w:r>
      <w:r w:rsidRPr="006B7837">
        <w:t>2003, that no compensation is appropriate for reactive service within the standard power factor range and that challenges to the sufficiency of the record or the process are unfounded.</w:t>
      </w:r>
      <w:r>
        <w:rPr>
          <w:b/>
          <w:bCs/>
          <w:vertAlign w:val="superscript"/>
        </w:rPr>
        <w:footnoteReference w:id="76"/>
      </w:r>
      <w:r>
        <w:t xml:space="preserve">  Joint Customers explain that “[t]</w:t>
      </w:r>
      <w:r w:rsidRPr="00D44D93">
        <w:t xml:space="preserve">he only </w:t>
      </w:r>
      <w:r w:rsidRPr="002A37FA">
        <w:rPr>
          <w:i/>
        </w:rPr>
        <w:t>change</w:t>
      </w:r>
      <w:r w:rsidRPr="00D44D93">
        <w:t xml:space="preserve"> the Commission is making in the NOPR is to determine that transmission providers no longer should have the option to compensate, affiliate and non-affiliate alike. </w:t>
      </w:r>
      <w:r>
        <w:t xml:space="preserve"> </w:t>
      </w:r>
      <w:r w:rsidRPr="00D44D93">
        <w:t xml:space="preserve">And for that discrete change, that the </w:t>
      </w:r>
      <w:r w:rsidRPr="00C06B6B">
        <w:rPr>
          <w:i/>
        </w:rPr>
        <w:t>exception</w:t>
      </w:r>
      <w:r w:rsidRPr="00D44D93">
        <w:t xml:space="preserve"> to the general rule on compensation should be closed, the Commission has plainly created a sufficient record.</w:t>
      </w:r>
      <w:r>
        <w:t>”</w:t>
      </w:r>
      <w:r>
        <w:rPr>
          <w:rStyle w:val="FootnoteReference"/>
        </w:rPr>
        <w:footnoteReference w:id="77"/>
      </w:r>
    </w:p>
    <w:p w:rsidR="0053342D" w:rsidP="00BE6BE5" w14:paraId="23C9DF85" w14:textId="28AB809E">
      <w:pPr>
        <w:pStyle w:val="FERCparanumber"/>
      </w:pPr>
      <w:r>
        <w:t>PJM supports the NOPR and asserts that it would largely eliminate the problems with the current reactive power compensation regime in PJM, including the resource-intensive administrative burdens of reactive power rate proceedings and the “black box” settlements that “seem</w:t>
      </w:r>
      <w:r w:rsidR="00093090">
        <w:t>[]</w:t>
      </w:r>
      <w:r>
        <w:t xml:space="preserve"> at </w:t>
      </w:r>
      <w:r w:rsidRPr="00E042FC">
        <w:t>odds</w:t>
      </w:r>
      <w:r>
        <w:t xml:space="preserve"> </w:t>
      </w:r>
      <w:r w:rsidRPr="00E042FC">
        <w:t xml:space="preserve">with the Commission’s general precedent on efficient </w:t>
      </w:r>
      <w:r w:rsidRPr="00E042FC">
        <w:t>energy and ancillary service price</w:t>
      </w:r>
      <w:r w:rsidR="007733B9">
        <w:t xml:space="preserve"> formation</w:t>
      </w:r>
      <w:r>
        <w:t>.”</w:t>
      </w:r>
      <w:r>
        <w:rPr>
          <w:rStyle w:val="FootnoteReference"/>
        </w:rPr>
        <w:footnoteReference w:id="78"/>
      </w:r>
      <w:r>
        <w:t xml:space="preserve">  MISO </w:t>
      </w:r>
      <w:r w:rsidRPr="00C00D19" w:rsidR="008C6E62">
        <w:t>explain</w:t>
      </w:r>
      <w:r w:rsidR="0077043E">
        <w:t>s</w:t>
      </w:r>
      <w:r w:rsidRPr="00C00D19" w:rsidR="008C6E62">
        <w:t xml:space="preserve"> </w:t>
      </w:r>
      <w:r w:rsidRPr="00C00D19">
        <w:t xml:space="preserve">that it </w:t>
      </w:r>
      <w:r w:rsidRPr="001D403D" w:rsidR="00B2126E">
        <w:t>has not experienced reliability concerns since eliminating compensation for reactive power within the standard power factor range in December 2022</w:t>
      </w:r>
      <w:r>
        <w:rPr>
          <w:b/>
          <w:vertAlign w:val="superscript"/>
        </w:rPr>
        <w:footnoteReference w:id="79"/>
      </w:r>
      <w:r w:rsidRPr="001D403D" w:rsidR="00B2126E">
        <w:t xml:space="preserve"> and that it</w:t>
      </w:r>
      <w:r w:rsidRPr="00B2126E" w:rsidR="00B2126E">
        <w:t xml:space="preserve"> </w:t>
      </w:r>
      <w:r w:rsidRPr="001C72B7">
        <w:t>would not expect to see any effect on reliability through</w:t>
      </w:r>
      <w:r>
        <w:t xml:space="preserve"> </w:t>
      </w:r>
      <w:r w:rsidRPr="001C72B7">
        <w:t>eliminating compensation for reactive power within the standard power factor range</w:t>
      </w:r>
      <w:r>
        <w:t>.</w:t>
      </w:r>
      <w:r>
        <w:rPr>
          <w:rStyle w:val="FootnoteReference"/>
        </w:rPr>
        <w:footnoteReference w:id="80"/>
      </w:r>
    </w:p>
    <w:p w:rsidR="0054328A" w:rsidRPr="008A77A8" w:rsidP="00F57A44" w14:paraId="2085B08D" w14:textId="75A998B3">
      <w:pPr>
        <w:pStyle w:val="FERCparanumber"/>
        <w:rPr>
          <w:lang w:val="en-ZA"/>
        </w:rPr>
      </w:pPr>
      <w:r w:rsidRPr="0002476D">
        <w:t xml:space="preserve">MISO Transmission Owners </w:t>
      </w:r>
      <w:r w:rsidR="00805FE4">
        <w:t>support the need for reform</w:t>
      </w:r>
      <w:r w:rsidR="004F0B88">
        <w:t>,</w:t>
      </w:r>
      <w:r w:rsidR="00805FE4">
        <w:t xml:space="preserve"> arguing that the current framework for reactive power compensation is neither just nor reas</w:t>
      </w:r>
      <w:r w:rsidR="00226FD4">
        <w:t xml:space="preserve">onable given </w:t>
      </w:r>
      <w:r w:rsidRPr="001D403D" w:rsidR="006D5AB3">
        <w:t>that</w:t>
      </w:r>
      <w:r w:rsidR="006D5AB3">
        <w:t xml:space="preserve"> </w:t>
      </w:r>
      <w:r w:rsidR="00226FD4">
        <w:t>it</w:t>
      </w:r>
      <w:r w:rsidR="00805FE4">
        <w:t xml:space="preserve"> result</w:t>
      </w:r>
      <w:r w:rsidR="00F57A44">
        <w:t>s</w:t>
      </w:r>
      <w:r w:rsidR="00805FE4">
        <w:t xml:space="preserve"> in transmission customers being required to pay for a service that generators already are required to provide and that costs them little or nothing to provide.</w:t>
      </w:r>
      <w:r>
        <w:rPr>
          <w:rStyle w:val="FootnoteReference"/>
        </w:rPr>
        <w:footnoteReference w:id="81"/>
      </w:r>
    </w:p>
    <w:p w:rsidR="00373787" w:rsidRPr="00373787" w:rsidP="00904BA5" w14:paraId="2BFA89A6" w14:textId="567201C4">
      <w:pPr>
        <w:pStyle w:val="FERCparanumber"/>
      </w:pPr>
      <w:r>
        <w:t xml:space="preserve">Many commenters agree that the current reactive power framework does not result in commensurate </w:t>
      </w:r>
      <w:r w:rsidR="001636B7">
        <w:t>reliability benefit</w:t>
      </w:r>
      <w:r w:rsidR="00047F4F">
        <w:t>s</w:t>
      </w:r>
      <w:r w:rsidR="001636B7">
        <w:t>.</w:t>
      </w:r>
      <w:r>
        <w:rPr>
          <w:rStyle w:val="FootnoteReference"/>
        </w:rPr>
        <w:footnoteReference w:id="82"/>
      </w:r>
      <w:r w:rsidR="001636B7">
        <w:t xml:space="preserve">  </w:t>
      </w:r>
      <w:r w:rsidR="00E7067C">
        <w:t xml:space="preserve">First, many </w:t>
      </w:r>
      <w:r w:rsidR="0053257F">
        <w:t xml:space="preserve">commenters </w:t>
      </w:r>
      <w:r w:rsidR="007346BF">
        <w:t xml:space="preserve">agree </w:t>
      </w:r>
      <w:r w:rsidR="00777D99">
        <w:t xml:space="preserve">that </w:t>
      </w:r>
      <w:r w:rsidRPr="00777D99" w:rsidR="00777D99">
        <w:t>compensation for providing reactive power within the standard power factor range is unnecessary to maintain reliability</w:t>
      </w:r>
      <w:r w:rsidR="00777D99">
        <w:t>.</w:t>
      </w:r>
      <w:r>
        <w:rPr>
          <w:rStyle w:val="FootnoteReference"/>
        </w:rPr>
        <w:footnoteReference w:id="83"/>
      </w:r>
      <w:r w:rsidR="00777D99">
        <w:t xml:space="preserve">  Second, </w:t>
      </w:r>
      <w:r w:rsidR="00222C3E">
        <w:t>m</w:t>
      </w:r>
      <w:r w:rsidR="00D53702">
        <w:t xml:space="preserve">any commenters </w:t>
      </w:r>
      <w:r w:rsidR="0030758A">
        <w:t xml:space="preserve">also </w:t>
      </w:r>
      <w:r w:rsidR="00D53702">
        <w:t xml:space="preserve">agree </w:t>
      </w:r>
      <w:r w:rsidR="00424FB2">
        <w:t xml:space="preserve">with the </w:t>
      </w:r>
      <w:r w:rsidR="003F0C6F">
        <w:t>NOPR</w:t>
      </w:r>
      <w:r w:rsidR="00424FB2">
        <w:t xml:space="preserve"> </w:t>
      </w:r>
      <w:r w:rsidR="00647D30">
        <w:t xml:space="preserve">that </w:t>
      </w:r>
      <w:r w:rsidR="000E0C73">
        <w:t xml:space="preserve">under </w:t>
      </w:r>
      <w:r w:rsidR="000E0C73">
        <w:t>the current framework</w:t>
      </w:r>
      <w:r w:rsidR="00822C3C">
        <w:t>,</w:t>
      </w:r>
      <w:r w:rsidR="000E0C73">
        <w:t xml:space="preserve"> </w:t>
      </w:r>
      <w:r w:rsidRPr="000E0C73" w:rsidR="000E0C73">
        <w:t>compensation for reactive power within the standard power factor range is not tied to whether there is a particular geographic need for reactive power</w:t>
      </w:r>
      <w:r w:rsidR="000E0C73">
        <w:t>.</w:t>
      </w:r>
      <w:r>
        <w:rPr>
          <w:b/>
          <w:vertAlign w:val="superscript"/>
        </w:rPr>
        <w:footnoteReference w:id="84"/>
      </w:r>
      <w:r w:rsidR="00424FB2">
        <w:t xml:space="preserve">  </w:t>
      </w:r>
      <w:r w:rsidR="00CF60AF">
        <w:t>TAPS</w:t>
      </w:r>
      <w:r w:rsidR="00822C3C">
        <w:t>, for example,</w:t>
      </w:r>
      <w:r w:rsidR="00CF60AF">
        <w:t xml:space="preserve"> </w:t>
      </w:r>
      <w:r w:rsidR="003E3BA0">
        <w:t>contends</w:t>
      </w:r>
      <w:r w:rsidR="00CF60AF">
        <w:t xml:space="preserve"> that </w:t>
      </w:r>
      <w:r w:rsidR="003E3BA0">
        <w:t xml:space="preserve">the </w:t>
      </w:r>
      <w:r w:rsidR="003D0C31">
        <w:t>existing</w:t>
      </w:r>
      <w:r w:rsidR="003E3BA0">
        <w:t xml:space="preserve"> </w:t>
      </w:r>
      <w:r w:rsidR="003D0C31">
        <w:t>approach to reactive power capability compensation does not adequately consider a</w:t>
      </w:r>
      <w:r w:rsidR="003E3BA0">
        <w:t xml:space="preserve"> </w:t>
      </w:r>
      <w:r w:rsidR="003D0C31">
        <w:t>generator’s actual contribution to reliability or lack there</w:t>
      </w:r>
      <w:r w:rsidRPr="002A7912" w:rsidR="003D0C31">
        <w:t>of</w:t>
      </w:r>
      <w:r w:rsidRPr="002A7912" w:rsidR="003E3BA0">
        <w:t xml:space="preserve"> and thus r</w:t>
      </w:r>
      <w:r w:rsidR="003E3BA0">
        <w:t>equires consumers to pay excessive charges for reactive power that may not be needed or is in the wrong location.</w:t>
      </w:r>
      <w:r>
        <w:rPr>
          <w:rStyle w:val="FootnoteReference"/>
        </w:rPr>
        <w:footnoteReference w:id="85"/>
      </w:r>
      <w:r w:rsidR="00C072F5">
        <w:t xml:space="preserve">  </w:t>
      </w:r>
      <w:r w:rsidR="00C261D3">
        <w:t xml:space="preserve">Similarly, </w:t>
      </w:r>
      <w:r w:rsidR="00B974AD">
        <w:t xml:space="preserve">Joint Customers contend that </w:t>
      </w:r>
      <w:r w:rsidRPr="00C072F5" w:rsidR="00C072F5">
        <w:t>“</w:t>
      </w:r>
      <w:r w:rsidR="00B974AD">
        <w:t>[t]</w:t>
      </w:r>
      <w:r w:rsidRPr="00C072F5" w:rsidR="00C072F5">
        <w:t xml:space="preserve">his incentive structure to provide payment based on reactive capability results in the building of unnecessary capabilities in locations it is not or may not be needed and </w:t>
      </w:r>
      <w:r w:rsidRPr="00C072F5" w:rsidR="00C072F5">
        <w:t>does not allocate the costs associated with reactive capability in a manner that is at least roughly commensurate with the benefits received.”</w:t>
      </w:r>
      <w:r>
        <w:rPr>
          <w:rStyle w:val="FootnoteReference"/>
        </w:rPr>
        <w:footnoteReference w:id="86"/>
      </w:r>
    </w:p>
    <w:p w:rsidR="00E3107B" w:rsidP="00E3107B" w14:paraId="3E7E3C63" w14:textId="0A2312C1">
      <w:pPr>
        <w:pStyle w:val="FERCparanumber"/>
      </w:pPr>
      <w:r>
        <w:t xml:space="preserve">Further, </w:t>
      </w:r>
      <w:r w:rsidR="00265CF9">
        <w:t xml:space="preserve">like PJM, many </w:t>
      </w:r>
      <w:r>
        <w:t>commenters</w:t>
      </w:r>
      <w:r>
        <w:t xml:space="preserve"> </w:t>
      </w:r>
      <w:r w:rsidR="00244CB3">
        <w:t xml:space="preserve">agree with the NOPR regarding </w:t>
      </w:r>
      <w:r>
        <w:t xml:space="preserve">the administrative burden </w:t>
      </w:r>
      <w:r w:rsidR="005D326E">
        <w:t xml:space="preserve">for all parties </w:t>
      </w:r>
      <w:r>
        <w:t>to determine Schedule 2 rates.</w:t>
      </w:r>
      <w:r>
        <w:rPr>
          <w:b/>
          <w:vertAlign w:val="superscript"/>
        </w:rPr>
        <w:footnoteReference w:id="87"/>
      </w:r>
      <w:r w:rsidR="00233E47">
        <w:t xml:space="preserve"> </w:t>
      </w:r>
      <w:r>
        <w:t xml:space="preserve"> </w:t>
      </w:r>
      <w:r w:rsidR="00577021">
        <w:t xml:space="preserve">Joint Consumer Advocates argue that “the existing compensation framework for generators that supply reactive power has led to unjust and unreasonable rates” and note that “[d]ue to limited resources, the </w:t>
      </w:r>
      <w:r w:rsidR="00060AD0">
        <w:t>[Joint Consumer Advocates]</w:t>
      </w:r>
      <w:r w:rsidR="00577021">
        <w:t xml:space="preserve"> have generally been unable to participate in the numerous reactive proceedings and assist the Commission with the review and scrutiny of generator submissions.  But such review and scrutiny are essential given the sheer number of filings and the absence of standardized accounting for the costs claimed in them by generators.”</w:t>
      </w:r>
      <w:r>
        <w:rPr>
          <w:rStyle w:val="FootnoteReference"/>
        </w:rPr>
        <w:footnoteReference w:id="88"/>
      </w:r>
    </w:p>
    <w:p w:rsidR="00FA58CE" w:rsidP="00E3107B" w14:paraId="50373ECB" w14:textId="2471670E">
      <w:pPr>
        <w:pStyle w:val="FERCparanumber"/>
      </w:pPr>
      <w:r w:rsidRPr="00C9668E">
        <w:t xml:space="preserve">AEP states that it supports the Commission’s proposal to prospectively terminate reactive </w:t>
      </w:r>
      <w:r w:rsidR="00380B73">
        <w:t xml:space="preserve">power </w:t>
      </w:r>
      <w:r w:rsidRPr="00C9668E">
        <w:t xml:space="preserve">compensation to generators for maintaining the ability to produce reactive power within the standard power factor range because it </w:t>
      </w:r>
      <w:r w:rsidR="00666A97">
        <w:t>“</w:t>
      </w:r>
      <w:r w:rsidRPr="00C9668E">
        <w:t xml:space="preserve">will more equitably balance the interests of customers and generators, ensure that reactive power will continue to be provided as a requirement of interconnection, and significantly decrease the administrative burdens associated with individualized, opaque, and inconsistent </w:t>
      </w:r>
      <w:r w:rsidR="00C71A19">
        <w:t xml:space="preserve">          </w:t>
      </w:r>
      <w:r w:rsidRPr="00C9668E">
        <w:t>cost-of-service reactive power rate proceed</w:t>
      </w:r>
      <w:r w:rsidR="00666A97">
        <w:t>ings</w:t>
      </w:r>
      <w:r w:rsidRPr="00C9668E">
        <w:t>.</w:t>
      </w:r>
      <w:r w:rsidR="00666A97">
        <w:t>”</w:t>
      </w:r>
      <w:r>
        <w:rPr>
          <w:b/>
          <w:vertAlign w:val="superscript"/>
        </w:rPr>
        <w:footnoteReference w:id="89"/>
      </w:r>
    </w:p>
    <w:p w:rsidR="00E3107B" w:rsidP="00E3107B" w14:paraId="0BDF74C4" w14:textId="7C759B8E">
      <w:pPr>
        <w:pStyle w:val="FERCparanumber"/>
      </w:pPr>
      <w:r>
        <w:t>Similarly, New England Consumer Advocates state that “[t]</w:t>
      </w:r>
      <w:r w:rsidRPr="00373787">
        <w:t xml:space="preserve">ransmission rates have been rising in recent years and costs are only expected to increase in the near term to accommodate projected future transmission system needs. </w:t>
      </w:r>
      <w:r>
        <w:t xml:space="preserve"> </w:t>
      </w:r>
      <w:r w:rsidRPr="00373787">
        <w:t>At this time of increasingly onerous retail energy costs, particularly in New England, the Commission must ensure that transmission providers are passing on to consumers only those costs which are just and reasonable, and for which consumers receive commensurate benefit.”</w:t>
      </w:r>
      <w:r>
        <w:rPr>
          <w:rStyle w:val="FootnoteReference"/>
        </w:rPr>
        <w:footnoteReference w:id="90"/>
      </w:r>
    </w:p>
    <w:p w:rsidR="00E3107B" w:rsidP="00E3107B" w14:paraId="168F2BAB" w14:textId="0B0084E6">
      <w:pPr>
        <w:pStyle w:val="FERCparanumber"/>
      </w:pPr>
      <w:r>
        <w:t>T</w:t>
      </w:r>
      <w:r w:rsidRPr="005139EB">
        <w:t>he PJM IMM argues that opposing comments come largely from generation owners opposed to the removal of subsidies that have benefited them, even though such subsidies are primarily the result of the “nonsensical, wasteful and unworkable” attempts to allocate a portion of costs recoverable in markets to a guaranteed reactive payment based on an outdated and arbitrary cost</w:t>
      </w:r>
      <w:r>
        <w:t>-</w:t>
      </w:r>
      <w:r w:rsidRPr="005139EB">
        <w:t>of</w:t>
      </w:r>
      <w:r>
        <w:t>-</w:t>
      </w:r>
      <w:r w:rsidRPr="005139EB">
        <w:t>service approach referred to as the AEP Method</w:t>
      </w:r>
      <w:r>
        <w:t>ology</w:t>
      </w:r>
      <w:r w:rsidRPr="005139EB">
        <w:t>.</w:t>
      </w:r>
      <w:r>
        <w:rPr>
          <w:b/>
          <w:vertAlign w:val="superscript"/>
        </w:rPr>
        <w:footnoteReference w:id="91"/>
      </w:r>
    </w:p>
    <w:p w:rsidR="00E16BC8" w:rsidRPr="008938A7" w:rsidP="00E16BC8" w14:paraId="25C340FA" w14:textId="7E9328FC">
      <w:pPr>
        <w:pStyle w:val="FERCparanumber"/>
      </w:pPr>
      <w:r>
        <w:t xml:space="preserve"> </w:t>
      </w:r>
      <w:bookmarkStart w:id="16" w:name="_Ref176955077"/>
      <w:r w:rsidR="00802664">
        <w:t>Other</w:t>
      </w:r>
      <w:r w:rsidR="00A07BD4">
        <w:t xml:space="preserve"> commenters </w:t>
      </w:r>
      <w:r w:rsidR="009A1776">
        <w:t>oppose</w:t>
      </w:r>
      <w:r w:rsidR="008D545E">
        <w:t>d</w:t>
      </w:r>
      <w:r w:rsidR="00E3107B">
        <w:t xml:space="preserve"> the NOPR, arguing that existing reactive power rates remain just and reasonable.</w:t>
      </w:r>
      <w:r>
        <w:rPr>
          <w:b/>
          <w:vertAlign w:val="superscript"/>
        </w:rPr>
        <w:footnoteReference w:id="92"/>
      </w:r>
      <w:r w:rsidR="00E3107B">
        <w:t xml:space="preserve">  </w:t>
      </w:r>
      <w:r w:rsidRPr="00505D88" w:rsidR="00E3107B">
        <w:t xml:space="preserve">Reactive Service Providers argue that “changes to cost allocation” following Order No. 888 </w:t>
      </w:r>
      <w:r w:rsidR="00181A2A">
        <w:t>(</w:t>
      </w:r>
      <w:r w:rsidRPr="00505D88" w:rsidR="00E3107B">
        <w:t>i.e.</w:t>
      </w:r>
      <w:r w:rsidR="00E3107B">
        <w:t>,</w:t>
      </w:r>
      <w:r w:rsidRPr="00505D88" w:rsidR="00E3107B">
        <w:t xml:space="preserve"> functional unbundling</w:t>
      </w:r>
      <w:r w:rsidR="00181A2A">
        <w:t>)</w:t>
      </w:r>
      <w:r w:rsidRPr="00505D88" w:rsidR="00E3107B">
        <w:t xml:space="preserve"> do not warrant a change to reactive power compensation.</w:t>
      </w:r>
      <w:r>
        <w:rPr>
          <w:b/>
          <w:vertAlign w:val="superscript"/>
        </w:rPr>
        <w:footnoteReference w:id="93"/>
      </w:r>
      <w:r w:rsidR="00E3107B">
        <w:t xml:space="preserve">  </w:t>
      </w:r>
      <w:r w:rsidRPr="00E27638">
        <w:t>Reactive Service Providers contend that reactive power supply being unaffected in regions where transmission providers no longer pay for reactive power is not evidence that reactive power compensation is unjust and unreasonable,</w:t>
      </w:r>
      <w:r>
        <w:rPr>
          <w:b/>
          <w:vertAlign w:val="superscript"/>
        </w:rPr>
        <w:footnoteReference w:id="94"/>
      </w:r>
      <w:r w:rsidRPr="00E27638">
        <w:t xml:space="preserve"> that the “comparability” policy cannot be used as a basis to end compensation,</w:t>
      </w:r>
      <w:r>
        <w:rPr>
          <w:b/>
          <w:vertAlign w:val="superscript"/>
        </w:rPr>
        <w:footnoteReference w:id="95"/>
      </w:r>
      <w:r w:rsidRPr="00E27638">
        <w:t xml:space="preserve"> that administrative burden is not a basis to find that compensation is </w:t>
      </w:r>
      <w:r w:rsidRPr="00E27638">
        <w:t>unjust and unreasonable,</w:t>
      </w:r>
      <w:r>
        <w:rPr>
          <w:b/>
          <w:vertAlign w:val="superscript"/>
        </w:rPr>
        <w:footnoteReference w:id="96"/>
      </w:r>
      <w:r w:rsidRPr="00E27638">
        <w:t xml:space="preserve"> and that inconsistent rate treatment across generating </w:t>
      </w:r>
      <w:r>
        <w:t xml:space="preserve">facilities </w:t>
      </w:r>
      <w:r w:rsidRPr="00E27638">
        <w:t>does not mean tha</w:t>
      </w:r>
      <w:r w:rsidRPr="008938A7">
        <w:t>t compensation is unjust and unreasonable.</w:t>
      </w:r>
      <w:r>
        <w:rPr>
          <w:b/>
          <w:vertAlign w:val="superscript"/>
        </w:rPr>
        <w:footnoteReference w:id="97"/>
      </w:r>
    </w:p>
    <w:p w:rsidR="00E16BC8" w:rsidP="00E16BC8" w14:paraId="4EA08AAA" w14:textId="77777777">
      <w:pPr>
        <w:pStyle w:val="FERCparanumber"/>
      </w:pPr>
      <w:r w:rsidRPr="008938A7">
        <w:t>Reactive Service Providers argue that the Commission should study individual generating facilities to determine if reactive power is still needed.</w:t>
      </w:r>
      <w:r>
        <w:rPr>
          <w:b/>
          <w:vertAlign w:val="superscript"/>
        </w:rPr>
        <w:footnoteReference w:id="98"/>
      </w:r>
      <w:r w:rsidRPr="008938A7">
        <w:t xml:space="preserve">  Reactive Service Providers also argue that the Commission </w:t>
      </w:r>
      <w:r>
        <w:t xml:space="preserve">must </w:t>
      </w:r>
      <w:r w:rsidRPr="008938A7">
        <w:t>ensure that compensation for providing reactive power outside the standard power factor range is adequate.</w:t>
      </w:r>
      <w:r>
        <w:rPr>
          <w:b/>
          <w:vertAlign w:val="superscript"/>
        </w:rPr>
        <w:footnoteReference w:id="99"/>
      </w:r>
    </w:p>
    <w:p w:rsidR="00E3107B" w14:paraId="31A4F0D8" w14:textId="658A6074">
      <w:pPr>
        <w:pStyle w:val="FERCparanumber"/>
      </w:pPr>
      <w:r w:rsidRPr="00995293">
        <w:t xml:space="preserve">Indicated Trade Associations </w:t>
      </w:r>
      <w:r w:rsidRPr="00705808" w:rsidR="00714561">
        <w:t>a</w:t>
      </w:r>
      <w:r w:rsidRPr="00705808" w:rsidR="00165DFA">
        <w:t>ssert</w:t>
      </w:r>
      <w:r w:rsidR="00165DFA">
        <w:t xml:space="preserve"> that the NOPR </w:t>
      </w:r>
      <w:r w:rsidR="00E40BAC">
        <w:t xml:space="preserve">would </w:t>
      </w:r>
      <w:r w:rsidRPr="00E40BAC" w:rsidR="00E40BAC">
        <w:t>grant transmission providers unlawfully preferential treatment</w:t>
      </w:r>
      <w:r w:rsidR="00E40BAC">
        <w:t xml:space="preserve">, creating </w:t>
      </w:r>
      <w:r w:rsidRPr="00E40BAC" w:rsidR="00E40BAC">
        <w:t>a preference for higher cost transmission solutions</w:t>
      </w:r>
      <w:r w:rsidR="00B93F24">
        <w:t>,</w:t>
      </w:r>
      <w:r w:rsidRPr="00995293">
        <w:t xml:space="preserve"> </w:t>
      </w:r>
      <w:r w:rsidR="00714561">
        <w:t xml:space="preserve">and </w:t>
      </w:r>
      <w:r w:rsidRPr="00995293">
        <w:t>suggest that the Commission should</w:t>
      </w:r>
      <w:r w:rsidR="00096E2B">
        <w:t xml:space="preserve"> withdraw the NOPR proposal and</w:t>
      </w:r>
      <w:r w:rsidRPr="00995293">
        <w:t xml:space="preserve"> refocus its efforts on improving the methodologies used to determine reactive power rates.</w:t>
      </w:r>
      <w:r>
        <w:rPr>
          <w:b/>
          <w:bCs/>
          <w:vertAlign w:val="superscript"/>
        </w:rPr>
        <w:footnoteReference w:id="100"/>
      </w:r>
      <w:bookmarkEnd w:id="16"/>
      <w:r w:rsidR="00406B43">
        <w:t xml:space="preserve">  Further, </w:t>
      </w:r>
      <w:r w:rsidRPr="000666DD" w:rsidR="00406B43">
        <w:t>Indicated Trade Associations assert that concerns raised about the AEP Methodology being burdensome and a lack of refund protections for customers do not justify eliminating reactive power compensation within the standard power factor range altogether.</w:t>
      </w:r>
      <w:r>
        <w:rPr>
          <w:b/>
          <w:bCs/>
          <w:vertAlign w:val="superscript"/>
        </w:rPr>
        <w:footnoteReference w:id="101"/>
      </w:r>
    </w:p>
    <w:p w:rsidR="00E95A93" w:rsidRPr="006056E4" w:rsidP="00E95A93" w14:paraId="1A605685" w14:textId="34536907">
      <w:pPr>
        <w:pStyle w:val="FERCparanumber"/>
      </w:pPr>
      <w:r w:rsidRPr="00917265">
        <w:t>ISO-NE argue</w:t>
      </w:r>
      <w:r>
        <w:t>s</w:t>
      </w:r>
      <w:r w:rsidRPr="00917265">
        <w:t xml:space="preserve"> that ISO-NE’s Schedule 2 VAR compensation program should not be disturbed.</w:t>
      </w:r>
      <w:r>
        <w:rPr>
          <w:b/>
          <w:vertAlign w:val="superscript"/>
        </w:rPr>
        <w:footnoteReference w:id="102"/>
      </w:r>
      <w:r w:rsidRPr="00917265">
        <w:t xml:space="preserve">  ISO-NE asserts that its treatment of reactive power is distinct from </w:t>
      </w:r>
      <w:r w:rsidR="00ED2691">
        <w:t xml:space="preserve">its </w:t>
      </w:r>
      <w:r w:rsidRPr="00917265">
        <w:t>energy and capacity markets.</w:t>
      </w:r>
      <w:r>
        <w:rPr>
          <w:b/>
          <w:vertAlign w:val="superscript"/>
        </w:rPr>
        <w:footnoteReference w:id="103"/>
      </w:r>
      <w:r w:rsidRPr="00917265">
        <w:t xml:space="preserve">  ISO-NE further states that its VAR service is not based on cost-of-service and is different from the standard AEP </w:t>
      </w:r>
      <w:r w:rsidR="00F37DA7">
        <w:t>M</w:t>
      </w:r>
      <w:r w:rsidRPr="00917265">
        <w:t xml:space="preserve">ethodology </w:t>
      </w:r>
      <w:r w:rsidR="00045710">
        <w:t>but is</w:t>
      </w:r>
      <w:r w:rsidRPr="00917265">
        <w:t xml:space="preserve"> </w:t>
      </w:r>
      <w:r w:rsidR="002268E9">
        <w:t>instead</w:t>
      </w:r>
      <w:r w:rsidR="00045710">
        <w:t xml:space="preserve"> </w:t>
      </w:r>
      <w:r w:rsidRPr="00917265">
        <w:t>based on a resource’s capability to provide reactive power</w:t>
      </w:r>
      <w:r w:rsidR="002268E9">
        <w:t xml:space="preserve">.  ISO-NE explains that </w:t>
      </w:r>
      <w:r w:rsidR="00385910">
        <w:t xml:space="preserve">its VAR </w:t>
      </w:r>
      <w:r w:rsidR="0016278F">
        <w:t>service</w:t>
      </w:r>
      <w:r w:rsidR="0042557A">
        <w:t xml:space="preserve"> compensate</w:t>
      </w:r>
      <w:r w:rsidR="0016278F">
        <w:t>s</w:t>
      </w:r>
      <w:r w:rsidR="0042557A">
        <w:t xml:space="preserve"> resources </w:t>
      </w:r>
      <w:r w:rsidRPr="00917265">
        <w:t>at a uniform payment rate</w:t>
      </w:r>
      <w:r w:rsidR="00BF4FA5">
        <w:t xml:space="preserve"> (</w:t>
      </w:r>
      <w:r w:rsidRPr="00C06B6B" w:rsidR="00BF4FA5">
        <w:rPr>
          <w:iCs/>
        </w:rPr>
        <w:t>i.e.</w:t>
      </w:r>
      <w:r w:rsidR="00BF4FA5">
        <w:t xml:space="preserve">, </w:t>
      </w:r>
      <w:r w:rsidR="00045710">
        <w:t>a single</w:t>
      </w:r>
      <w:r w:rsidR="00CB4620">
        <w:t xml:space="preserve"> rate for reactive power provided </w:t>
      </w:r>
      <w:r w:rsidR="00BF4FA5">
        <w:t>within and outside of the standard power factor range</w:t>
      </w:r>
      <w:r w:rsidR="00957B92">
        <w:t xml:space="preserve">) </w:t>
      </w:r>
      <w:r w:rsidR="003E266D">
        <w:t>and</w:t>
      </w:r>
      <w:r w:rsidRPr="00917265">
        <w:t xml:space="preserve"> is</w:t>
      </w:r>
      <w:r w:rsidR="00A56268">
        <w:t xml:space="preserve"> </w:t>
      </w:r>
      <w:r w:rsidR="003907DC">
        <w:t>not</w:t>
      </w:r>
      <w:r w:rsidRPr="00917265">
        <w:t xml:space="preserve"> resource-intensive to calculate.</w:t>
      </w:r>
      <w:r>
        <w:rPr>
          <w:b/>
          <w:vertAlign w:val="superscript"/>
        </w:rPr>
        <w:footnoteReference w:id="104"/>
      </w:r>
      <w:r w:rsidRPr="00917265">
        <w:t xml:space="preserve">  ISO-NE adds that total VAR payments amounted to </w:t>
      </w:r>
      <w:r w:rsidRPr="00917265">
        <w:t xml:space="preserve">0.25% of the total energy, ancillary services, and capacity markets combined (or approximately 18-20 million dollars) for the same given period.  NEPOOL argues that one of the reasons Schedule 2 has worked well for New England is that it provides a simple fixed rate for the main component of VAR </w:t>
      </w:r>
      <w:r w:rsidR="00A43C44">
        <w:t>s</w:t>
      </w:r>
      <w:r w:rsidRPr="00917265" w:rsidR="00A43C44">
        <w:t>ervice</w:t>
      </w:r>
      <w:r w:rsidRPr="00917265">
        <w:t xml:space="preserve">, which pays part of the costs of a reactive power resource’s capability to provide VAR </w:t>
      </w:r>
      <w:r w:rsidR="00A43C44">
        <w:t>s</w:t>
      </w:r>
      <w:r w:rsidRPr="00917265" w:rsidR="00A43C44">
        <w:t xml:space="preserve">ervice </w:t>
      </w:r>
      <w:r w:rsidRPr="00917265">
        <w:t>to the transmission system when needed.  NEPOOL explains that this same fixed rate is provided to all qualified resources without further analysis of, or dispute about, resource-specific costs.</w:t>
      </w:r>
      <w:r>
        <w:rPr>
          <w:b/>
          <w:vertAlign w:val="superscript"/>
        </w:rPr>
        <w:footnoteReference w:id="105"/>
      </w:r>
      <w:r w:rsidRPr="00917265">
        <w:t xml:space="preserve">  </w:t>
      </w:r>
      <w:r w:rsidRPr="006056E4" w:rsidR="00A70C79">
        <w:t xml:space="preserve">NEPOOL argues that one of the reasons Schedule 2 has worked well for New England is that it provides a simple fixed rate for the main component of VAR </w:t>
      </w:r>
      <w:r w:rsidRPr="006056E4" w:rsidR="00A43C44">
        <w:t>s</w:t>
      </w:r>
      <w:r w:rsidRPr="006056E4" w:rsidR="00A70C79">
        <w:t xml:space="preserve">ervice, which pays part of the costs of a reactive power resource’s capability to provide VAR </w:t>
      </w:r>
      <w:r w:rsidRPr="006056E4" w:rsidR="00A43C44">
        <w:t>s</w:t>
      </w:r>
      <w:r w:rsidRPr="006056E4" w:rsidR="00A70C79">
        <w:t>ervice to the transmission system when needed</w:t>
      </w:r>
      <w:r w:rsidR="00DB2939">
        <w:t>,</w:t>
      </w:r>
      <w:r w:rsidRPr="006056E4" w:rsidR="00DB2939">
        <w:t xml:space="preserve"> without further analysis of, or d</w:t>
      </w:r>
      <w:r w:rsidRPr="006056E4" w:rsidR="0035317E">
        <w:t xml:space="preserve">ispute about, </w:t>
      </w:r>
      <w:r w:rsidR="00EA39C6">
        <w:t xml:space="preserve">   </w:t>
      </w:r>
      <w:r w:rsidRPr="006056E4" w:rsidR="0035317E">
        <w:t>resource-specific costs</w:t>
      </w:r>
      <w:r w:rsidRPr="006056E4" w:rsidR="00A70C79">
        <w:t>.</w:t>
      </w:r>
      <w:r>
        <w:rPr>
          <w:b/>
          <w:vertAlign w:val="superscript"/>
        </w:rPr>
        <w:footnoteReference w:id="106"/>
      </w:r>
    </w:p>
    <w:p w:rsidR="00E95A93" w:rsidRPr="0003382F" w:rsidP="00E95A93" w14:paraId="7CE3EABA" w14:textId="7A1DFCAC">
      <w:pPr>
        <w:pStyle w:val="FERCparanumber"/>
      </w:pPr>
      <w:r>
        <w:t xml:space="preserve">NYISO </w:t>
      </w:r>
      <w:r w:rsidRPr="002E3E7D">
        <w:t>challenges the Commission’s preliminary conclusion that compensating generating facilities for providing reactive power within the standard power factor range has resulted in unjust and unreasonable transmission rates and urges the Commission to allow NYISO to maintain its current reactive power compensation program</w:t>
      </w:r>
      <w:r>
        <w:t>.</w:t>
      </w:r>
      <w:r>
        <w:rPr>
          <w:b/>
          <w:vertAlign w:val="superscript"/>
        </w:rPr>
        <w:footnoteReference w:id="107"/>
      </w:r>
      <w:r>
        <w:t xml:space="preserve">  </w:t>
      </w:r>
      <w:r w:rsidRPr="00917265">
        <w:t xml:space="preserve">NYISO </w:t>
      </w:r>
      <w:r w:rsidRPr="00917265">
        <w:t>states that it supports the NOPR’s objective to avoid administratively burdensome processes and procedures to determine individualized cost-of-service reactive power rates for generation facilities.</w:t>
      </w:r>
      <w:r>
        <w:t xml:space="preserve">  </w:t>
      </w:r>
      <w:r w:rsidRPr="00917265">
        <w:t xml:space="preserve">NYISO </w:t>
      </w:r>
      <w:r>
        <w:t xml:space="preserve">adds </w:t>
      </w:r>
      <w:r w:rsidRPr="00917265">
        <w:t>that NYISO’s existing reactive power and Voltage Support Service (VSS) compensation structure, which uses a flat dollars per MVAr-year structure, is just and reasonable.</w:t>
      </w:r>
      <w:r>
        <w:rPr>
          <w:b/>
          <w:vertAlign w:val="superscript"/>
        </w:rPr>
        <w:footnoteReference w:id="108"/>
      </w:r>
      <w:r w:rsidRPr="00917265">
        <w:t xml:space="preserve">  NYISO maintains that this structure aligns costs directly with services provided, </w:t>
      </w:r>
      <w:r>
        <w:t xml:space="preserve">ensures </w:t>
      </w:r>
      <w:r w:rsidRPr="00917265">
        <w:t>reliability benefits commensurate with expenses</w:t>
      </w:r>
      <w:r>
        <w:t>,</w:t>
      </w:r>
      <w:r>
        <w:rPr>
          <w:b/>
          <w:vertAlign w:val="superscript"/>
        </w:rPr>
        <w:footnoteReference w:id="109"/>
      </w:r>
      <w:r>
        <w:t xml:space="preserve"> </w:t>
      </w:r>
      <w:r w:rsidRPr="00917265">
        <w:t xml:space="preserve">provides market-like incentives, </w:t>
      </w:r>
      <w:r>
        <w:t xml:space="preserve">and encourages </w:t>
      </w:r>
      <w:r w:rsidRPr="00917265">
        <w:t>resources to offer reactive power cost-effectively by rewarding increased capability and maintaining necessary equipment</w:t>
      </w:r>
      <w:r w:rsidR="00092DFA">
        <w:t>,</w:t>
      </w:r>
      <w:r>
        <w:rPr>
          <w:b/>
          <w:vertAlign w:val="superscript"/>
        </w:rPr>
        <w:footnoteReference w:id="110"/>
      </w:r>
      <w:r>
        <w:t xml:space="preserve"> which </w:t>
      </w:r>
      <w:r w:rsidRPr="00917265">
        <w:t>reduces the need for complex, individualized cost-based payments and integrates reactive power support efficiently into the broader market framework, promoting economic efficiency and reliability.</w:t>
      </w:r>
      <w:r>
        <w:rPr>
          <w:b/>
          <w:vertAlign w:val="superscript"/>
        </w:rPr>
        <w:footnoteReference w:id="111"/>
      </w:r>
      <w:r>
        <w:t xml:space="preserve">  </w:t>
      </w:r>
      <w:r w:rsidRPr="00917265">
        <w:t>NYISO contends that a uniform implementation approach is not suitable given the varying regional needs and existing effective compensation frameworks.</w:t>
      </w:r>
      <w:r>
        <w:rPr>
          <w:b/>
          <w:vertAlign w:val="superscript"/>
        </w:rPr>
        <w:footnoteReference w:id="112"/>
      </w:r>
    </w:p>
    <w:p w:rsidR="005B3ECE" w:rsidP="00DC25CA" w14:paraId="0B9AC156" w14:textId="4157C5C6">
      <w:pPr>
        <w:pStyle w:val="FERCparanumber"/>
        <w:autoSpaceDE w:val="0"/>
        <w:autoSpaceDN w:val="0"/>
        <w:adjustRightInd w:val="0"/>
      </w:pPr>
      <w:r>
        <w:t xml:space="preserve">Indicated Trade Associations, </w:t>
      </w:r>
      <w:r w:rsidR="008D6CEB">
        <w:t>Generat</w:t>
      </w:r>
      <w:r w:rsidR="00E62D57">
        <w:t>ion</w:t>
      </w:r>
      <w:r w:rsidR="008D6CEB">
        <w:t xml:space="preserve"> Developers, NEI and </w:t>
      </w:r>
      <w:r w:rsidR="00A6442E">
        <w:t>PSEG</w:t>
      </w:r>
      <w:r w:rsidR="008D6CEB">
        <w:t xml:space="preserve"> raise constitutional claims</w:t>
      </w:r>
      <w:r w:rsidR="00E41626">
        <w:t xml:space="preserve"> with respect to the NOPR proposal</w:t>
      </w:r>
      <w:r w:rsidR="008D6CEB">
        <w:t xml:space="preserve">.  </w:t>
      </w:r>
      <w:r w:rsidRPr="0051503A" w:rsidR="0042204D">
        <w:t>I</w:t>
      </w:r>
      <w:r w:rsidRPr="0051503A" w:rsidR="00AA703D">
        <w:t xml:space="preserve">ndicated Trade Associations argue that </w:t>
      </w:r>
      <w:r w:rsidRPr="0051503A" w:rsidR="00701646">
        <w:t xml:space="preserve">the </w:t>
      </w:r>
      <w:r w:rsidRPr="0051503A" w:rsidR="00705F47">
        <w:t>proposed rule violates th</w:t>
      </w:r>
      <w:r w:rsidRPr="0051503A" w:rsidR="005D2413">
        <w:t>e Takings Clause of the Fi</w:t>
      </w:r>
      <w:r w:rsidRPr="0051503A" w:rsidR="004E6988">
        <w:t xml:space="preserve">fth Amendment </w:t>
      </w:r>
      <w:r w:rsidRPr="0051503A" w:rsidR="00225782">
        <w:t xml:space="preserve">to the </w:t>
      </w:r>
      <w:r w:rsidRPr="0051503A" w:rsidR="00225782">
        <w:t>United States Constitution.</w:t>
      </w:r>
      <w:r>
        <w:rPr>
          <w:rStyle w:val="FootnoteReference"/>
        </w:rPr>
        <w:footnoteReference w:id="113"/>
      </w:r>
      <w:r w:rsidRPr="0051503A" w:rsidR="00225782">
        <w:t xml:space="preserve">  </w:t>
      </w:r>
      <w:r w:rsidR="00570BE4">
        <w:t>They argue that p</w:t>
      </w:r>
      <w:r w:rsidR="001D4394">
        <w:t>ublic utilities have the statutory and constitutional right to compensation for the</w:t>
      </w:r>
      <w:r w:rsidR="00570BE4">
        <w:t xml:space="preserve"> </w:t>
      </w:r>
      <w:r w:rsidR="001D4394">
        <w:t>services they provide, including reactive power</w:t>
      </w:r>
      <w:r w:rsidR="00F95420">
        <w:t>,</w:t>
      </w:r>
      <w:r w:rsidR="00570BE4">
        <w:t xml:space="preserve"> and the Commission can</w:t>
      </w:r>
      <w:r w:rsidR="008E0CE1">
        <w:t>n</w:t>
      </w:r>
      <w:r w:rsidR="00570BE4">
        <w:t xml:space="preserve">ot </w:t>
      </w:r>
      <w:r w:rsidRPr="0051503A" w:rsidR="008E0CE1">
        <w:t>deprive public utilities of just and reasonable</w:t>
      </w:r>
      <w:r w:rsidR="00322226">
        <w:t xml:space="preserve"> </w:t>
      </w:r>
      <w:r w:rsidRPr="0051503A" w:rsidR="008E0CE1">
        <w:t>compensation simply by characterizing the provision of reactive power as a condition of</w:t>
      </w:r>
      <w:r w:rsidR="00322226">
        <w:t xml:space="preserve"> </w:t>
      </w:r>
      <w:r w:rsidRPr="0051503A" w:rsidR="008E0CE1">
        <w:t>interconnection, particularly where it was the Commission that established this condition</w:t>
      </w:r>
      <w:r w:rsidR="007E1E67">
        <w:t xml:space="preserve">.  </w:t>
      </w:r>
      <w:r w:rsidR="008F0BEF">
        <w:t xml:space="preserve">Similarly, Generation Developers argue that forcing generators to supply an identifiable portion of the reactive power they generate, without any compensation, as a condition of interconnection to the </w:t>
      </w:r>
      <w:r w:rsidR="00C00B3C">
        <w:t>transmission system</w:t>
      </w:r>
      <w:r w:rsidR="008F0BEF">
        <w:t>, falls squarely within the kinds of takings prohibited by the Takings Clause.</w:t>
      </w:r>
      <w:r>
        <w:rPr>
          <w:rStyle w:val="FootnoteReference"/>
        </w:rPr>
        <w:footnoteReference w:id="114"/>
      </w:r>
      <w:r w:rsidR="008F0BEF">
        <w:t xml:space="preserve">  </w:t>
      </w:r>
      <w:r w:rsidR="00A6442E">
        <w:t>PSEG</w:t>
      </w:r>
      <w:r w:rsidR="00BE2A76">
        <w:t xml:space="preserve"> states that, i</w:t>
      </w:r>
      <w:r w:rsidRPr="00BE2A76" w:rsidR="00BE2A76">
        <w:t xml:space="preserve">n accordance with the FPA and the Supreme </w:t>
      </w:r>
      <w:r w:rsidR="008F49C8">
        <w:t xml:space="preserve">Court precedent in </w:t>
      </w:r>
      <w:r w:rsidRPr="0051503A" w:rsidR="008F49C8">
        <w:rPr>
          <w:i/>
          <w:iCs/>
        </w:rPr>
        <w:t>Hope</w:t>
      </w:r>
      <w:r w:rsidR="008F49C8">
        <w:t>, the Commission has a duty to protect public utilities from rates that are confiscatory.</w:t>
      </w:r>
      <w:r>
        <w:rPr>
          <w:rStyle w:val="FootnoteReference"/>
        </w:rPr>
        <w:footnoteReference w:id="115"/>
      </w:r>
      <w:r w:rsidR="008F49C8">
        <w:t xml:space="preserve">  </w:t>
      </w:r>
      <w:r w:rsidR="00A6442E">
        <w:t>PSEG</w:t>
      </w:r>
      <w:r w:rsidR="00BD7C10">
        <w:t xml:space="preserve"> argues that the proposed rule</w:t>
      </w:r>
      <w:r w:rsidR="00482871">
        <w:t xml:space="preserve">, </w:t>
      </w:r>
      <w:r w:rsidR="00692ED7">
        <w:t xml:space="preserve">not unlike </w:t>
      </w:r>
      <w:r w:rsidR="00143959">
        <w:t xml:space="preserve">the </w:t>
      </w:r>
      <w:r w:rsidR="002C3FC3">
        <w:t xml:space="preserve">Commission denying transmission owners the opportunity to earn a return on network upgrades in </w:t>
      </w:r>
      <w:r w:rsidRPr="00F05CA6" w:rsidR="002C3FC3">
        <w:rPr>
          <w:i/>
          <w:iCs/>
        </w:rPr>
        <w:t>Ameren</w:t>
      </w:r>
      <w:r w:rsidR="002C3FC3">
        <w:t xml:space="preserve">, </w:t>
      </w:r>
      <w:r w:rsidR="00BD7C10">
        <w:t>essentially compels generators to provide a service without the ability to recover their fixed associated costs</w:t>
      </w:r>
      <w:r w:rsidR="00B220F5">
        <w:t xml:space="preserve">, which </w:t>
      </w:r>
      <w:r w:rsidR="00BD7C10">
        <w:t>is unjust and</w:t>
      </w:r>
      <w:r w:rsidR="00B220F5">
        <w:t xml:space="preserve"> </w:t>
      </w:r>
      <w:r w:rsidR="00BD7C10">
        <w:t xml:space="preserve">unreasonable, </w:t>
      </w:r>
      <w:r w:rsidR="00BD7C10">
        <w:t xml:space="preserve">unduly discriminatory, and confiscatory and in violation of the </w:t>
      </w:r>
      <w:r w:rsidR="00DB6BBB">
        <w:t>FPA</w:t>
      </w:r>
      <w:r w:rsidR="00BD7C10">
        <w:t xml:space="preserve"> and judicial precedent</w:t>
      </w:r>
      <w:r w:rsidR="00DB6BBB">
        <w:t>.</w:t>
      </w:r>
      <w:r>
        <w:rPr>
          <w:rStyle w:val="FootnoteReference"/>
        </w:rPr>
        <w:footnoteReference w:id="116"/>
      </w:r>
    </w:p>
    <w:p w:rsidR="002D5740" w:rsidP="00130245" w14:paraId="716FC643" w14:textId="663D86CF">
      <w:pPr>
        <w:pStyle w:val="FERCparanumber"/>
        <w:autoSpaceDE w:val="0"/>
        <w:autoSpaceDN w:val="0"/>
        <w:adjustRightInd w:val="0"/>
      </w:pPr>
      <w:r>
        <w:t xml:space="preserve">MISO Transmission Owners disagree </w:t>
      </w:r>
      <w:r w:rsidR="008D6CEB">
        <w:t>with</w:t>
      </w:r>
      <w:r w:rsidR="0056714B">
        <w:t xml:space="preserve"> commenters arguing </w:t>
      </w:r>
      <w:r>
        <w:t>that the NOPR</w:t>
      </w:r>
      <w:r w:rsidR="00F61AE9">
        <w:t xml:space="preserve"> proposal</w:t>
      </w:r>
      <w:r>
        <w:t xml:space="preserve"> constitutes an unconstitutional taking.</w:t>
      </w:r>
      <w:r>
        <w:rPr>
          <w:rStyle w:val="FootnoteReference"/>
        </w:rPr>
        <w:footnoteReference w:id="117"/>
      </w:r>
      <w:r>
        <w:t xml:space="preserve"> </w:t>
      </w:r>
      <w:r w:rsidR="00F61AE9">
        <w:t xml:space="preserve"> </w:t>
      </w:r>
      <w:r w:rsidR="00E10978">
        <w:t xml:space="preserve">They </w:t>
      </w:r>
      <w:r w:rsidR="004112AE">
        <w:t>contend that</w:t>
      </w:r>
      <w:r w:rsidR="004E2BC7">
        <w:t xml:space="preserve"> the</w:t>
      </w:r>
      <w:r w:rsidR="00AD75A4">
        <w:t xml:space="preserve"> commenters’</w:t>
      </w:r>
      <w:r w:rsidR="004112AE">
        <w:t xml:space="preserve"> </w:t>
      </w:r>
      <w:r w:rsidR="00AD75A4">
        <w:t>c</w:t>
      </w:r>
      <w:r w:rsidRPr="00F05CA6" w:rsidR="008C6B9F">
        <w:t xml:space="preserve">laim that </w:t>
      </w:r>
      <w:r w:rsidRPr="00F05CA6" w:rsidR="00FF4BA9">
        <w:t>the Order No. 2003 requirement for generators to provide reactive power within</w:t>
      </w:r>
      <w:r w:rsidRPr="00F05CA6" w:rsidR="008C6B9F">
        <w:t xml:space="preserve"> </w:t>
      </w:r>
      <w:r w:rsidRPr="00F05CA6" w:rsidR="00FF4BA9">
        <w:t xml:space="preserve">the </w:t>
      </w:r>
      <w:r w:rsidRPr="00F05CA6" w:rsidR="00825E3D">
        <w:t>standard power factor range</w:t>
      </w:r>
      <w:r w:rsidRPr="00F05CA6" w:rsidR="00FF4BA9">
        <w:t xml:space="preserve"> violates the Takings Clause of the U.S. Constitution</w:t>
      </w:r>
      <w:r w:rsidRPr="00F05CA6" w:rsidR="008C6B9F">
        <w:t xml:space="preserve"> is a collateral attack on </w:t>
      </w:r>
      <w:r w:rsidRPr="00F05CA6" w:rsidR="00825E3D">
        <w:t>Order</w:t>
      </w:r>
      <w:r w:rsidR="00FD64DD">
        <w:t xml:space="preserve"> No. 2003.  </w:t>
      </w:r>
      <w:r w:rsidRPr="00F05CA6" w:rsidR="0001771A">
        <w:t xml:space="preserve">They contend that, </w:t>
      </w:r>
      <w:r w:rsidRPr="00F05CA6" w:rsidR="00FF4BA9">
        <w:t>while</w:t>
      </w:r>
      <w:r w:rsidRPr="00F05CA6" w:rsidR="0001771A">
        <w:t xml:space="preserve"> </w:t>
      </w:r>
      <w:r w:rsidRPr="00F05CA6" w:rsidR="00FF4BA9">
        <w:t>some contractual rights are considered “property” within the meaning of the</w:t>
      </w:r>
      <w:r w:rsidRPr="00F05CA6" w:rsidR="0001771A">
        <w:t xml:space="preserve"> </w:t>
      </w:r>
      <w:r w:rsidRPr="00F05CA6" w:rsidR="00FF4BA9">
        <w:t>Takings Clause of the Fifth Amendment, the contractual relationship entered</w:t>
      </w:r>
      <w:r w:rsidRPr="00F05CA6" w:rsidR="00C94B83">
        <w:t xml:space="preserve"> </w:t>
      </w:r>
      <w:r w:rsidRPr="00F05CA6" w:rsidR="00FF4BA9">
        <w:t>into</w:t>
      </w:r>
      <w:r w:rsidRPr="00F05CA6" w:rsidR="0001771A">
        <w:t xml:space="preserve"> </w:t>
      </w:r>
      <w:r w:rsidRPr="00F05CA6" w:rsidR="00FF4BA9">
        <w:t xml:space="preserve">when a generator interconnects </w:t>
      </w:r>
      <w:r w:rsidRPr="00F05CA6" w:rsidR="00FF4BA9">
        <w:rPr>
          <w:szCs w:val="26"/>
        </w:rPr>
        <w:t>with a transmission system does not implicate a</w:t>
      </w:r>
      <w:r w:rsidRPr="00F05CA6" w:rsidR="0001771A">
        <w:rPr>
          <w:szCs w:val="26"/>
        </w:rPr>
        <w:t xml:space="preserve"> </w:t>
      </w:r>
      <w:r w:rsidRPr="00F05CA6" w:rsidR="00FF4BA9">
        <w:rPr>
          <w:szCs w:val="26"/>
        </w:rPr>
        <w:t>taking that must be compensated.</w:t>
      </w:r>
      <w:r>
        <w:rPr>
          <w:rStyle w:val="FootnoteReference"/>
          <w:szCs w:val="26"/>
        </w:rPr>
        <w:footnoteReference w:id="118"/>
      </w:r>
      <w:r w:rsidRPr="00F05CA6" w:rsidR="00FF4BA9">
        <w:rPr>
          <w:szCs w:val="26"/>
        </w:rPr>
        <w:t xml:space="preserve"> </w:t>
      </w:r>
      <w:r w:rsidRPr="00F05CA6" w:rsidR="00911CDA">
        <w:rPr>
          <w:szCs w:val="26"/>
        </w:rPr>
        <w:t xml:space="preserve"> MISO Transmission Owners state that t</w:t>
      </w:r>
      <w:r w:rsidRPr="00F05CA6" w:rsidR="00FF4BA9">
        <w:rPr>
          <w:szCs w:val="26"/>
        </w:rPr>
        <w:t>he Commission determined in Order No. 2003 that generators “should not be compensated for reactive power</w:t>
      </w:r>
      <w:r w:rsidRPr="00F05CA6" w:rsidR="00911CDA">
        <w:rPr>
          <w:szCs w:val="26"/>
        </w:rPr>
        <w:t xml:space="preserve"> </w:t>
      </w:r>
      <w:r w:rsidRPr="00F05CA6" w:rsidR="00FF4BA9">
        <w:rPr>
          <w:szCs w:val="26"/>
        </w:rPr>
        <w:t>when operating [their] Generating Facilit[ies] within the established power factor</w:t>
      </w:r>
      <w:r w:rsidRPr="00F16361" w:rsidR="009A19BE">
        <w:rPr>
          <w:szCs w:val="26"/>
        </w:rPr>
        <w:t xml:space="preserve"> </w:t>
      </w:r>
      <w:r w:rsidRPr="00F05CA6" w:rsidR="009A19BE">
        <w:rPr>
          <w:szCs w:val="26"/>
        </w:rPr>
        <w:t>range, since [they are] only meeting [their] obligation.”   Moreover, they state</w:t>
      </w:r>
      <w:r w:rsidR="00500CBC">
        <w:rPr>
          <w:szCs w:val="26"/>
        </w:rPr>
        <w:t xml:space="preserve"> that</w:t>
      </w:r>
      <w:r w:rsidRPr="00F05CA6" w:rsidR="009A19BE">
        <w:rPr>
          <w:szCs w:val="26"/>
        </w:rPr>
        <w:t xml:space="preserve"> </w:t>
      </w:r>
      <w:r w:rsidR="00A31221">
        <w:rPr>
          <w:szCs w:val="26"/>
        </w:rPr>
        <w:t>“</w:t>
      </w:r>
      <w:r w:rsidRPr="00F05CA6" w:rsidR="009A19BE">
        <w:rPr>
          <w:szCs w:val="26"/>
        </w:rPr>
        <w:t xml:space="preserve">as </w:t>
      </w:r>
      <w:r w:rsidR="00320235">
        <w:rPr>
          <w:szCs w:val="26"/>
        </w:rPr>
        <w:t>‘</w:t>
      </w:r>
      <w:r w:rsidRPr="00F05CA6" w:rsidR="009A19BE">
        <w:rPr>
          <w:szCs w:val="26"/>
        </w:rPr>
        <w:t xml:space="preserve">legislation [that] readjust[s] rights and burdens is not unlawful solely because it upsets otherwise </w:t>
      </w:r>
      <w:r w:rsidRPr="00F05CA6" w:rsidR="009A19BE">
        <w:rPr>
          <w:szCs w:val="26"/>
        </w:rPr>
        <w:t>settled expectations,</w:t>
      </w:r>
      <w:r w:rsidR="00C16F94">
        <w:rPr>
          <w:szCs w:val="26"/>
        </w:rPr>
        <w:t>’</w:t>
      </w:r>
      <w:r w:rsidRPr="00F05CA6" w:rsidR="009A19BE">
        <w:rPr>
          <w:szCs w:val="26"/>
        </w:rPr>
        <w:t xml:space="preserve"> the Commission’s action implementing the changes in the NOPR would not constitute an unconstitutional taking just because the changes would </w:t>
      </w:r>
      <w:r w:rsidR="00C16F94">
        <w:rPr>
          <w:szCs w:val="26"/>
        </w:rPr>
        <w:t>‘</w:t>
      </w:r>
      <w:r w:rsidRPr="00F05CA6" w:rsidR="009A19BE">
        <w:rPr>
          <w:szCs w:val="26"/>
        </w:rPr>
        <w:t>impact the benefits and burdens</w:t>
      </w:r>
      <w:r w:rsidR="00C16F94">
        <w:rPr>
          <w:szCs w:val="26"/>
        </w:rPr>
        <w:t>’</w:t>
      </w:r>
      <w:r w:rsidRPr="00F05CA6" w:rsidR="009A19BE">
        <w:rPr>
          <w:szCs w:val="26"/>
        </w:rPr>
        <w:t xml:space="preserve"> of the agreement entered into by generators interconnecting with the Transmission System.</w:t>
      </w:r>
      <w:r w:rsidR="00E017EF">
        <w:rPr>
          <w:szCs w:val="26"/>
        </w:rPr>
        <w:t>”</w:t>
      </w:r>
      <w:r>
        <w:rPr>
          <w:rStyle w:val="FootnoteReference"/>
          <w:szCs w:val="26"/>
        </w:rPr>
        <w:footnoteReference w:id="119"/>
      </w:r>
      <w:r w:rsidRPr="00F05CA6" w:rsidR="009A19BE">
        <w:rPr>
          <w:szCs w:val="26"/>
        </w:rPr>
        <w:t xml:space="preserve"> </w:t>
      </w:r>
      <w:r w:rsidRPr="00F05CA6" w:rsidR="005F72A9">
        <w:rPr>
          <w:szCs w:val="26"/>
        </w:rPr>
        <w:t xml:space="preserve"> They contend that “</w:t>
      </w:r>
      <w:r w:rsidRPr="00F05CA6" w:rsidR="005231E2">
        <w:rPr>
          <w:szCs w:val="26"/>
        </w:rPr>
        <w:t>[g]</w:t>
      </w:r>
      <w:r w:rsidRPr="00F05CA6" w:rsidR="009A19BE">
        <w:rPr>
          <w:szCs w:val="26"/>
        </w:rPr>
        <w:t>enerators have only a unilateral expectation of payment for the</w:t>
      </w:r>
      <w:r w:rsidRPr="00F05CA6" w:rsidR="00660BBC">
        <w:rPr>
          <w:szCs w:val="26"/>
        </w:rPr>
        <w:t xml:space="preserve"> </w:t>
      </w:r>
      <w:r w:rsidRPr="00F05CA6" w:rsidR="009A19BE">
        <w:rPr>
          <w:szCs w:val="26"/>
        </w:rPr>
        <w:t>provision of reactive power and not a legitimate claim of entitlement to</w:t>
      </w:r>
      <w:r w:rsidRPr="00F05CA6" w:rsidR="005231E2">
        <w:rPr>
          <w:szCs w:val="26"/>
        </w:rPr>
        <w:t xml:space="preserve"> </w:t>
      </w:r>
      <w:r w:rsidRPr="00130245" w:rsidR="009A19BE">
        <w:rPr>
          <w:szCs w:val="26"/>
        </w:rPr>
        <w:t>compensation.</w:t>
      </w:r>
      <w:r w:rsidRPr="00130245" w:rsidR="005231E2">
        <w:rPr>
          <w:szCs w:val="26"/>
        </w:rPr>
        <w:t>”</w:t>
      </w:r>
      <w:r>
        <w:rPr>
          <w:rStyle w:val="FootnoteReference"/>
          <w:szCs w:val="24"/>
        </w:rPr>
        <w:footnoteReference w:id="120"/>
      </w:r>
    </w:p>
    <w:p w:rsidR="00AB223A" w:rsidP="004610A4" w14:paraId="00BFDFA2" w14:textId="1DE03FE3">
      <w:pPr>
        <w:pStyle w:val="FERCparanumber"/>
      </w:pPr>
      <w:r w:rsidRPr="00530C80">
        <w:t>Eagle Creek and the NHA both assert that existing reactive service rates enjoy the Mobile-Sierra presumption</w:t>
      </w:r>
      <w:r w:rsidR="00A876ED">
        <w:t xml:space="preserve">.  </w:t>
      </w:r>
      <w:r w:rsidR="00712283">
        <w:t xml:space="preserve">The </w:t>
      </w:r>
      <w:r w:rsidR="006D6853">
        <w:t>NHA asserts that</w:t>
      </w:r>
      <w:r w:rsidRPr="00530C80">
        <w:t>, in order for the Commission to disallow the existing reactive service rates, each rate on-file must be demonstrated by the Commission to “seriously harm the public interest.”</w:t>
      </w:r>
      <w:r>
        <w:rPr>
          <w:rStyle w:val="FootnoteReference"/>
        </w:rPr>
        <w:footnoteReference w:id="121"/>
      </w:r>
      <w:r w:rsidRPr="00530C80">
        <w:t xml:space="preserve">  Eagle Creek and the NHA both note that, given the highly localized nature of reactive power, it is unclear how the Commission could assess these individual contracts without conducting a case-by-case analysis through individual section 206 proceedings.</w:t>
      </w:r>
      <w:r>
        <w:rPr>
          <w:rStyle w:val="FootnoteReference"/>
        </w:rPr>
        <w:footnoteReference w:id="122"/>
      </w:r>
      <w:r w:rsidRPr="00530C80">
        <w:t xml:space="preserve">  Eagle Creek </w:t>
      </w:r>
      <w:r w:rsidR="001668F6">
        <w:t xml:space="preserve">and </w:t>
      </w:r>
      <w:r w:rsidR="00712283">
        <w:t xml:space="preserve">the </w:t>
      </w:r>
      <w:r w:rsidR="001668F6">
        <w:t xml:space="preserve">NHA </w:t>
      </w:r>
      <w:r w:rsidRPr="00530C80">
        <w:t xml:space="preserve">claim that absent such proceedings, generating facilities would be deprived of their current just </w:t>
      </w:r>
      <w:r w:rsidRPr="00530C80">
        <w:t>and reasonable compensation and previous investments made by generating facilities would be compromised.</w:t>
      </w:r>
      <w:r>
        <w:rPr>
          <w:rStyle w:val="FootnoteReference"/>
        </w:rPr>
        <w:footnoteReference w:id="123"/>
      </w:r>
      <w:r w:rsidRPr="00530C80">
        <w:t xml:space="preserve">  The NHA </w:t>
      </w:r>
      <w:r w:rsidR="009D2018">
        <w:t xml:space="preserve">and Eagle Creek </w:t>
      </w:r>
      <w:r w:rsidRPr="00530C80">
        <w:t>assert that</w:t>
      </w:r>
      <w:r w:rsidR="00807D1F">
        <w:t>,</w:t>
      </w:r>
      <w:r w:rsidRPr="00530C80">
        <w:t xml:space="preserve"> </w:t>
      </w:r>
      <w:r w:rsidR="00807D1F">
        <w:t>b</w:t>
      </w:r>
      <w:r w:rsidR="006F63C3">
        <w:t>y</w:t>
      </w:r>
      <w:r w:rsidRPr="00530C80">
        <w:t xml:space="preserve"> </w:t>
      </w:r>
      <w:r w:rsidR="001B0824">
        <w:t>relying</w:t>
      </w:r>
      <w:r w:rsidR="004F5BD9">
        <w:t xml:space="preserve"> on a generic rulemaking to effectively cancel all reactive power rates</w:t>
      </w:r>
      <w:r w:rsidR="006F63C3">
        <w:t>, the NOPR</w:t>
      </w:r>
      <w:r w:rsidRPr="00530C80">
        <w:t xml:space="preserve"> is an “act of convenience” and “an indirect attempt to strip the value of existing rates without facing the legal challenge that the Mobile-Sierra doctrine presents.”</w:t>
      </w:r>
      <w:r>
        <w:rPr>
          <w:rStyle w:val="FootnoteReference"/>
        </w:rPr>
        <w:footnoteReference w:id="124"/>
      </w:r>
    </w:p>
    <w:p w:rsidR="004610A4" w:rsidP="004610A4" w14:paraId="3115153F" w14:textId="72C0D070">
      <w:pPr>
        <w:pStyle w:val="FERCparanumber"/>
      </w:pPr>
      <w:r w:rsidRPr="00C04A85">
        <w:t xml:space="preserve">Joint Customers </w:t>
      </w:r>
      <w:r w:rsidR="00DB0F79">
        <w:t xml:space="preserve">disagree with Eagle Creek and </w:t>
      </w:r>
      <w:r w:rsidR="00712283">
        <w:t xml:space="preserve">the </w:t>
      </w:r>
      <w:r w:rsidR="00DB0F79">
        <w:t>NHA’s</w:t>
      </w:r>
      <w:r w:rsidRPr="00C04A85">
        <w:t xml:space="preserve"> argument that the Commission cannot eliminate compensation within the standard power factor range without initiating individual rate proceedings.</w:t>
      </w:r>
      <w:r>
        <w:rPr>
          <w:b/>
          <w:bCs/>
          <w:vertAlign w:val="superscript"/>
        </w:rPr>
        <w:footnoteReference w:id="125"/>
      </w:r>
      <w:r w:rsidRPr="00D46241">
        <w:t xml:space="preserve"> </w:t>
      </w:r>
      <w:r w:rsidRPr="00C04A85">
        <w:t xml:space="preserve"> Joint Customers explain that precedent cases, such as </w:t>
      </w:r>
      <w:r w:rsidRPr="00D46241">
        <w:rPr>
          <w:i/>
          <w:iCs/>
        </w:rPr>
        <w:t>PNM</w:t>
      </w:r>
      <w:r w:rsidRPr="00C04A85">
        <w:t xml:space="preserve"> and </w:t>
      </w:r>
      <w:r w:rsidRPr="00D46241">
        <w:rPr>
          <w:i/>
          <w:iCs/>
        </w:rPr>
        <w:t>MISO</w:t>
      </w:r>
      <w:r w:rsidRPr="00C04A85">
        <w:t>, demonstrate that changes to the underlying Schedule 2 tariff provisions effectively eliminate compensation for third-party generators without separate rate challenges.</w:t>
      </w:r>
      <w:r>
        <w:rPr>
          <w:b/>
          <w:bCs/>
          <w:vertAlign w:val="superscript"/>
        </w:rPr>
        <w:footnoteReference w:id="126"/>
      </w:r>
    </w:p>
    <w:p w:rsidR="00A66F08" w:rsidP="00A66F08" w14:paraId="46536127" w14:textId="3B9E695F">
      <w:pPr>
        <w:pStyle w:val="FERCparanumber"/>
      </w:pPr>
      <w:r>
        <w:t xml:space="preserve">Reactive Service Providers and Generation Developers </w:t>
      </w:r>
      <w:r w:rsidRPr="00F35279">
        <w:t xml:space="preserve">argue that the NOPR violates the D.C. Circuit’s holding in </w:t>
      </w:r>
      <w:r w:rsidRPr="00F35279">
        <w:rPr>
          <w:i/>
          <w:iCs/>
        </w:rPr>
        <w:t>Atlantic City</w:t>
      </w:r>
      <w:r w:rsidRPr="00F35279">
        <w:t>.</w:t>
      </w:r>
      <w:r>
        <w:rPr>
          <w:b/>
          <w:vertAlign w:val="superscript"/>
        </w:rPr>
        <w:footnoteReference w:id="127"/>
      </w:r>
      <w:r w:rsidRPr="00F35279">
        <w:t xml:space="preserve"> </w:t>
      </w:r>
      <w:r>
        <w:t xml:space="preserve"> They</w:t>
      </w:r>
      <w:r w:rsidRPr="00E11CE2">
        <w:t xml:space="preserve"> assert that by using the </w:t>
      </w:r>
      <w:r w:rsidRPr="00E11CE2">
        <w:t>Commission’s authority under section 206 of the FPA to eliminate reactive power compensation, the NOPR essentially strips generating facilities of their ability to make filings under section 205 of the FPA to recover the costs of the reactive power service that they provide.</w:t>
      </w:r>
      <w:r>
        <w:rPr>
          <w:rStyle w:val="FootnoteReference"/>
        </w:rPr>
        <w:footnoteReference w:id="128"/>
      </w:r>
    </w:p>
    <w:p w:rsidR="009A317D" w:rsidRPr="00C06B6B" w:rsidP="004541DA" w14:paraId="2AD27608" w14:textId="77777777">
      <w:pPr>
        <w:pStyle w:val="Heading3"/>
        <w:rPr>
          <w:u w:val="single"/>
        </w:rPr>
      </w:pPr>
      <w:bookmarkStart w:id="17" w:name="_bmk7"/>
      <w:bookmarkStart w:id="18" w:name="_Ref177548474"/>
      <w:r w:rsidRPr="00C06B6B">
        <w:rPr>
          <w:u w:val="single"/>
        </w:rPr>
        <w:t>C</w:t>
      </w:r>
      <w:bookmarkEnd w:id="17"/>
      <w:r w:rsidRPr="00C06B6B">
        <w:rPr>
          <w:u w:val="single"/>
        </w:rPr>
        <w:t>ommission Determination</w:t>
      </w:r>
      <w:bookmarkEnd w:id="18"/>
    </w:p>
    <w:p w:rsidR="00533279" w:rsidP="00F55D97" w14:paraId="139CE4C6" w14:textId="7A0DD57B">
      <w:pPr>
        <w:pStyle w:val="FERCparanumber"/>
      </w:pPr>
      <w:r w:rsidRPr="00C55982">
        <w:t xml:space="preserve">Based on </w:t>
      </w:r>
      <w:r w:rsidR="00180168">
        <w:t xml:space="preserve">our review </w:t>
      </w:r>
      <w:r w:rsidR="00791A98">
        <w:t>of</w:t>
      </w:r>
      <w:r w:rsidR="00180168">
        <w:t xml:space="preserve"> </w:t>
      </w:r>
      <w:r w:rsidR="00B7204C">
        <w:t>the record,</w:t>
      </w:r>
      <w:r w:rsidRPr="00C55982">
        <w:t xml:space="preserve"> we find that </w:t>
      </w:r>
      <w:r w:rsidR="00EF478F">
        <w:t xml:space="preserve">there is substantial evidence to support the conclusion that </w:t>
      </w:r>
      <w:r w:rsidR="00FB21E7">
        <w:t xml:space="preserve">transmission rates are unjust and unreasonable to the extent they include </w:t>
      </w:r>
      <w:r w:rsidR="003F3B20">
        <w:t>charge</w:t>
      </w:r>
      <w:r w:rsidR="00FB21E7">
        <w:t xml:space="preserve">s </w:t>
      </w:r>
      <w:r w:rsidR="009B0EE3">
        <w:t xml:space="preserve">associated with </w:t>
      </w:r>
      <w:r w:rsidR="000C19CA">
        <w:t xml:space="preserve">the </w:t>
      </w:r>
      <w:r w:rsidR="003F3B20">
        <w:t xml:space="preserve">provision of </w:t>
      </w:r>
      <w:r w:rsidRPr="005975CF" w:rsidR="003F3B20">
        <w:t>reactive power within the standard power factor range</w:t>
      </w:r>
      <w:r w:rsidRPr="00C55982">
        <w:t>.</w:t>
      </w:r>
      <w:r w:rsidR="00B807ED">
        <w:t xml:space="preserve">  We therefore adopt the preliminary findings in the NOPR concerning the need for reform</w:t>
      </w:r>
      <w:r>
        <w:rPr>
          <w:rStyle w:val="FootnoteReference"/>
        </w:rPr>
        <w:footnoteReference w:id="129"/>
      </w:r>
      <w:r w:rsidR="009E4438">
        <w:t xml:space="preserve"> and, pursuant to section 206 of the FPA</w:t>
      </w:r>
      <w:r w:rsidR="00F82EB8">
        <w:t xml:space="preserve">, conclude that certain revisions to Schedule 2 of the </w:t>
      </w:r>
      <w:r w:rsidRPr="0054292C" w:rsidR="00F82EB8">
        <w:rPr>
          <w:i/>
          <w:iCs/>
        </w:rPr>
        <w:t>pro forma</w:t>
      </w:r>
      <w:r w:rsidR="00F82EB8">
        <w:t xml:space="preserve"> OATT</w:t>
      </w:r>
      <w:r w:rsidR="00144712">
        <w:t xml:space="preserve">, </w:t>
      </w:r>
      <w:r w:rsidRPr="0054292C" w:rsidR="00144712">
        <w:rPr>
          <w:i/>
          <w:iCs/>
        </w:rPr>
        <w:t>pro forma</w:t>
      </w:r>
      <w:r w:rsidRPr="00D374EE" w:rsidR="00144712">
        <w:t xml:space="preserve"> </w:t>
      </w:r>
      <w:r w:rsidR="00144712">
        <w:t xml:space="preserve">LGIA, and </w:t>
      </w:r>
      <w:r w:rsidRPr="0054292C" w:rsidR="00144712">
        <w:rPr>
          <w:i/>
          <w:iCs/>
        </w:rPr>
        <w:t>pro forma</w:t>
      </w:r>
      <w:r w:rsidRPr="00D374EE" w:rsidR="00144712">
        <w:t xml:space="preserve"> </w:t>
      </w:r>
      <w:r w:rsidR="00144712">
        <w:t xml:space="preserve">SGIA are </w:t>
      </w:r>
      <w:r w:rsidR="00F14B3A">
        <w:t>necessary</w:t>
      </w:r>
      <w:r w:rsidR="00144712">
        <w:t xml:space="preserve"> to ensure r</w:t>
      </w:r>
      <w:r w:rsidR="00F14B3A">
        <w:t xml:space="preserve">ates that are just, reasonable, </w:t>
      </w:r>
      <w:r w:rsidR="00914060">
        <w:t>and not unduly discriminatory or preferential.</w:t>
      </w:r>
    </w:p>
    <w:p w:rsidR="00CE3D43" w:rsidP="00917D69" w14:paraId="52CAC0D3" w14:textId="4C170DFB">
      <w:pPr>
        <w:pStyle w:val="FERCparanumber"/>
      </w:pPr>
      <w:r>
        <w:t xml:space="preserve">We agree with commenters that </w:t>
      </w:r>
      <w:r w:rsidR="00B36FDA">
        <w:t xml:space="preserve">the </w:t>
      </w:r>
      <w:r w:rsidRPr="008A09E7" w:rsidR="00C54762">
        <w:t>current</w:t>
      </w:r>
      <w:r w:rsidR="00B36FDA">
        <w:t xml:space="preserve"> </w:t>
      </w:r>
      <w:r w:rsidRPr="008A09E7" w:rsidR="00C54762">
        <w:t xml:space="preserve">framework allows for </w:t>
      </w:r>
      <w:r w:rsidR="001B6C80">
        <w:t>transmission rates</w:t>
      </w:r>
      <w:r w:rsidRPr="008A09E7" w:rsidR="001B6C80">
        <w:t xml:space="preserve"> </w:t>
      </w:r>
      <w:r w:rsidRPr="008A09E7" w:rsidR="00C54762">
        <w:t xml:space="preserve">that </w:t>
      </w:r>
      <w:r w:rsidR="001B6C80">
        <w:t>are</w:t>
      </w:r>
      <w:r w:rsidRPr="008A09E7" w:rsidR="00C54762">
        <w:t xml:space="preserve"> </w:t>
      </w:r>
      <w:r w:rsidR="007A47FD">
        <w:t>“</w:t>
      </w:r>
      <w:r w:rsidRPr="008A09E7" w:rsidR="00C54762">
        <w:t>neither just nor reasonable</w:t>
      </w:r>
      <w:r w:rsidR="007A47FD">
        <w:t>”</w:t>
      </w:r>
      <w:r w:rsidR="00C54762">
        <w:t xml:space="preserve"> </w:t>
      </w:r>
      <w:r w:rsidR="00CF6029">
        <w:t xml:space="preserve">and </w:t>
      </w:r>
      <w:r>
        <w:t>“</w:t>
      </w:r>
      <w:r w:rsidRPr="008A09E7">
        <w:t>can result in</w:t>
      </w:r>
      <w:r>
        <w:t xml:space="preserve"> </w:t>
      </w:r>
      <w:r w:rsidRPr="008A09E7">
        <w:t>transmission customers being required to pay for a service that generators already are</w:t>
      </w:r>
      <w:r>
        <w:t xml:space="preserve"> </w:t>
      </w:r>
      <w:r w:rsidRPr="008A09E7">
        <w:t>required to provide and that costs them little or nothing to provide.</w:t>
      </w:r>
      <w:r w:rsidR="00F60B20">
        <w:t>”</w:t>
      </w:r>
      <w:r>
        <w:rPr>
          <w:rStyle w:val="FootnoteReference"/>
        </w:rPr>
        <w:footnoteReference w:id="130"/>
      </w:r>
      <w:r w:rsidR="00F60B20">
        <w:t xml:space="preserve">  </w:t>
      </w:r>
      <w:r w:rsidR="00C0673F">
        <w:t xml:space="preserve">As </w:t>
      </w:r>
      <w:r w:rsidR="00CD1876">
        <w:t>ref</w:t>
      </w:r>
      <w:r w:rsidR="00080A89">
        <w:t>l</w:t>
      </w:r>
      <w:r w:rsidR="00CD1876">
        <w:t>ected in the record</w:t>
      </w:r>
      <w:r w:rsidR="00C0673F">
        <w:t>, a</w:t>
      </w:r>
      <w:r w:rsidR="00634584">
        <w:t xml:space="preserve">bsent reform, </w:t>
      </w:r>
      <w:r w:rsidR="00634584">
        <w:t xml:space="preserve">transmission customers </w:t>
      </w:r>
      <w:r w:rsidR="004A59C0">
        <w:t>would be required t</w:t>
      </w:r>
      <w:r w:rsidR="00634584">
        <w:t xml:space="preserve">o </w:t>
      </w:r>
      <w:r w:rsidR="004A59C0">
        <w:t xml:space="preserve">continue to </w:t>
      </w:r>
      <w:r w:rsidR="003F14AF">
        <w:t xml:space="preserve">pay </w:t>
      </w:r>
      <w:r w:rsidR="00E60B55">
        <w:t>charges</w:t>
      </w:r>
      <w:r w:rsidR="00EA35A0">
        <w:t xml:space="preserve"> associated with </w:t>
      </w:r>
      <w:r w:rsidR="00B67CB8">
        <w:t xml:space="preserve">generating </w:t>
      </w:r>
      <w:r w:rsidR="00035DE7">
        <w:t>facilities’</w:t>
      </w:r>
      <w:r w:rsidR="00EA35A0">
        <w:t xml:space="preserve"> provision of reactive power </w:t>
      </w:r>
      <w:r w:rsidR="00EE22F3">
        <w:t xml:space="preserve">within the standard power factor range </w:t>
      </w:r>
      <w:r w:rsidR="00E60B55">
        <w:t xml:space="preserve">even though </w:t>
      </w:r>
      <w:r w:rsidR="00842678">
        <w:t xml:space="preserve">such </w:t>
      </w:r>
      <w:r w:rsidR="00855DED">
        <w:t>charges</w:t>
      </w:r>
      <w:r w:rsidR="00842678">
        <w:t xml:space="preserve"> are</w:t>
      </w:r>
      <w:r w:rsidRPr="009A03A0" w:rsidR="00035DE7">
        <w:t xml:space="preserve"> without a sufficient economic basis </w:t>
      </w:r>
      <w:r w:rsidRPr="007A2A57" w:rsidR="00035DE7">
        <w:t xml:space="preserve">and </w:t>
      </w:r>
      <w:r w:rsidR="00FE0850">
        <w:t>do</w:t>
      </w:r>
      <w:r w:rsidRPr="007A2A57" w:rsidR="00035DE7">
        <w:t xml:space="preserve"> not </w:t>
      </w:r>
      <w:r w:rsidR="00035DE7">
        <w:t xml:space="preserve">result in </w:t>
      </w:r>
      <w:r w:rsidR="00BC203F">
        <w:t xml:space="preserve">transmission </w:t>
      </w:r>
      <w:r w:rsidR="00035DE7">
        <w:t>customers</w:t>
      </w:r>
      <w:r w:rsidRPr="007A2A57" w:rsidR="00035DE7">
        <w:t xml:space="preserve"> receiving commensurate reliability benefits</w:t>
      </w:r>
      <w:r w:rsidR="001C1203">
        <w:t>.</w:t>
      </w:r>
      <w:r w:rsidR="00FF1A87">
        <w:t xml:space="preserve">  The need for reform is</w:t>
      </w:r>
      <w:r w:rsidR="005928D3">
        <w:t xml:space="preserve"> p</w:t>
      </w:r>
      <w:r w:rsidR="00C94B83">
        <w:t>articula</w:t>
      </w:r>
      <w:r w:rsidR="00FF1A87">
        <w:t xml:space="preserve">rly acute given </w:t>
      </w:r>
      <w:r w:rsidR="00CC5A23">
        <w:t>that</w:t>
      </w:r>
      <w:r w:rsidR="00FF1A87">
        <w:t xml:space="preserve"> </w:t>
      </w:r>
      <w:r w:rsidR="00EF70A3">
        <w:t>“t</w:t>
      </w:r>
      <w:r w:rsidRPr="00EF70A3" w:rsidR="00EF70A3">
        <w:t>ransmission rates have been rising in recent years and costs are only expected to increase in the near term to accommodate projected future transmission system needs</w:t>
      </w:r>
      <w:r w:rsidR="00755FA2">
        <w:t>.”</w:t>
      </w:r>
      <w:r>
        <w:rPr>
          <w:rStyle w:val="FootnoteReference"/>
        </w:rPr>
        <w:footnoteReference w:id="131"/>
      </w:r>
    </w:p>
    <w:p w:rsidR="007C6B45" w:rsidRPr="007C6B45" w:rsidP="00792346" w14:paraId="0AE622AA" w14:textId="422366DA">
      <w:pPr>
        <w:pStyle w:val="FERCparanumber"/>
      </w:pPr>
      <w:r>
        <w:t xml:space="preserve">As </w:t>
      </w:r>
      <w:r w:rsidR="0059367C">
        <w:t>described</w:t>
      </w:r>
      <w:r>
        <w:t xml:space="preserve"> </w:t>
      </w:r>
      <w:r w:rsidR="001439BA">
        <w:t>below</w:t>
      </w:r>
      <w:r>
        <w:t>, most</w:t>
      </w:r>
      <w:r w:rsidR="00460D6B">
        <w:t xml:space="preserve"> commenters agree </w:t>
      </w:r>
      <w:r w:rsidR="00297010">
        <w:t xml:space="preserve">or do not dispute that </w:t>
      </w:r>
      <w:r w:rsidRPr="0093679D" w:rsidR="0093679D">
        <w:t>real and reactive power are provided as joint products,</w:t>
      </w:r>
      <w:r>
        <w:rPr>
          <w:b/>
          <w:vertAlign w:val="superscript"/>
        </w:rPr>
        <w:footnoteReference w:id="132"/>
      </w:r>
      <w:r w:rsidRPr="0093679D" w:rsidR="0093679D">
        <w:t xml:space="preserve"> with joint costs</w:t>
      </w:r>
      <w:r w:rsidR="0093679D">
        <w:t>.</w:t>
      </w:r>
      <w:r>
        <w:rPr>
          <w:b/>
          <w:vertAlign w:val="superscript"/>
        </w:rPr>
        <w:footnoteReference w:id="133"/>
      </w:r>
      <w:r w:rsidRPr="0093679D" w:rsidR="0093679D">
        <w:t xml:space="preserve"> </w:t>
      </w:r>
      <w:r w:rsidR="00460D6B">
        <w:t xml:space="preserve"> </w:t>
      </w:r>
      <w:r w:rsidR="00435E33">
        <w:t>Similarly, most commenter</w:t>
      </w:r>
      <w:r w:rsidR="00997A5E">
        <w:t>s</w:t>
      </w:r>
      <w:r w:rsidR="00DA585D">
        <w:t xml:space="preserve"> agree or do not dispute that</w:t>
      </w:r>
      <w:r w:rsidR="0010604F">
        <w:t xml:space="preserve">, </w:t>
      </w:r>
      <w:r w:rsidRPr="00135071" w:rsidR="0010604F">
        <w:t xml:space="preserve">under their interconnection agreements and in </w:t>
      </w:r>
      <w:r w:rsidRPr="00135071" w:rsidR="0010604F">
        <w:t>accordance with good utility practice</w:t>
      </w:r>
      <w:r w:rsidR="0010604F">
        <w:t>,</w:t>
      </w:r>
      <w:r w:rsidR="00DA585D">
        <w:t xml:space="preserve"> </w:t>
      </w:r>
      <w:r w:rsidR="004B69AC">
        <w:t>g</w:t>
      </w:r>
      <w:r w:rsidRPr="00135071" w:rsidR="00EA0981">
        <w:t>e</w:t>
      </w:r>
      <w:r w:rsidR="004B69AC">
        <w:t>ne</w:t>
      </w:r>
      <w:r w:rsidRPr="00135071" w:rsidR="00EA0981">
        <w:t xml:space="preserve">rating facilities </w:t>
      </w:r>
      <w:r w:rsidR="00056308">
        <w:t xml:space="preserve">have </w:t>
      </w:r>
      <w:r w:rsidR="00A80932">
        <w:t xml:space="preserve">a </w:t>
      </w:r>
      <w:r w:rsidR="00056308">
        <w:t xml:space="preserve">long-standing obligation </w:t>
      </w:r>
      <w:r w:rsidR="00932654">
        <w:t xml:space="preserve">to </w:t>
      </w:r>
      <w:r w:rsidRPr="00135071" w:rsidR="00EA0981">
        <w:t>provid</w:t>
      </w:r>
      <w:r w:rsidR="00932654">
        <w:t>e</w:t>
      </w:r>
      <w:r w:rsidRPr="00135071" w:rsidR="00EA0981">
        <w:t xml:space="preserve"> reactive power within the standard power factor range</w:t>
      </w:r>
      <w:r w:rsidR="00E44D41">
        <w:t xml:space="preserve"> in order </w:t>
      </w:r>
      <w:r w:rsidR="00D77501">
        <w:t xml:space="preserve">to </w:t>
      </w:r>
      <w:r w:rsidR="00444DCF">
        <w:t>inter</w:t>
      </w:r>
      <w:r w:rsidR="00D77501">
        <w:t xml:space="preserve">connect reliably to </w:t>
      </w:r>
      <w:r w:rsidR="00714075">
        <w:t xml:space="preserve">the </w:t>
      </w:r>
      <w:r w:rsidR="00D77501">
        <w:t>transmission system</w:t>
      </w:r>
      <w:r w:rsidR="00FE35EC">
        <w:t xml:space="preserve">.  </w:t>
      </w:r>
      <w:r w:rsidR="0061421A">
        <w:t xml:space="preserve">Most </w:t>
      </w:r>
      <w:r w:rsidR="008351DE">
        <w:t xml:space="preserve">commenters </w:t>
      </w:r>
      <w:r w:rsidR="0061421A">
        <w:t xml:space="preserve">agree or do not dispute </w:t>
      </w:r>
      <w:r w:rsidR="009B1D72">
        <w:t xml:space="preserve">that </w:t>
      </w:r>
      <w:r w:rsidRPr="009B1D72" w:rsidR="009B1D72">
        <w:t>generating facilities must produce reactive power within the standard power factor range to allow the generating facilities’ real power to reliably flow to load</w:t>
      </w:r>
      <w:r w:rsidR="009B1D72">
        <w:t>.</w:t>
      </w:r>
      <w:r>
        <w:rPr>
          <w:rStyle w:val="FootnoteReference"/>
        </w:rPr>
        <w:footnoteReference w:id="134"/>
      </w:r>
      <w:r w:rsidR="009B1D72">
        <w:t xml:space="preserve">  </w:t>
      </w:r>
      <w:r w:rsidR="00D9368C">
        <w:t xml:space="preserve">As such, </w:t>
      </w:r>
      <w:r w:rsidR="009E78CF">
        <w:t>w</w:t>
      </w:r>
      <w:r w:rsidRPr="00705808" w:rsidR="00C478EE">
        <w:t>e</w:t>
      </w:r>
      <w:r w:rsidR="00C478EE">
        <w:t xml:space="preserve"> </w:t>
      </w:r>
      <w:r w:rsidR="00817BA2">
        <w:t>disagree with some commenters</w:t>
      </w:r>
      <w:r w:rsidR="005836AC">
        <w:t xml:space="preserve"> </w:t>
      </w:r>
      <w:r w:rsidR="00B6283C">
        <w:t xml:space="preserve">who </w:t>
      </w:r>
      <w:r w:rsidRPr="00651663" w:rsidR="00B6283C">
        <w:t>challenge the Commission</w:t>
      </w:r>
      <w:r w:rsidR="00B6283C">
        <w:t>’</w:t>
      </w:r>
      <w:r w:rsidRPr="00651663" w:rsidR="00B6283C">
        <w:t>s</w:t>
      </w:r>
      <w:r w:rsidRPr="00651663" w:rsidR="00B6283C">
        <w:t xml:space="preserve"> </w:t>
      </w:r>
      <w:r w:rsidR="00B6283C">
        <w:t>preliminary finding</w:t>
      </w:r>
      <w:r w:rsidRPr="00651663" w:rsidR="00B6283C">
        <w:t xml:space="preserve"> that providing reactive power within the standard power factor range </w:t>
      </w:r>
      <w:r w:rsidR="00B6283C">
        <w:t>has</w:t>
      </w:r>
      <w:r w:rsidRPr="00651663" w:rsidR="00B6283C">
        <w:t xml:space="preserve"> no or </w:t>
      </w:r>
      <w:r w:rsidR="00D31762">
        <w:t xml:space="preserve">  </w:t>
      </w:r>
      <w:r w:rsidRPr="00651663" w:rsidR="00B6283C">
        <w:rPr>
          <w:i/>
          <w:iCs/>
        </w:rPr>
        <w:t>de minimis</w:t>
      </w:r>
      <w:r w:rsidRPr="00651663" w:rsidR="00B6283C">
        <w:t xml:space="preserve"> costs</w:t>
      </w:r>
      <w:r>
        <w:rPr>
          <w:rStyle w:val="FootnoteReference"/>
        </w:rPr>
        <w:footnoteReference w:id="135"/>
      </w:r>
      <w:r w:rsidR="00817BA2">
        <w:t xml:space="preserve"> and</w:t>
      </w:r>
      <w:r w:rsidR="00C478EE">
        <w:t xml:space="preserve"> find</w:t>
      </w:r>
      <w:r w:rsidR="00266097">
        <w:t xml:space="preserve">, as discussed in greater detail below, </w:t>
      </w:r>
      <w:r w:rsidR="00F73196">
        <w:t>that</w:t>
      </w:r>
      <w:r w:rsidR="00266097">
        <w:t xml:space="preserve"> </w:t>
      </w:r>
      <w:r w:rsidR="00846B2C">
        <w:t xml:space="preserve">there is substantial evidence </w:t>
      </w:r>
      <w:r w:rsidR="004147F9">
        <w:t>to c</w:t>
      </w:r>
      <w:r w:rsidR="004F2A76">
        <w:t>onclude</w:t>
      </w:r>
      <w:r w:rsidR="009A183A">
        <w:t xml:space="preserve"> </w:t>
      </w:r>
      <w:r w:rsidRPr="001D403D" w:rsidR="00D87C8B">
        <w:t>that</w:t>
      </w:r>
      <w:r w:rsidR="00D87C8B">
        <w:t xml:space="preserve"> </w:t>
      </w:r>
      <w:r w:rsidRPr="00135071" w:rsidR="00EA0981">
        <w:t xml:space="preserve">in </w:t>
      </w:r>
      <w:r w:rsidR="00C6233A">
        <w:t>satis</w:t>
      </w:r>
      <w:r w:rsidR="00846B2C">
        <w:t>fying such obligations generating facilities</w:t>
      </w:r>
      <w:r w:rsidR="00CA07CC">
        <w:t xml:space="preserve"> </w:t>
      </w:r>
      <w:r w:rsidRPr="00135071" w:rsidR="00EA0981">
        <w:t xml:space="preserve">incur </w:t>
      </w:r>
      <w:r w:rsidR="00452085">
        <w:t xml:space="preserve">no </w:t>
      </w:r>
      <w:r w:rsidR="00BD0A33">
        <w:t xml:space="preserve">incremental </w:t>
      </w:r>
      <w:r w:rsidR="003D4DA5">
        <w:t>investment</w:t>
      </w:r>
      <w:r w:rsidR="00F9259B">
        <w:t xml:space="preserve">, or </w:t>
      </w:r>
      <w:r w:rsidR="006F1102">
        <w:t>fixed costs</w:t>
      </w:r>
      <w:r w:rsidR="007E2B51">
        <w:t>,</w:t>
      </w:r>
      <w:r w:rsidR="00ED253A">
        <w:t xml:space="preserve"> </w:t>
      </w:r>
      <w:r w:rsidR="009A3D55">
        <w:t xml:space="preserve">and </w:t>
      </w:r>
      <w:r w:rsidR="00E675FA">
        <w:t xml:space="preserve">at most </w:t>
      </w:r>
      <w:r w:rsidRPr="00C45A19" w:rsidR="00E675FA">
        <w:rPr>
          <w:i/>
        </w:rPr>
        <w:t>de minimis</w:t>
      </w:r>
      <w:r w:rsidR="00E675FA">
        <w:t xml:space="preserve"> variable costs </w:t>
      </w:r>
      <w:r w:rsidR="009201BF">
        <w:t xml:space="preserve">over and above those needed to provide </w:t>
      </w:r>
      <w:r w:rsidR="00B73031">
        <w:t>real power</w:t>
      </w:r>
      <w:r w:rsidR="00C6594A">
        <w:t>.</w:t>
      </w:r>
      <w:r>
        <w:rPr>
          <w:rStyle w:val="FootnoteReference"/>
        </w:rPr>
        <w:footnoteReference w:id="136"/>
      </w:r>
      <w:r w:rsidR="00C81731">
        <w:t xml:space="preserve"> </w:t>
      </w:r>
      <w:r w:rsidR="00600D00">
        <w:t xml:space="preserve"> </w:t>
      </w:r>
      <w:r w:rsidR="00C81731">
        <w:t>This is</w:t>
      </w:r>
      <w:r w:rsidR="00600D00">
        <w:t xml:space="preserve"> because</w:t>
      </w:r>
      <w:r w:rsidR="001712FD">
        <w:t xml:space="preserve"> </w:t>
      </w:r>
      <w:r w:rsidR="006657C4">
        <w:t xml:space="preserve">no </w:t>
      </w:r>
      <w:r w:rsidR="00222960">
        <w:t>additional equipment is</w:t>
      </w:r>
      <w:r w:rsidR="00206061">
        <w:t xml:space="preserve"> </w:t>
      </w:r>
      <w:r w:rsidR="00206061">
        <w:t xml:space="preserve">required </w:t>
      </w:r>
      <w:r w:rsidR="00212802">
        <w:t>to provide reactive power</w:t>
      </w:r>
      <w:r w:rsidR="004B2494">
        <w:t>;</w:t>
      </w:r>
      <w:r w:rsidR="00212802">
        <w:t xml:space="preserve"> </w:t>
      </w:r>
      <w:r w:rsidR="00231349">
        <w:t xml:space="preserve">rather </w:t>
      </w:r>
      <w:r w:rsidRPr="00705808" w:rsidR="000C11E1">
        <w:t xml:space="preserve">the same equipment </w:t>
      </w:r>
      <w:r w:rsidR="00953F2B">
        <w:t xml:space="preserve">that is needed to produce, and is </w:t>
      </w:r>
      <w:r w:rsidRPr="00705808" w:rsidR="000C11E1">
        <w:t>used to produce</w:t>
      </w:r>
      <w:r w:rsidR="00953F2B">
        <w:t>,</w:t>
      </w:r>
      <w:r w:rsidRPr="00705808" w:rsidR="000C11E1">
        <w:t xml:space="preserve"> real power </w:t>
      </w:r>
      <w:r w:rsidR="00953F2B">
        <w:t xml:space="preserve">also provides </w:t>
      </w:r>
      <w:r w:rsidRPr="00705808" w:rsidR="000C11E1">
        <w:t>reactive power functions</w:t>
      </w:r>
      <w:r w:rsidR="00953F2B">
        <w:t>, at no additional capital cost.  V</w:t>
      </w:r>
      <w:r w:rsidR="009D6B47">
        <w:t>ariable costs</w:t>
      </w:r>
      <w:r w:rsidR="00953F2B">
        <w:t>, if any, are</w:t>
      </w:r>
      <w:r w:rsidR="009D6B47">
        <w:t xml:space="preserve"> limited to </w:t>
      </w:r>
      <w:r w:rsidR="009D3986">
        <w:t xml:space="preserve">the </w:t>
      </w:r>
      <w:r w:rsidR="009D6B47">
        <w:t xml:space="preserve">fuel costs </w:t>
      </w:r>
      <w:r w:rsidR="00DB5459">
        <w:t xml:space="preserve">(in synchronous facilities) or </w:t>
      </w:r>
      <w:r w:rsidR="00932493">
        <w:t xml:space="preserve">the cost of </w:t>
      </w:r>
      <w:r w:rsidR="00DB5459">
        <w:t>foregone direct</w:t>
      </w:r>
      <w:r w:rsidR="00BC68FE">
        <w:t xml:space="preserve"> current power (in </w:t>
      </w:r>
      <w:r w:rsidR="006F1102">
        <w:t>non-</w:t>
      </w:r>
      <w:r w:rsidR="00BC68FE">
        <w:t xml:space="preserve">synchronous facilities) </w:t>
      </w:r>
      <w:r w:rsidR="00684330">
        <w:t>necessary</w:t>
      </w:r>
      <w:r w:rsidR="00BC68FE">
        <w:t xml:space="preserve"> to </w:t>
      </w:r>
      <w:r w:rsidR="00FF0E0B">
        <w:t>provide</w:t>
      </w:r>
      <w:r w:rsidR="00BC68FE">
        <w:t xml:space="preserve"> </w:t>
      </w:r>
      <w:r w:rsidR="00F60329">
        <w:t>the</w:t>
      </w:r>
      <w:r w:rsidR="00EC140B">
        <w:t xml:space="preserve"> </w:t>
      </w:r>
      <w:r w:rsidR="00FF0E0B">
        <w:t xml:space="preserve">reactive </w:t>
      </w:r>
      <w:r w:rsidR="00EC140B">
        <w:t xml:space="preserve">power </w:t>
      </w:r>
      <w:r w:rsidR="00953F2B">
        <w:t xml:space="preserve">and to </w:t>
      </w:r>
      <w:r w:rsidR="00A46E68">
        <w:t xml:space="preserve">reliably </w:t>
      </w:r>
      <w:r w:rsidRPr="00705808" w:rsidR="00C0153B">
        <w:t>inject real power into the transmission system</w:t>
      </w:r>
      <w:r w:rsidR="009D6B47">
        <w:t>.</w:t>
      </w:r>
      <w:r>
        <w:rPr>
          <w:rStyle w:val="FootnoteReference"/>
        </w:rPr>
        <w:footnoteReference w:id="137"/>
      </w:r>
      <w:r w:rsidR="00064EEA">
        <w:t xml:space="preserve">  </w:t>
      </w:r>
      <w:r w:rsidR="00DA3616">
        <w:t>For example, i</w:t>
      </w:r>
      <w:r w:rsidR="003016B1">
        <w:t xml:space="preserve">n </w:t>
      </w:r>
      <w:r w:rsidRPr="001D403D" w:rsidR="003016B1">
        <w:rPr>
          <w:i/>
          <w:iCs/>
        </w:rPr>
        <w:t>Panda</w:t>
      </w:r>
      <w:r w:rsidR="005D64D2">
        <w:rPr>
          <w:i/>
          <w:iCs/>
        </w:rPr>
        <w:t xml:space="preserve"> Stonewall</w:t>
      </w:r>
      <w:r w:rsidR="00DA3616">
        <w:t xml:space="preserve"> the</w:t>
      </w:r>
      <w:r w:rsidR="003016B1">
        <w:t xml:space="preserve"> </w:t>
      </w:r>
      <w:r w:rsidR="009B72EC">
        <w:t>annual revenue requirement</w:t>
      </w:r>
      <w:r w:rsidR="00AA1A3A">
        <w:t xml:space="preserve"> of </w:t>
      </w:r>
      <w:r w:rsidRPr="00AA1A3A" w:rsidR="00AA1A3A">
        <w:t>$2,051,894</w:t>
      </w:r>
      <w:r w:rsidR="00AA1A3A">
        <w:t xml:space="preserve"> </w:t>
      </w:r>
      <w:r w:rsidR="00B21972">
        <w:t>included</w:t>
      </w:r>
      <w:r w:rsidR="00AA1A3A">
        <w:t xml:space="preserve"> just </w:t>
      </w:r>
      <w:r w:rsidRPr="00AA1A3A" w:rsidR="00AA1A3A">
        <w:t>$10,018</w:t>
      </w:r>
      <w:r w:rsidR="00AA1A3A">
        <w:t xml:space="preserve"> of identified variable costs</w:t>
      </w:r>
      <w:r w:rsidR="00161601">
        <w:t>.</w:t>
      </w:r>
      <w:r>
        <w:rPr>
          <w:rStyle w:val="FootnoteReference"/>
        </w:rPr>
        <w:footnoteReference w:id="138"/>
      </w:r>
      <w:r w:rsidR="0021416B">
        <w:t xml:space="preserve">  </w:t>
      </w:r>
      <w:r w:rsidR="002759F1">
        <w:t>In light of this evidence</w:t>
      </w:r>
      <w:r w:rsidR="00141225">
        <w:t xml:space="preserve">, we find that </w:t>
      </w:r>
      <w:r w:rsidR="00AC404A">
        <w:t xml:space="preserve">charging transmission </w:t>
      </w:r>
      <w:r w:rsidR="005A16D9">
        <w:t xml:space="preserve">customers </w:t>
      </w:r>
      <w:r w:rsidR="00C86221">
        <w:t>for the provision</w:t>
      </w:r>
      <w:r w:rsidR="0066331C">
        <w:t xml:space="preserve"> of </w:t>
      </w:r>
      <w:r w:rsidR="00C559D1">
        <w:t>reactive power within the standard power factor range</w:t>
      </w:r>
      <w:r w:rsidRPr="007C6B45">
        <w:t xml:space="preserve"> result</w:t>
      </w:r>
      <w:r w:rsidR="00C559D1">
        <w:t>s</w:t>
      </w:r>
      <w:r w:rsidRPr="007C6B45">
        <w:t xml:space="preserve"> in </w:t>
      </w:r>
      <w:r w:rsidR="00BE44AA">
        <w:t>unjust and unreasonable rates</w:t>
      </w:r>
      <w:r w:rsidR="0034218B">
        <w:t>.</w:t>
      </w:r>
      <w:r>
        <w:rPr>
          <w:b/>
          <w:vertAlign w:val="superscript"/>
        </w:rPr>
        <w:footnoteReference w:id="139"/>
      </w:r>
    </w:p>
    <w:p w:rsidR="00900330" w:rsidRPr="00504C1D" w:rsidP="00033DC7" w14:paraId="55EAE192" w14:textId="0222A115">
      <w:pPr>
        <w:pStyle w:val="FERCparanumber"/>
      </w:pPr>
      <w:r w:rsidRPr="00504C1D">
        <w:t xml:space="preserve">ISO-NE and NYISO oppose the NOPR and seek flexibility to preserve their existing </w:t>
      </w:r>
      <w:r w:rsidR="005001C4">
        <w:t xml:space="preserve">reactive power compensation </w:t>
      </w:r>
      <w:r w:rsidRPr="00504C1D">
        <w:t>regimes</w:t>
      </w:r>
      <w:r w:rsidRPr="00504C1D" w:rsidR="00367DB5">
        <w:t xml:space="preserve">.  </w:t>
      </w:r>
      <w:r w:rsidRPr="00504C1D" w:rsidR="000D5137">
        <w:t xml:space="preserve">We </w:t>
      </w:r>
      <w:r w:rsidRPr="008855CE" w:rsidR="009356F5">
        <w:t>deny</w:t>
      </w:r>
      <w:r w:rsidRPr="00504C1D" w:rsidR="000D5137">
        <w:t xml:space="preserve"> their requests.  </w:t>
      </w:r>
      <w:r w:rsidRPr="008855CE" w:rsidR="00D51851">
        <w:t>ISO-NE and NYISO</w:t>
      </w:r>
      <w:r w:rsidRPr="00504C1D">
        <w:t xml:space="preserve"> principally argue that </w:t>
      </w:r>
      <w:r w:rsidRPr="008855CE" w:rsidR="00D51851">
        <w:t xml:space="preserve">their </w:t>
      </w:r>
      <w:r w:rsidRPr="00504C1D">
        <w:t xml:space="preserve">flat-rate compensation </w:t>
      </w:r>
      <w:r w:rsidRPr="008855CE" w:rsidR="00D51851">
        <w:t>regimes are</w:t>
      </w:r>
      <w:r>
        <w:t xml:space="preserve"> </w:t>
      </w:r>
      <w:r w:rsidRPr="00504C1D">
        <w:t>transparent, not administratively burdensome, designed to prevent double-recovery, and able to procure significant reliability benefits at “reasonable” or “low” cost.  However, these arguments ignore the</w:t>
      </w:r>
      <w:r w:rsidRPr="005F2FF6" w:rsidR="001B213D">
        <w:t xml:space="preserve"> </w:t>
      </w:r>
      <w:r w:rsidRPr="008855CE" w:rsidR="001B213D">
        <w:t xml:space="preserve">preliminary findings of the </w:t>
      </w:r>
      <w:r w:rsidRPr="00504C1D">
        <w:t xml:space="preserve">NOPR, </w:t>
      </w:r>
      <w:r w:rsidRPr="000C129A" w:rsidR="00B539F9">
        <w:t>namely that</w:t>
      </w:r>
      <w:r w:rsidRPr="00504C1D">
        <w:t xml:space="preserve"> </w:t>
      </w:r>
      <w:r w:rsidR="00875716">
        <w:t>generating facilities</w:t>
      </w:r>
      <w:r w:rsidRPr="00504C1D">
        <w:t xml:space="preserve"> providing reactive power within the standard power factor range are </w:t>
      </w:r>
      <w:r w:rsidRPr="008855CE" w:rsidR="002240E9">
        <w:t xml:space="preserve">only </w:t>
      </w:r>
      <w:r w:rsidRPr="00504C1D">
        <w:t xml:space="preserve">meeting their obligations under their interconnection agreements in accordance with good utility practice, and </w:t>
      </w:r>
      <w:r w:rsidR="00B878EB">
        <w:t>i</w:t>
      </w:r>
      <w:r w:rsidR="00B21972">
        <w:t>n doing so</w:t>
      </w:r>
      <w:r w:rsidRPr="00052F55" w:rsidR="00052F55">
        <w:t xml:space="preserve"> </w:t>
      </w:r>
      <w:r w:rsidRPr="00705808" w:rsidR="00052F55">
        <w:t xml:space="preserve">incur no or at most a </w:t>
      </w:r>
      <w:r w:rsidRPr="00705808" w:rsidR="00052F55">
        <w:rPr>
          <w:i/>
          <w:iCs/>
        </w:rPr>
        <w:t>de minimis</w:t>
      </w:r>
      <w:r w:rsidRPr="00705808" w:rsidR="00052F55">
        <w:t xml:space="preserve"> increase in </w:t>
      </w:r>
      <w:r w:rsidR="00C94B83">
        <w:t xml:space="preserve">variable </w:t>
      </w:r>
      <w:r w:rsidRPr="00705808" w:rsidR="00052F55">
        <w:t>costs beyond the cost of providing real power</w:t>
      </w:r>
      <w:r w:rsidRPr="008855CE">
        <w:t>.</w:t>
      </w:r>
      <w:r w:rsidRPr="00504C1D">
        <w:t xml:space="preserve">  As explained</w:t>
      </w:r>
      <w:r w:rsidRPr="008855CE" w:rsidR="00105D8A">
        <w:t xml:space="preserve"> </w:t>
      </w:r>
      <w:r w:rsidR="00B67D1C">
        <w:t xml:space="preserve">in this </w:t>
      </w:r>
      <w:r w:rsidR="00126E54">
        <w:t>final rule</w:t>
      </w:r>
      <w:r w:rsidR="00652D15">
        <w:t xml:space="preserve"> and </w:t>
      </w:r>
      <w:r w:rsidR="00DB5018">
        <w:t xml:space="preserve">decades of </w:t>
      </w:r>
      <w:r w:rsidR="00492552">
        <w:t xml:space="preserve">prior Commission </w:t>
      </w:r>
      <w:r w:rsidR="00DB5018">
        <w:t>precedent</w:t>
      </w:r>
      <w:r w:rsidRPr="00504C1D">
        <w:t xml:space="preserve">, in order to reliably interconnect to the transmission system and deliver </w:t>
      </w:r>
      <w:r w:rsidR="00233F2E">
        <w:t xml:space="preserve">real </w:t>
      </w:r>
      <w:r w:rsidRPr="00504C1D">
        <w:t xml:space="preserve">power to customers, generating facilities must be capable of maintaining voltage levels for injecting real power into the </w:t>
      </w:r>
      <w:r w:rsidR="002F6813">
        <w:t>transmission system</w:t>
      </w:r>
      <w:r w:rsidRPr="00504C1D">
        <w:t>.</w:t>
      </w:r>
      <w:r>
        <w:rPr>
          <w:rStyle w:val="FootnoteReference"/>
        </w:rPr>
        <w:footnoteReference w:id="140"/>
      </w:r>
      <w:r w:rsidRPr="00504C1D">
        <w:t xml:space="preserve">  </w:t>
      </w:r>
      <w:r w:rsidR="00D067C7">
        <w:t>As relevant here</w:t>
      </w:r>
      <w:r w:rsidRPr="00705808" w:rsidR="00571E3C">
        <w:t xml:space="preserve">, these findings </w:t>
      </w:r>
      <w:r w:rsidRPr="00705808" w:rsidR="00571E3C">
        <w:t xml:space="preserve">apply equally to flat-rate compensation regimes like ISO-NE’s and NYISO’s, as well as the compensation regimes of PJM and </w:t>
      </w:r>
      <w:r w:rsidR="00AA1323">
        <w:t>certain</w:t>
      </w:r>
      <w:r w:rsidRPr="00705808" w:rsidR="00571E3C">
        <w:t xml:space="preserve"> non-RTO regions.</w:t>
      </w:r>
      <w:r w:rsidR="005E17C4">
        <w:t xml:space="preserve">  </w:t>
      </w:r>
      <w:r w:rsidR="00B3455A">
        <w:t xml:space="preserve">Thus, </w:t>
      </w:r>
      <w:r w:rsidR="00932493">
        <w:t xml:space="preserve">the </w:t>
      </w:r>
      <w:r w:rsidR="00B3455A">
        <w:t>ISO-NE</w:t>
      </w:r>
      <w:r w:rsidR="00932493">
        <w:t xml:space="preserve"> and</w:t>
      </w:r>
      <w:r w:rsidR="00B3455A">
        <w:t xml:space="preserve"> NYISO</w:t>
      </w:r>
      <w:r w:rsidR="00932493">
        <w:t xml:space="preserve"> regimes, while easier to implement administratively, also impose unreasonable and unsupportable </w:t>
      </w:r>
      <w:r w:rsidR="00B3455A">
        <w:t>cost</w:t>
      </w:r>
      <w:r w:rsidR="00932493">
        <w:t>s</w:t>
      </w:r>
      <w:r w:rsidR="00B3455A">
        <w:t xml:space="preserve"> </w:t>
      </w:r>
      <w:r w:rsidR="00713606">
        <w:t xml:space="preserve">on </w:t>
      </w:r>
      <w:r w:rsidR="00B3455A">
        <w:t>transmission customers.</w:t>
      </w:r>
      <w:r w:rsidRPr="00504C1D">
        <w:t xml:space="preserve">  </w:t>
      </w:r>
    </w:p>
    <w:p w:rsidR="00900330" w:rsidRPr="00611836" w:rsidP="00033DC7" w14:paraId="2EDC82B5" w14:textId="47FA35FD">
      <w:pPr>
        <w:pStyle w:val="FERCparanumber"/>
      </w:pPr>
      <w:r w:rsidRPr="008B5269">
        <w:t>ISO-</w:t>
      </w:r>
      <w:r w:rsidRPr="008855CE">
        <w:t>NE</w:t>
      </w:r>
      <w:r w:rsidR="007A2FEB">
        <w:t>’s</w:t>
      </w:r>
      <w:r w:rsidRPr="008B5269">
        <w:t xml:space="preserve"> </w:t>
      </w:r>
      <w:r w:rsidR="009B69E2">
        <w:t>and NYISO’s</w:t>
      </w:r>
      <w:r w:rsidRPr="008B5269">
        <w:t xml:space="preserve"> claims regarding</w:t>
      </w:r>
      <w:r w:rsidRPr="008B5269">
        <w:t xml:space="preserve"> transparency, administrative burden, and preventing double recovery all </w:t>
      </w:r>
      <w:r w:rsidRPr="00CE6C02" w:rsidR="00156C8C">
        <w:t>pre</w:t>
      </w:r>
      <w:r w:rsidRPr="00705808">
        <w:t>suppose</w:t>
      </w:r>
      <w:r w:rsidRPr="008B5269">
        <w:t xml:space="preserve"> that compensation is </w:t>
      </w:r>
      <w:r w:rsidRPr="00705808">
        <w:t>due</w:t>
      </w:r>
      <w:r w:rsidRPr="008B5269">
        <w:t xml:space="preserve">, and thus that a compensation method is needed.  But, </w:t>
      </w:r>
      <w:r w:rsidRPr="000C129A" w:rsidR="004372CD">
        <w:t>where</w:t>
      </w:r>
      <w:r w:rsidRPr="008B5269">
        <w:t xml:space="preserve"> compensation is </w:t>
      </w:r>
      <w:r w:rsidRPr="008B5269" w:rsidR="0065140B">
        <w:t xml:space="preserve">found to be unjust and unreasonable, </w:t>
      </w:r>
      <w:r w:rsidRPr="008B5269">
        <w:t xml:space="preserve">as </w:t>
      </w:r>
      <w:r w:rsidRPr="008B5269" w:rsidR="0065140B">
        <w:t xml:space="preserve">we </w:t>
      </w:r>
      <w:r w:rsidR="00D57E9A">
        <w:t>find</w:t>
      </w:r>
      <w:r w:rsidRPr="008B5269" w:rsidR="00D57E9A">
        <w:t xml:space="preserve"> </w:t>
      </w:r>
      <w:r w:rsidRPr="008B5269" w:rsidR="0065140B">
        <w:t>here,</w:t>
      </w:r>
      <w:r w:rsidRPr="008B5269">
        <w:t xml:space="preserve"> </w:t>
      </w:r>
      <w:r w:rsidR="00FA77C6">
        <w:t xml:space="preserve">such a </w:t>
      </w:r>
      <w:r w:rsidR="00FF6C79">
        <w:t>compensation methodolog</w:t>
      </w:r>
      <w:r w:rsidR="00FA77C6">
        <w:t>y</w:t>
      </w:r>
      <w:r w:rsidR="00FF6C79">
        <w:t xml:space="preserve"> will necessarily result in unjust and unreasonable rates</w:t>
      </w:r>
      <w:r w:rsidRPr="008B5269">
        <w:t xml:space="preserve"> </w:t>
      </w:r>
      <w:r w:rsidR="0013609B">
        <w:t>and thus is not permissible</w:t>
      </w:r>
      <w:r w:rsidRPr="008B5269">
        <w:t>.</w:t>
      </w:r>
    </w:p>
    <w:p w:rsidR="00D43584" w:rsidP="00900330" w14:paraId="0F33257D" w14:textId="17BE35CC">
      <w:pPr>
        <w:pStyle w:val="FERCparanumber"/>
      </w:pPr>
      <w:r>
        <w:t>Additionally</w:t>
      </w:r>
      <w:r w:rsidR="00900330">
        <w:t xml:space="preserve">, </w:t>
      </w:r>
      <w:r w:rsidR="00F35729">
        <w:t>we agree</w:t>
      </w:r>
      <w:r w:rsidR="00900330">
        <w:t xml:space="preserve"> with New England Consumer Advocates,</w:t>
      </w:r>
      <w:r>
        <w:rPr>
          <w:rStyle w:val="FootnoteReference"/>
        </w:rPr>
        <w:footnoteReference w:id="141"/>
      </w:r>
      <w:r w:rsidR="00900330">
        <w:t xml:space="preserve"> who argue that any payment for reactive power capability within the standard power factor range must yield some roughly commensurate incremental benefit </w:t>
      </w:r>
      <w:r w:rsidRPr="001F29AF" w:rsidR="00900330">
        <w:rPr>
          <w:i/>
        </w:rPr>
        <w:t>above and beyond</w:t>
      </w:r>
      <w:r w:rsidR="00900330">
        <w:t xml:space="preserve"> that which </w:t>
      </w:r>
      <w:r w:rsidR="00900330">
        <w:t>would accrue absent payment.</w:t>
      </w:r>
      <w:bookmarkStart w:id="19" w:name="_Ref179917274"/>
      <w:r>
        <w:rPr>
          <w:rStyle w:val="FootnoteReference"/>
        </w:rPr>
        <w:footnoteReference w:id="142"/>
      </w:r>
      <w:bookmarkEnd w:id="19"/>
      <w:r w:rsidR="00900330">
        <w:t xml:space="preserve">  </w:t>
      </w:r>
      <w:r w:rsidR="000202CB">
        <w:t>As discussed below</w:t>
      </w:r>
      <w:r w:rsidR="00900330">
        <w:t>,</w:t>
      </w:r>
      <w:r>
        <w:rPr>
          <w:rStyle w:val="FootnoteReference"/>
        </w:rPr>
        <w:footnoteReference w:id="143"/>
      </w:r>
      <w:r w:rsidR="00900330">
        <w:t xml:space="preserve"> ISO-NE and NYISO allude generally to reliability benefits from reactive power compensation over the full range of a resource’s capability to provide reactive power–that is, both within and outside of the standard power factor range–rather than the narrower focus of </w:t>
      </w:r>
      <w:r w:rsidR="00A8696D">
        <w:t xml:space="preserve">this </w:t>
      </w:r>
      <w:r w:rsidR="00126E54">
        <w:t>final rule</w:t>
      </w:r>
      <w:r w:rsidR="00900330">
        <w:t>.  And, in both ISO-NE (except for certain circumstances as explained by ISO-NE)</w:t>
      </w:r>
      <w:bookmarkStart w:id="20" w:name="_Ref178767557"/>
      <w:r>
        <w:rPr>
          <w:rStyle w:val="FootnoteReference"/>
        </w:rPr>
        <w:footnoteReference w:id="144"/>
      </w:r>
      <w:bookmarkEnd w:id="20"/>
      <w:r w:rsidR="00900330">
        <w:t xml:space="preserve"> and NYISO, as everywhere, generating facilities must provide reactive power within the standard power factor range </w:t>
      </w:r>
      <w:r w:rsidR="00E12A42">
        <w:t>to make sales of real power</w:t>
      </w:r>
      <w:r w:rsidRPr="00991E25" w:rsidR="007151E4">
        <w:rPr>
          <w:iCs/>
        </w:rPr>
        <w:t xml:space="preserve"> </w:t>
      </w:r>
      <w:r w:rsidRPr="00991E25" w:rsidR="00900330">
        <w:t>regardless of whether they receive separate compensation</w:t>
      </w:r>
      <w:r w:rsidR="00900330">
        <w:t>.</w:t>
      </w:r>
      <w:r>
        <w:rPr>
          <w:rStyle w:val="FootnoteReference"/>
        </w:rPr>
        <w:footnoteReference w:id="145"/>
      </w:r>
    </w:p>
    <w:p w:rsidR="00891740" w:rsidP="00917D69" w14:paraId="4EFD87CF" w14:textId="4496557C">
      <w:pPr>
        <w:pStyle w:val="FERCparanumber"/>
      </w:pPr>
      <w:r>
        <w:t>We</w:t>
      </w:r>
      <w:r w:rsidR="00900330">
        <w:t xml:space="preserve"> do not dispute that </w:t>
      </w:r>
      <w:r w:rsidR="00BA5406">
        <w:t xml:space="preserve">the provision of </w:t>
      </w:r>
      <w:r w:rsidR="00900330">
        <w:t xml:space="preserve">reactive power </w:t>
      </w:r>
      <w:r w:rsidR="00DE635B">
        <w:t xml:space="preserve">within the standard power factor range </w:t>
      </w:r>
      <w:r w:rsidR="00900330">
        <w:t xml:space="preserve">provides reliability benefits, only that </w:t>
      </w:r>
      <w:r w:rsidR="00C07DFE">
        <w:t xml:space="preserve">there are no incremental fixed costs </w:t>
      </w:r>
      <w:r w:rsidR="00710913">
        <w:t xml:space="preserve">other than joint costs that are also associated with the production of real power </w:t>
      </w:r>
      <w:r w:rsidR="00C07DFE">
        <w:t xml:space="preserve">and </w:t>
      </w:r>
      <w:r w:rsidR="001635A9">
        <w:t>at most</w:t>
      </w:r>
      <w:r w:rsidR="00C94B83">
        <w:t xml:space="preserve"> </w:t>
      </w:r>
      <w:r w:rsidRPr="00B12946" w:rsidR="001E3E03">
        <w:rPr>
          <w:i/>
        </w:rPr>
        <w:t>de</w:t>
      </w:r>
      <w:r w:rsidRPr="00B12946" w:rsidR="00E51902">
        <w:rPr>
          <w:i/>
        </w:rPr>
        <w:t xml:space="preserve"> minimis</w:t>
      </w:r>
      <w:r w:rsidR="00E51902">
        <w:t xml:space="preserve"> </w:t>
      </w:r>
      <w:r w:rsidR="00610EBD">
        <w:t xml:space="preserve">incremental </w:t>
      </w:r>
      <w:r w:rsidR="00E51902">
        <w:t>variable costs</w:t>
      </w:r>
      <w:r w:rsidR="00900330">
        <w:t xml:space="preserve"> that </w:t>
      </w:r>
      <w:r w:rsidR="00932493">
        <w:t>would</w:t>
      </w:r>
      <w:r w:rsidR="002C0F8E">
        <w:t xml:space="preserve"> </w:t>
      </w:r>
      <w:r w:rsidR="00900330">
        <w:t xml:space="preserve">warrant a separate compensation mechanism. </w:t>
      </w:r>
      <w:r w:rsidR="00975D3B">
        <w:t xml:space="preserve"> </w:t>
      </w:r>
      <w:r w:rsidRPr="00705808" w:rsidR="00975D3B">
        <w:t>We also find that there is substantial evidence to conclude that, under the current reactive power compensation framework, reactive power-related transmission charges are not tied to geographic need and result in excess reactive power capability that is not required for interconnection and does not provide transmission customers with commensurate reliability benefits.</w:t>
      </w:r>
      <w:r>
        <w:rPr>
          <w:rStyle w:val="FootnoteReference"/>
        </w:rPr>
        <w:footnoteReference w:id="146"/>
      </w:r>
      <w:r w:rsidR="00975D3B">
        <w:t xml:space="preserve">  </w:t>
      </w:r>
      <w:r w:rsidR="007F1902">
        <w:t xml:space="preserve">Accordingly, we </w:t>
      </w:r>
      <w:r w:rsidR="001A1704">
        <w:t>deny</w:t>
      </w:r>
      <w:r w:rsidR="00900330">
        <w:t xml:space="preserve"> ISO-NE’s and NYISO’s </w:t>
      </w:r>
      <w:r w:rsidR="00900330">
        <w:t xml:space="preserve">respective requests for flexibility </w:t>
      </w:r>
      <w:r w:rsidR="0028614C">
        <w:t>to</w:t>
      </w:r>
      <w:r w:rsidRPr="001D403D" w:rsidR="0028614C">
        <w:t xml:space="preserve"> </w:t>
      </w:r>
      <w:r w:rsidRPr="00705808" w:rsidR="001C01D8">
        <w:t>inclu</w:t>
      </w:r>
      <w:r w:rsidRPr="001D403D" w:rsidR="002356F5">
        <w:t>d</w:t>
      </w:r>
      <w:r w:rsidR="0028614C">
        <w:t>e</w:t>
      </w:r>
      <w:r w:rsidRPr="001D403D" w:rsidR="002356F5">
        <w:t xml:space="preserve"> </w:t>
      </w:r>
      <w:r w:rsidR="004030F7">
        <w:t xml:space="preserve">in transmission rates </w:t>
      </w:r>
      <w:r w:rsidR="00FE1628">
        <w:t>charges associated</w:t>
      </w:r>
      <w:r w:rsidR="009B363F">
        <w:t xml:space="preserve"> with the </w:t>
      </w:r>
      <w:r w:rsidR="00FE1628">
        <w:t>provision of reactive power within the standard power factor range</w:t>
      </w:r>
      <w:r w:rsidR="00A1271C">
        <w:t>.</w:t>
      </w:r>
    </w:p>
    <w:p w:rsidR="0033262B" w:rsidP="00917D69" w14:paraId="3C438650" w14:textId="63A31305">
      <w:pPr>
        <w:pStyle w:val="FERCparanumber"/>
      </w:pPr>
      <w:r>
        <w:t>We</w:t>
      </w:r>
      <w:r w:rsidR="006C3A79">
        <w:t xml:space="preserve"> </w:t>
      </w:r>
      <w:r w:rsidR="00AE65A5">
        <w:t xml:space="preserve">reject commenters’ arguments that the </w:t>
      </w:r>
      <w:r w:rsidR="00126E54">
        <w:t>final rule</w:t>
      </w:r>
      <w:r w:rsidR="00E86C97">
        <w:t xml:space="preserve"> violates the </w:t>
      </w:r>
      <w:r w:rsidR="00866DFF">
        <w:t>Fifth and Fourteenth Amendments</w:t>
      </w:r>
      <w:r w:rsidR="00F25E7E">
        <w:t xml:space="preserve"> of the U.S. Constitution</w:t>
      </w:r>
      <w:r w:rsidR="00866DFF">
        <w:t>.</w:t>
      </w:r>
      <w:r w:rsidR="00794CFF">
        <w:t xml:space="preserve"> </w:t>
      </w:r>
      <w:r w:rsidR="00A54EF7">
        <w:t xml:space="preserve"> </w:t>
      </w:r>
      <w:r w:rsidR="00DD4916">
        <w:t>T</w:t>
      </w:r>
      <w:r w:rsidR="009F0C65">
        <w:t xml:space="preserve">he </w:t>
      </w:r>
      <w:r w:rsidR="00126E54">
        <w:t>final rule</w:t>
      </w:r>
      <w:r w:rsidR="00CD6098">
        <w:t>’s</w:t>
      </w:r>
      <w:r w:rsidR="00E12374">
        <w:t xml:space="preserve"> elimination of reactive power payments</w:t>
      </w:r>
      <w:r w:rsidR="0090204E">
        <w:t xml:space="preserve"> for the provision of reactive power within the standard power factor range</w:t>
      </w:r>
      <w:r w:rsidR="009F0C65">
        <w:t xml:space="preserve"> is not </w:t>
      </w:r>
      <w:r w:rsidR="00E12374">
        <w:t xml:space="preserve">confiscatory </w:t>
      </w:r>
      <w:r w:rsidR="00EB0C00">
        <w:t xml:space="preserve">and </w:t>
      </w:r>
      <w:r w:rsidR="00E12374">
        <w:t xml:space="preserve">would </w:t>
      </w:r>
      <w:r w:rsidR="00EB0C00">
        <w:t xml:space="preserve">not </w:t>
      </w:r>
      <w:r w:rsidR="00E12374">
        <w:t>amount to a taki</w:t>
      </w:r>
      <w:r w:rsidR="00D930B1">
        <w:t>ng of property</w:t>
      </w:r>
      <w:r w:rsidR="00EB0C00">
        <w:t xml:space="preserve">. </w:t>
      </w:r>
      <w:r w:rsidR="00D930B1">
        <w:t xml:space="preserve"> </w:t>
      </w:r>
      <w:r w:rsidR="00172F07">
        <w:t xml:space="preserve">As noted above, </w:t>
      </w:r>
      <w:r w:rsidR="00C1520C">
        <w:t>generat</w:t>
      </w:r>
      <w:r w:rsidR="005B2A33">
        <w:t>ing facilities</w:t>
      </w:r>
      <w:r w:rsidR="00C1520C">
        <w:t xml:space="preserve"> incur </w:t>
      </w:r>
      <w:r w:rsidR="00A7133A">
        <w:t xml:space="preserve">no or at most a </w:t>
      </w:r>
      <w:r w:rsidR="00A7133A">
        <w:rPr>
          <w:i/>
          <w:iCs/>
        </w:rPr>
        <w:t>de minimis</w:t>
      </w:r>
      <w:r w:rsidRPr="00C05B45" w:rsidR="00A7133A">
        <w:t xml:space="preserve"> </w:t>
      </w:r>
      <w:r w:rsidR="00A7133A">
        <w:t xml:space="preserve">increase in </w:t>
      </w:r>
      <w:r w:rsidR="00C94B83">
        <w:t xml:space="preserve">variable </w:t>
      </w:r>
      <w:r w:rsidR="00A7133A">
        <w:t>costs beyond the cost of providing real power</w:t>
      </w:r>
      <w:r w:rsidR="00C1520C">
        <w:t xml:space="preserve"> and have </w:t>
      </w:r>
      <w:r w:rsidR="00032402">
        <w:t>the</w:t>
      </w:r>
      <w:r w:rsidR="00C1520C">
        <w:t xml:space="preserve"> opportunity to seek recover</w:t>
      </w:r>
      <w:r w:rsidR="00C81EE8">
        <w:t>y of</w:t>
      </w:r>
      <w:r w:rsidR="00C1520C">
        <w:t xml:space="preserve"> any costs they do incur. </w:t>
      </w:r>
      <w:r w:rsidR="00172F07">
        <w:t xml:space="preserve"> </w:t>
      </w:r>
      <w:r w:rsidR="00DC122B">
        <w:t>In addition</w:t>
      </w:r>
      <w:r w:rsidRPr="006056E4" w:rsidR="005352D6">
        <w:t>, commen</w:t>
      </w:r>
      <w:r w:rsidRPr="006056E4">
        <w:t>t</w:t>
      </w:r>
      <w:r w:rsidRPr="006056E4" w:rsidR="005352D6">
        <w:t>ers</w:t>
      </w:r>
      <w:r w:rsidR="00563261">
        <w:t>’</w:t>
      </w:r>
      <w:r w:rsidRPr="006056E4" w:rsidR="005352D6">
        <w:t xml:space="preserve"> arguments that the obligation to provide reactive power within the standard power factor range is unconstitutional are impermissible collateral attacks on our prior determinations and unpersuasive</w:t>
      </w:r>
      <w:r w:rsidRPr="00410105" w:rsidR="005352D6">
        <w:t>.</w:t>
      </w:r>
      <w:r>
        <w:rPr>
          <w:rStyle w:val="FootnoteReference"/>
        </w:rPr>
        <w:footnoteReference w:id="147"/>
      </w:r>
      <w:r w:rsidR="005352D6">
        <w:t xml:space="preserve"> </w:t>
      </w:r>
    </w:p>
    <w:p w:rsidR="004D079B" w:rsidP="00917D69" w14:paraId="515BBBAA" w14:textId="3B9A1596">
      <w:pPr>
        <w:pStyle w:val="FERCparanumber"/>
      </w:pPr>
      <w:r>
        <w:t>T</w:t>
      </w:r>
      <w:r w:rsidR="00794CFF">
        <w:t xml:space="preserve">he Commission has </w:t>
      </w:r>
      <w:r w:rsidR="00234418">
        <w:t xml:space="preserve">repeatedly held </w:t>
      </w:r>
      <w:r w:rsidR="00794CFF">
        <w:t xml:space="preserve">that </w:t>
      </w:r>
      <w:r w:rsidR="00234418">
        <w:t>“the provision of sufficient reactive power is an obligation of a generator interconnected to the system, and . . . as a general matter, a generator is not entitled to separate compensation for providing reactive power within its deadband.”</w:t>
      </w:r>
      <w:r>
        <w:rPr>
          <w:rStyle w:val="FootnoteReference"/>
        </w:rPr>
        <w:footnoteReference w:id="148"/>
      </w:r>
      <w:r w:rsidR="00EE5906">
        <w:t xml:space="preserve"> </w:t>
      </w:r>
      <w:r w:rsidR="00B949C4">
        <w:t xml:space="preserve"> </w:t>
      </w:r>
      <w:r w:rsidR="000405A7">
        <w:t>A generat</w:t>
      </w:r>
      <w:r w:rsidR="00A977F1">
        <w:t>ing facility</w:t>
      </w:r>
      <w:r w:rsidR="000405A7">
        <w:t xml:space="preserve"> must in fact produce r</w:t>
      </w:r>
      <w:r w:rsidR="00A574C3">
        <w:t xml:space="preserve">eactive power </w:t>
      </w:r>
      <w:r w:rsidR="008D0648">
        <w:t xml:space="preserve">to </w:t>
      </w:r>
      <w:r w:rsidR="00C223A2">
        <w:t xml:space="preserve">move </w:t>
      </w:r>
      <w:r w:rsidR="00B71957">
        <w:t xml:space="preserve">real </w:t>
      </w:r>
      <w:r w:rsidR="00C223A2">
        <w:t xml:space="preserve">power from </w:t>
      </w:r>
      <w:r w:rsidR="001F2198">
        <w:t>the generat</w:t>
      </w:r>
      <w:r w:rsidR="00ED0798">
        <w:t>ing facility</w:t>
      </w:r>
      <w:r w:rsidR="001F2198">
        <w:t xml:space="preserve"> to the </w:t>
      </w:r>
      <w:r w:rsidR="00B71957">
        <w:t>transmission</w:t>
      </w:r>
      <w:r w:rsidR="001F2198">
        <w:t xml:space="preserve"> </w:t>
      </w:r>
      <w:r w:rsidR="00ED0798">
        <w:t>system</w:t>
      </w:r>
      <w:r w:rsidR="001F2198">
        <w:t xml:space="preserve"> </w:t>
      </w:r>
      <w:r w:rsidR="008257CD">
        <w:t>to</w:t>
      </w:r>
      <w:r w:rsidR="008D0648">
        <w:t xml:space="preserve"> deliver its real power to customer</w:t>
      </w:r>
      <w:r w:rsidR="001C2C69">
        <w:t>s</w:t>
      </w:r>
      <w:r w:rsidR="00E817B5">
        <w:t>, while main</w:t>
      </w:r>
      <w:r w:rsidR="00695A7E">
        <w:t>taining system reliability</w:t>
      </w:r>
      <w:r w:rsidR="009B505A">
        <w:t>.</w:t>
      </w:r>
      <w:r>
        <w:rPr>
          <w:rStyle w:val="FootnoteReference"/>
        </w:rPr>
        <w:footnoteReference w:id="149"/>
      </w:r>
      <w:r w:rsidR="00A574C3">
        <w:t xml:space="preserve">  </w:t>
      </w:r>
      <w:r w:rsidR="00260274">
        <w:t xml:space="preserve">It is only </w:t>
      </w:r>
      <w:r w:rsidRPr="001D403D" w:rsidR="008338C9">
        <w:t>by virtue of</w:t>
      </w:r>
      <w:r w:rsidR="008338C9">
        <w:t xml:space="preserve"> </w:t>
      </w:r>
      <w:r w:rsidR="00260274">
        <w:t xml:space="preserve">comparability that generating facilities </w:t>
      </w:r>
      <w:r w:rsidR="00421D65">
        <w:t>were previously</w:t>
      </w:r>
      <w:r w:rsidR="0011695C">
        <w:t xml:space="preserve"> </w:t>
      </w:r>
      <w:r w:rsidR="00260274">
        <w:t>entitled to reactive power compensation.</w:t>
      </w:r>
      <w:r>
        <w:rPr>
          <w:rStyle w:val="FootnoteReference"/>
        </w:rPr>
        <w:footnoteReference w:id="150"/>
      </w:r>
    </w:p>
    <w:p w:rsidR="007D224F" w14:paraId="316AA319" w14:textId="457BA990">
      <w:pPr>
        <w:pStyle w:val="FERCparanumber"/>
      </w:pPr>
      <w:r>
        <w:t xml:space="preserve">Simply stated, </w:t>
      </w:r>
      <w:r w:rsidRPr="00705808">
        <w:t>t</w:t>
      </w:r>
      <w:r w:rsidRPr="00705808" w:rsidR="00260274">
        <w:t>h</w:t>
      </w:r>
      <w:r w:rsidRPr="001D403D" w:rsidR="00103007">
        <w:t>e</w:t>
      </w:r>
      <w:r w:rsidRPr="001947B3" w:rsidR="00260274">
        <w:t xml:space="preserve"> obligation to provide </w:t>
      </w:r>
      <w:r w:rsidR="00260274">
        <w:t>reactive power within the standard power range</w:t>
      </w:r>
      <w:r w:rsidRPr="001947B3" w:rsidR="00260274">
        <w:t xml:space="preserve"> exists independent of, and was not altered by, </w:t>
      </w:r>
      <w:r w:rsidR="00260274">
        <w:t>the NOPR’s</w:t>
      </w:r>
      <w:r w:rsidRPr="001947B3" w:rsidR="00260274">
        <w:t xml:space="preserve"> proposal: </w:t>
      </w:r>
      <w:r w:rsidR="005C07BC">
        <w:t xml:space="preserve"> </w:t>
      </w:r>
      <w:r w:rsidRPr="001947B3" w:rsidR="00260274">
        <w:t xml:space="preserve">it was stated </w:t>
      </w:r>
      <w:r w:rsidRPr="001947B3" w:rsidR="00260274">
        <w:t xml:space="preserve">in Order No. 2003 and applies to individual </w:t>
      </w:r>
      <w:r w:rsidR="00042C5F">
        <w:t>generating facilities</w:t>
      </w:r>
      <w:r w:rsidRPr="001947B3" w:rsidR="00042C5F">
        <w:t xml:space="preserve"> </w:t>
      </w:r>
      <w:r w:rsidRPr="001947B3" w:rsidR="00260274">
        <w:t xml:space="preserve">through their </w:t>
      </w:r>
      <w:r w:rsidR="00260274">
        <w:t xml:space="preserve">interconnection service agreements. </w:t>
      </w:r>
      <w:r w:rsidR="00010528">
        <w:t xml:space="preserve"> </w:t>
      </w:r>
      <w:r w:rsidR="001A78E6">
        <w:t>T</w:t>
      </w:r>
      <w:r w:rsidR="00B711DB">
        <w:t>h</w:t>
      </w:r>
      <w:r w:rsidR="000859A6">
        <w:t xml:space="preserve">is </w:t>
      </w:r>
      <w:r w:rsidR="00126E54">
        <w:t>final rule</w:t>
      </w:r>
      <w:r w:rsidR="000859A6">
        <w:t xml:space="preserve"> </w:t>
      </w:r>
      <w:r w:rsidR="00B711DB">
        <w:t>change</w:t>
      </w:r>
      <w:r w:rsidR="000859A6">
        <w:t>s</w:t>
      </w:r>
      <w:r w:rsidRPr="00705808" w:rsidR="00B711DB">
        <w:t xml:space="preserve"> </w:t>
      </w:r>
      <w:r w:rsidRPr="001D403D" w:rsidR="00EF2DAB">
        <w:t>only</w:t>
      </w:r>
      <w:r w:rsidR="00B711DB">
        <w:t xml:space="preserve"> the </w:t>
      </w:r>
      <w:r w:rsidR="008B2A62">
        <w:t>allowance for transmission providers to provide</w:t>
      </w:r>
      <w:r w:rsidR="00B711DB">
        <w:t xml:space="preserve"> compensation </w:t>
      </w:r>
      <w:r w:rsidR="006556DF">
        <w:t>at their discretion</w:t>
      </w:r>
      <w:r w:rsidR="00B711DB">
        <w:t xml:space="preserve"> </w:t>
      </w:r>
      <w:r w:rsidR="007C723A">
        <w:t xml:space="preserve">to their own and </w:t>
      </w:r>
      <w:r w:rsidR="008D1417">
        <w:t>affi</w:t>
      </w:r>
      <w:r w:rsidR="00102A2B">
        <w:t>liated generat</w:t>
      </w:r>
      <w:r w:rsidR="005A220C">
        <w:t>ing facilities</w:t>
      </w:r>
      <w:r w:rsidR="0021513F">
        <w:t>, and then to third-party generat</w:t>
      </w:r>
      <w:r w:rsidR="005A220C">
        <w:t>ing facil</w:t>
      </w:r>
      <w:r w:rsidR="00D770CE">
        <w:t>i</w:t>
      </w:r>
      <w:r w:rsidR="005A220C">
        <w:t>ti</w:t>
      </w:r>
      <w:r w:rsidR="00D770CE">
        <w:t>es</w:t>
      </w:r>
      <w:r w:rsidR="0021513F">
        <w:t xml:space="preserve"> </w:t>
      </w:r>
      <w:r w:rsidR="008860D4">
        <w:t>under the comparability standard</w:t>
      </w:r>
      <w:r w:rsidR="006556DF">
        <w:t xml:space="preserve"> </w:t>
      </w:r>
      <w:r w:rsidR="00B711DB">
        <w:t>for the provision of reactive power within the standard power factor range</w:t>
      </w:r>
      <w:r w:rsidR="00CA19EA">
        <w:t>.  This change eliminates</w:t>
      </w:r>
      <w:r w:rsidR="00B711DB">
        <w:t xml:space="preserve"> a stream of revenue under Schedule 2</w:t>
      </w:r>
      <w:r w:rsidR="000C087D">
        <w:t xml:space="preserve">, but we find here that such elimination is just and </w:t>
      </w:r>
      <w:r w:rsidR="00446ACC">
        <w:t xml:space="preserve">reasonable </w:t>
      </w:r>
      <w:r w:rsidR="006668F6">
        <w:t>given that</w:t>
      </w:r>
      <w:r w:rsidR="003C5272">
        <w:t xml:space="preserve"> </w:t>
      </w:r>
      <w:r w:rsidR="001A78E6">
        <w:t xml:space="preserve">the record demonstrates </w:t>
      </w:r>
      <w:r w:rsidR="002B2BDB">
        <w:t xml:space="preserve">that </w:t>
      </w:r>
      <w:r w:rsidR="00376862">
        <w:t xml:space="preserve">generating facilities </w:t>
      </w:r>
      <w:r w:rsidRPr="00705808" w:rsidR="00376862">
        <w:t xml:space="preserve">incur no or at most a </w:t>
      </w:r>
      <w:r w:rsidRPr="00705808" w:rsidR="00376862">
        <w:rPr>
          <w:i/>
          <w:iCs/>
        </w:rPr>
        <w:t>de minimis</w:t>
      </w:r>
      <w:r w:rsidRPr="00705808" w:rsidR="00376862">
        <w:t xml:space="preserve"> increase in </w:t>
      </w:r>
      <w:r w:rsidR="00C94B83">
        <w:t xml:space="preserve">variable </w:t>
      </w:r>
      <w:r w:rsidRPr="00705808" w:rsidR="00376862">
        <w:t>costs beyond the cost of providing real power</w:t>
      </w:r>
      <w:r w:rsidR="00AD549D">
        <w:t>.</w:t>
      </w:r>
      <w:r>
        <w:rPr>
          <w:rStyle w:val="FootnoteReference"/>
        </w:rPr>
        <w:footnoteReference w:id="151"/>
      </w:r>
      <w:r w:rsidR="00AD549D">
        <w:t xml:space="preserve">  </w:t>
      </w:r>
      <w:r w:rsidR="00AD549D">
        <w:t>Mo</w:t>
      </w:r>
      <w:r w:rsidR="006A7270">
        <w:t>r</w:t>
      </w:r>
      <w:r w:rsidR="00AD549D">
        <w:t xml:space="preserve">eover, </w:t>
      </w:r>
      <w:r w:rsidRPr="00BA3A1C" w:rsidR="00BA3A1C">
        <w:t xml:space="preserve">to the extent that generating facilities have any costs associated with providing reactive power within the standard power factor range, </w:t>
      </w:r>
      <w:r w:rsidR="00637140">
        <w:t xml:space="preserve">generating facilities may seek to </w:t>
      </w:r>
      <w:r w:rsidR="00D27F89">
        <w:t xml:space="preserve">recover </w:t>
      </w:r>
      <w:r w:rsidRPr="00BA3A1C" w:rsidR="00BA3A1C">
        <w:t>these costs through energy or capacity sales</w:t>
      </w:r>
      <w:r w:rsidR="009A5E8E">
        <w:t>.</w:t>
      </w:r>
      <w:r>
        <w:rPr>
          <w:rStyle w:val="FootnoteReference"/>
        </w:rPr>
        <w:footnoteReference w:id="152"/>
      </w:r>
      <w:r w:rsidR="009A5E8E">
        <w:t xml:space="preserve"> </w:t>
      </w:r>
      <w:r w:rsidR="00C61FDA">
        <w:t xml:space="preserve"> </w:t>
      </w:r>
      <w:r w:rsidR="00A13A78">
        <w:t>Accordingly</w:t>
      </w:r>
      <w:r w:rsidR="00E24D6C">
        <w:t xml:space="preserve">, </w:t>
      </w:r>
      <w:r w:rsidR="00907629">
        <w:t xml:space="preserve">and consistent with precedent, </w:t>
      </w:r>
      <w:r w:rsidR="0094443E">
        <w:t xml:space="preserve">commenters </w:t>
      </w:r>
      <w:r w:rsidR="00907629">
        <w:t>have</w:t>
      </w:r>
      <w:r w:rsidRPr="00907629" w:rsidR="00907629">
        <w:t xml:space="preserve"> not persuaded us that </w:t>
      </w:r>
      <w:r w:rsidR="00907629">
        <w:t>they have</w:t>
      </w:r>
      <w:r w:rsidRPr="00907629" w:rsidR="00907629">
        <w:t xml:space="preserve"> a property interest in continued compensation under</w:t>
      </w:r>
      <w:r w:rsidR="00907629">
        <w:t xml:space="preserve"> Schedule 2</w:t>
      </w:r>
      <w:r w:rsidRPr="00907629" w:rsidR="00907629">
        <w:t xml:space="preserve">, or that </w:t>
      </w:r>
      <w:r w:rsidR="00907629">
        <w:t>th</w:t>
      </w:r>
      <w:r w:rsidR="00D01A66">
        <w:t xml:space="preserve">is </w:t>
      </w:r>
      <w:r w:rsidR="00126E54">
        <w:t>final rule</w:t>
      </w:r>
      <w:r w:rsidRPr="00907629" w:rsidR="00907629">
        <w:t xml:space="preserve"> would unconstitutionally deprive generat</w:t>
      </w:r>
      <w:r w:rsidR="00D01A66">
        <w:t>ing facilities</w:t>
      </w:r>
      <w:r w:rsidRPr="00907629" w:rsidR="00907629">
        <w:t xml:space="preserve"> of that putative property interest under the Takings Clause or Due Process Clause of the </w:t>
      </w:r>
      <w:r w:rsidR="000D130F">
        <w:t xml:space="preserve">                     </w:t>
      </w:r>
      <w:r w:rsidRPr="00907629" w:rsidR="00907629">
        <w:t>Fifth Amendment.</w:t>
      </w:r>
    </w:p>
    <w:p w:rsidR="0086437A" w:rsidP="00917D69" w14:paraId="1AD7A9F4" w14:textId="5514E955">
      <w:pPr>
        <w:pStyle w:val="FERCparanumber"/>
      </w:pPr>
      <w:r w:rsidRPr="00333589">
        <w:t>We</w:t>
      </w:r>
      <w:r>
        <w:t xml:space="preserve"> disagree with Eagle Creek</w:t>
      </w:r>
      <w:r w:rsidR="008173A3">
        <w:t>’s</w:t>
      </w:r>
      <w:r>
        <w:t xml:space="preserve"> and </w:t>
      </w:r>
      <w:r w:rsidR="00712283">
        <w:t>the</w:t>
      </w:r>
      <w:r>
        <w:t xml:space="preserve"> NHA’s assertions that most reactive service rate schedules on file enjoy the </w:t>
      </w:r>
      <w:r>
        <w:rPr>
          <w:i/>
          <w:iCs/>
        </w:rPr>
        <w:t>Mobile-Sierra</w:t>
      </w:r>
      <w:r w:rsidRPr="00D374EE">
        <w:t xml:space="preserve"> </w:t>
      </w:r>
      <w:r>
        <w:t>presumption</w:t>
      </w:r>
      <w:r w:rsidRPr="00036485" w:rsidR="00036485">
        <w:t xml:space="preserve"> </w:t>
      </w:r>
      <w:r w:rsidR="00125B54">
        <w:t xml:space="preserve">and as a result, </w:t>
      </w:r>
      <w:r w:rsidRPr="00530C80" w:rsidR="00036485">
        <w:t>in order for the Commission to disallow the existing reactive service rates, each rate on</w:t>
      </w:r>
      <w:r w:rsidR="00204C0E">
        <w:t xml:space="preserve"> </w:t>
      </w:r>
      <w:r w:rsidRPr="00530C80" w:rsidR="00036485">
        <w:t>file must be demonstrated by the Commission to “seriously harm the public interest.”</w:t>
      </w:r>
      <w:r>
        <w:rPr>
          <w:rStyle w:val="FootnoteReference"/>
        </w:rPr>
        <w:footnoteReference w:id="153"/>
      </w:r>
      <w:r>
        <w:t xml:space="preserve">  </w:t>
      </w:r>
      <w:r w:rsidRPr="000275C6">
        <w:t xml:space="preserve">While the </w:t>
      </w:r>
      <w:r w:rsidRPr="000275C6">
        <w:rPr>
          <w:i/>
          <w:iCs/>
        </w:rPr>
        <w:t>Mobile-Sierra</w:t>
      </w:r>
      <w:r w:rsidRPr="000275C6">
        <w:t xml:space="preserve"> doctrine establishes a more rigorous application of the just and reasonable standard when the Commission proposes to change an individual contract negotiated at arms-length,</w:t>
      </w:r>
      <w:r>
        <w:rPr>
          <w:rStyle w:val="FootnoteReference"/>
        </w:rPr>
        <w:footnoteReference w:id="154"/>
      </w:r>
      <w:r w:rsidRPr="000275C6">
        <w:t xml:space="preserve"> reactive power</w:t>
      </w:r>
      <w:r w:rsidR="008340FE">
        <w:t xml:space="preserve">-related </w:t>
      </w:r>
      <w:r w:rsidRPr="000275C6">
        <w:t xml:space="preserve">transmission </w:t>
      </w:r>
      <w:r w:rsidR="008340FE">
        <w:t>rates</w:t>
      </w:r>
      <w:r w:rsidRPr="000275C6">
        <w:t xml:space="preserve"> are not individually negotiated contract rates, but rather transmission owner tariff-based rates of </w:t>
      </w:r>
      <w:r w:rsidRPr="000275C6">
        <w:t>general applicability reflected in the transmission owner</w:t>
      </w:r>
      <w:r w:rsidR="00420697">
        <w:t>’</w:t>
      </w:r>
      <w:r w:rsidRPr="000275C6">
        <w:t>s Schedule</w:t>
      </w:r>
      <w:r w:rsidR="00D374EE">
        <w:t xml:space="preserve"> </w:t>
      </w:r>
      <w:r w:rsidRPr="000275C6">
        <w:t>2.</w:t>
      </w:r>
      <w:r>
        <w:rPr>
          <w:b/>
          <w:vertAlign w:val="superscript"/>
        </w:rPr>
        <w:footnoteReference w:id="155"/>
      </w:r>
      <w:r w:rsidRPr="000275C6">
        <w:t xml:space="preserve">  The fact that the Commission has accepted generat</w:t>
      </w:r>
      <w:r w:rsidR="00215F75">
        <w:t>ing facilities</w:t>
      </w:r>
      <w:r w:rsidRPr="000275C6">
        <w:t xml:space="preserve">’ rate filings setting forth reactive power rates </w:t>
      </w:r>
      <w:r w:rsidR="0068204A">
        <w:t xml:space="preserve">covering </w:t>
      </w:r>
      <w:r w:rsidR="007F7737">
        <w:t xml:space="preserve">the provision of reactive power within the standard power factor range </w:t>
      </w:r>
      <w:r w:rsidRPr="000275C6">
        <w:t>establishes only the rate at which the generat</w:t>
      </w:r>
      <w:r w:rsidR="00EB63FB">
        <w:t xml:space="preserve">ing facility </w:t>
      </w:r>
      <w:r w:rsidRPr="000275C6">
        <w:t>is obligated to sell reactive power to a transmission provider; that rate does not establish an obligation for the transmission provider to purchase</w:t>
      </w:r>
      <w:r w:rsidR="00AC2E5F">
        <w:t xml:space="preserve"> such</w:t>
      </w:r>
      <w:r w:rsidRPr="000275C6">
        <w:t xml:space="preserve"> reactive power.  Those individual rates establish only the charges that transmission providers will include in transmission rates if</w:t>
      </w:r>
      <w:r w:rsidR="003E31BB">
        <w:t>, and only if</w:t>
      </w:r>
      <w:r w:rsidRPr="000275C6">
        <w:t xml:space="preserve"> </w:t>
      </w:r>
      <w:r w:rsidR="00162CF9">
        <w:t>the transmission providers</w:t>
      </w:r>
      <w:r w:rsidR="009B30AE">
        <w:t>’</w:t>
      </w:r>
      <w:r w:rsidR="00EB3817">
        <w:t xml:space="preserve"> </w:t>
      </w:r>
      <w:r w:rsidR="00997D65">
        <w:t>OATTs</w:t>
      </w:r>
      <w:r w:rsidR="00EB3817">
        <w:t xml:space="preserve"> require the payment of compensation for reactive power</w:t>
      </w:r>
      <w:r w:rsidRPr="000275C6">
        <w:t>.</w:t>
      </w:r>
      <w:r>
        <w:rPr>
          <w:b/>
          <w:vertAlign w:val="superscript"/>
        </w:rPr>
        <w:footnoteReference w:id="156"/>
      </w:r>
    </w:p>
    <w:p w:rsidR="007703C7" w:rsidRPr="006056E4" w:rsidP="00917D69" w14:paraId="60ED6563" w14:textId="4DD945B0">
      <w:pPr>
        <w:pStyle w:val="FERCparanumber"/>
      </w:pPr>
      <w:r w:rsidRPr="000275C6">
        <w:t xml:space="preserve">As discussed above, the </w:t>
      </w:r>
      <w:r w:rsidR="00126E54">
        <w:t>final rule</w:t>
      </w:r>
      <w:r w:rsidRPr="000275C6">
        <w:t xml:space="preserve"> </w:t>
      </w:r>
      <w:r w:rsidRPr="000275C6">
        <w:t>require</w:t>
      </w:r>
      <w:r w:rsidR="009C1864">
        <w:t>s</w:t>
      </w:r>
      <w:r w:rsidRPr="000275C6">
        <w:t xml:space="preserve"> revisions to Schedule 2 to prohibit the inclusion in transmission rates of charges associated with reactive power in the standard </w:t>
      </w:r>
      <w:r w:rsidR="0086437A">
        <w:t xml:space="preserve">power factor </w:t>
      </w:r>
      <w:r w:rsidRPr="000275C6">
        <w:t>range and, for consistency, also require</w:t>
      </w:r>
      <w:r w:rsidR="00ED3337">
        <w:t>s</w:t>
      </w:r>
      <w:r w:rsidRPr="000275C6">
        <w:t xml:space="preserve"> conforming revisions to the </w:t>
      </w:r>
      <w:r w:rsidR="009F1F89">
        <w:t xml:space="preserve">        </w:t>
      </w:r>
      <w:r w:rsidRPr="000275C6">
        <w:rPr>
          <w:i/>
          <w:iCs/>
        </w:rPr>
        <w:t>pro forma</w:t>
      </w:r>
      <w:r w:rsidRPr="000275C6">
        <w:t xml:space="preserve"> LGIA and </w:t>
      </w:r>
      <w:r w:rsidRPr="000907C5" w:rsidR="000907C5">
        <w:rPr>
          <w:i/>
          <w:iCs/>
        </w:rPr>
        <w:t>pro forma</w:t>
      </w:r>
      <w:r w:rsidRPr="000907C5" w:rsidR="000907C5">
        <w:t xml:space="preserve"> </w:t>
      </w:r>
      <w:r w:rsidRPr="000275C6">
        <w:t xml:space="preserve">SGIA to remove language related to the comparability </w:t>
      </w:r>
      <w:r w:rsidR="00CC302B">
        <w:t>standard</w:t>
      </w:r>
      <w:r w:rsidRPr="00705808">
        <w:t>.</w:t>
      </w:r>
      <w:r w:rsidRPr="000275C6">
        <w:t xml:space="preserve">  Since Schedule 2 is a tariff-based rate, that rate can be modified under the ordinary just and reasonable standard.</w:t>
      </w:r>
      <w:r>
        <w:rPr>
          <w:rStyle w:val="FootnoteReference"/>
        </w:rPr>
        <w:footnoteReference w:id="157"/>
      </w:r>
      <w:r w:rsidRPr="000275C6">
        <w:t xml:space="preserve">  However, </w:t>
      </w:r>
      <w:r w:rsidR="00C724A7">
        <w:t xml:space="preserve">this </w:t>
      </w:r>
      <w:r w:rsidR="00126E54">
        <w:t>final rule</w:t>
      </w:r>
      <w:r w:rsidR="00C724A7">
        <w:t xml:space="preserve"> does not affect the</w:t>
      </w:r>
      <w:r w:rsidRPr="000275C6">
        <w:t xml:space="preserve"> </w:t>
      </w:r>
      <w:r w:rsidR="00C724A7">
        <w:t xml:space="preserve">ability of </w:t>
      </w:r>
      <w:r w:rsidRPr="000275C6">
        <w:t>generat</w:t>
      </w:r>
      <w:r w:rsidR="000030BE">
        <w:t>ing facilities</w:t>
      </w:r>
      <w:r w:rsidRPr="000275C6">
        <w:t xml:space="preserve"> </w:t>
      </w:r>
      <w:r w:rsidR="00C724A7">
        <w:t>to</w:t>
      </w:r>
      <w:r w:rsidRPr="000275C6">
        <w:t xml:space="preserve"> pursue claims that they have an independent contractual right to reactive power compensation within the standard power factor range</w:t>
      </w:r>
      <w:r w:rsidR="00497226">
        <w:t xml:space="preserve">, based on a </w:t>
      </w:r>
      <w:r w:rsidR="006F3361">
        <w:t>bilateral agreement with the relevant transmission owner</w:t>
      </w:r>
      <w:r w:rsidRPr="00705808">
        <w:t>.</w:t>
      </w:r>
      <w:r>
        <w:rPr>
          <w:rStyle w:val="FootnoteReference"/>
        </w:rPr>
        <w:footnoteReference w:id="158"/>
      </w:r>
    </w:p>
    <w:p w:rsidR="000365A5" w:rsidP="00C219B5" w14:paraId="1CBB756D" w14:textId="66945631">
      <w:pPr>
        <w:pStyle w:val="FERCparanumber"/>
      </w:pPr>
      <w:r>
        <w:t xml:space="preserve">We </w:t>
      </w:r>
      <w:r w:rsidR="00AA6FE1">
        <w:t xml:space="preserve">also find </w:t>
      </w:r>
      <w:r w:rsidR="00195AB7">
        <w:t>that</w:t>
      </w:r>
      <w:r w:rsidR="00AA6FE1">
        <w:t xml:space="preserve"> </w:t>
      </w:r>
      <w:r>
        <w:t>Generation Developers’ and Reactive Service Providers’</w:t>
      </w:r>
      <w:r>
        <w:rPr>
          <w:b/>
          <w:bCs/>
          <w:vertAlign w:val="superscript"/>
        </w:rPr>
        <w:footnoteReference w:id="159"/>
      </w:r>
      <w:r>
        <w:t xml:space="preserve"> assertions that the </w:t>
      </w:r>
      <w:r w:rsidR="00126E54">
        <w:t>final rule</w:t>
      </w:r>
      <w:r>
        <w:t xml:space="preserve"> would violate </w:t>
      </w:r>
      <w:r>
        <w:rPr>
          <w:i/>
          <w:iCs/>
        </w:rPr>
        <w:t>Atlantic City</w:t>
      </w:r>
      <w:r w:rsidRPr="00D374EE">
        <w:t xml:space="preserve"> </w:t>
      </w:r>
      <w:r>
        <w:t xml:space="preserve">by depriving generating facilities of their </w:t>
      </w:r>
      <w:r w:rsidR="00507198">
        <w:t xml:space="preserve">FPA </w:t>
      </w:r>
      <w:r>
        <w:t>section 205 filing rights</w:t>
      </w:r>
      <w:r w:rsidR="00195AB7">
        <w:t xml:space="preserve"> lack merit</w:t>
      </w:r>
      <w:r>
        <w:t xml:space="preserve">.  </w:t>
      </w:r>
      <w:r w:rsidR="00326F24">
        <w:t>T</w:t>
      </w:r>
      <w:r w:rsidR="0024259A">
        <w:t xml:space="preserve">he Commission is not depriving </w:t>
      </w:r>
      <w:r w:rsidR="005F5A75">
        <w:t>generating facilities</w:t>
      </w:r>
      <w:r w:rsidR="0024259A">
        <w:t xml:space="preserve"> of their filing rights</w:t>
      </w:r>
      <w:r w:rsidR="00F046FF">
        <w:t xml:space="preserve">. </w:t>
      </w:r>
      <w:r w:rsidR="00D964AB">
        <w:t xml:space="preserve"> </w:t>
      </w:r>
      <w:r w:rsidR="00BD6653">
        <w:t>T</w:t>
      </w:r>
      <w:r w:rsidR="00326F24">
        <w:t xml:space="preserve">he commenters’ arguments fundamentally misunderstand </w:t>
      </w:r>
      <w:r w:rsidR="00042C5F">
        <w:t>generating facility</w:t>
      </w:r>
      <w:r w:rsidR="00D964AB">
        <w:t xml:space="preserve"> </w:t>
      </w:r>
      <w:r w:rsidR="00326F24">
        <w:t xml:space="preserve">compensation under the </w:t>
      </w:r>
      <w:r w:rsidR="006D34AE">
        <w:t xml:space="preserve">Commission’s </w:t>
      </w:r>
      <w:r w:rsidRPr="000C129A" w:rsidR="00326F24">
        <w:rPr>
          <w:i/>
        </w:rPr>
        <w:t>pro forma</w:t>
      </w:r>
      <w:r w:rsidR="00326F24">
        <w:t xml:space="preserve"> OATT and interconnection agreements. </w:t>
      </w:r>
      <w:r w:rsidR="007C4599">
        <w:t xml:space="preserve"> </w:t>
      </w:r>
      <w:r w:rsidRPr="005E5202" w:rsidR="005E5202">
        <w:t xml:space="preserve">The </w:t>
      </w:r>
      <w:r w:rsidR="00126E54">
        <w:t>final rule</w:t>
      </w:r>
      <w:r w:rsidRPr="005E5202" w:rsidR="005E5202">
        <w:t xml:space="preserve"> is not adjusting, overturning, or reducing to zero any </w:t>
      </w:r>
      <w:r w:rsidR="00042C5F">
        <w:t>generating facility</w:t>
      </w:r>
      <w:r w:rsidR="00712283">
        <w:t>’</w:t>
      </w:r>
      <w:r w:rsidRPr="005E5202" w:rsidR="005E5202">
        <w:t>s rate for reactive power</w:t>
      </w:r>
      <w:r w:rsidR="00E96471">
        <w:t xml:space="preserve"> within the standard </w:t>
      </w:r>
      <w:r w:rsidR="00E96471">
        <w:t>power factor range</w:t>
      </w:r>
      <w:r w:rsidRPr="005E5202" w:rsidR="005E5202">
        <w:t xml:space="preserve">.  </w:t>
      </w:r>
      <w:r w:rsidRPr="005203CE" w:rsidR="005203CE">
        <w:t>Th</w:t>
      </w:r>
      <w:r w:rsidR="00244051">
        <w:t>e</w:t>
      </w:r>
      <w:r w:rsidRPr="005203CE" w:rsidR="005203CE">
        <w:t xml:space="preserve"> </w:t>
      </w:r>
      <w:r w:rsidR="00126E54">
        <w:t>final rule</w:t>
      </w:r>
      <w:r w:rsidRPr="005203CE" w:rsidR="005203CE">
        <w:t xml:space="preserve"> addresses only the </w:t>
      </w:r>
      <w:r w:rsidR="00244051">
        <w:t>justness and reasonableness of</w:t>
      </w:r>
      <w:r w:rsidRPr="005203CE" w:rsidR="005203CE">
        <w:t xml:space="preserve"> transmission rates chargeable to transmission customers under Schedule 2 and by extension, payable to </w:t>
      </w:r>
      <w:r w:rsidR="00A616B1">
        <w:t>the transmission providers</w:t>
      </w:r>
      <w:r w:rsidRPr="00CE6C02" w:rsidR="003D6502">
        <w:t>’</w:t>
      </w:r>
      <w:r w:rsidR="00A616B1">
        <w:t xml:space="preserve"> own </w:t>
      </w:r>
      <w:r w:rsidR="00C51363">
        <w:t>generating facilities</w:t>
      </w:r>
      <w:r w:rsidRPr="005203CE" w:rsidR="00C51363">
        <w:t xml:space="preserve"> </w:t>
      </w:r>
      <w:r w:rsidR="00075F31">
        <w:t xml:space="preserve">or affiliated </w:t>
      </w:r>
      <w:r w:rsidR="007B4278">
        <w:t>generating facilities</w:t>
      </w:r>
      <w:r w:rsidRPr="00705808" w:rsidR="007B4278">
        <w:t xml:space="preserve"> </w:t>
      </w:r>
      <w:r w:rsidR="00075F31">
        <w:t xml:space="preserve">and </w:t>
      </w:r>
      <w:r w:rsidR="00C06E26">
        <w:t xml:space="preserve">third-party </w:t>
      </w:r>
      <w:r w:rsidR="007B4278">
        <w:t xml:space="preserve">generating facilities </w:t>
      </w:r>
      <w:r w:rsidR="00C06E26">
        <w:t>under the comparability standard</w:t>
      </w:r>
      <w:r w:rsidR="00D1430E">
        <w:t xml:space="preserve">, </w:t>
      </w:r>
      <w:r w:rsidRPr="005203CE" w:rsidR="005203CE">
        <w:t>consistent with their interconnection agreement</w:t>
      </w:r>
      <w:r w:rsidR="00516CE9">
        <w:t>s</w:t>
      </w:r>
      <w:r w:rsidRPr="005203CE" w:rsidR="005203CE">
        <w:t>, not any independent right of generat</w:t>
      </w:r>
      <w:r w:rsidR="00042C5F">
        <w:t>ing facilities</w:t>
      </w:r>
      <w:r w:rsidRPr="005203CE" w:rsidR="005203CE">
        <w:t xml:space="preserve"> to establish a rate under FPA section</w:t>
      </w:r>
      <w:r w:rsidR="00516CE9">
        <w:t xml:space="preserve"> 205</w:t>
      </w:r>
      <w:r w:rsidR="00F309D5">
        <w:t xml:space="preserve">.  While </w:t>
      </w:r>
      <w:r w:rsidR="009928A8">
        <w:t xml:space="preserve">this </w:t>
      </w:r>
      <w:r w:rsidR="00140CF7">
        <w:t>does result in</w:t>
      </w:r>
      <w:r w:rsidR="00F309D5">
        <w:t xml:space="preserve"> </w:t>
      </w:r>
      <w:r w:rsidRPr="00F309D5" w:rsidR="00F309D5">
        <w:t>generating facilities</w:t>
      </w:r>
      <w:r w:rsidR="00C36EB1">
        <w:t>, affiliated and non-affiliated</w:t>
      </w:r>
      <w:r w:rsidR="009D018C">
        <w:t>,</w:t>
      </w:r>
      <w:r w:rsidRPr="00F309D5" w:rsidR="00F309D5">
        <w:t xml:space="preserve"> no longer be</w:t>
      </w:r>
      <w:r w:rsidR="00AC265D">
        <w:t>ing</w:t>
      </w:r>
      <w:r w:rsidRPr="00F309D5" w:rsidR="00F309D5">
        <w:t xml:space="preserve"> entitled to compensation</w:t>
      </w:r>
      <w:r w:rsidR="00EB4CF1">
        <w:t xml:space="preserve"> for the provision </w:t>
      </w:r>
      <w:r w:rsidR="00A34232">
        <w:t xml:space="preserve">of </w:t>
      </w:r>
      <w:r w:rsidR="008535AC">
        <w:t>reactive power within the standard power factor range</w:t>
      </w:r>
      <w:r w:rsidR="0024234A">
        <w:t xml:space="preserve"> as a function of comparability</w:t>
      </w:r>
      <w:r w:rsidR="00F309D5">
        <w:t>,</w:t>
      </w:r>
      <w:r w:rsidRPr="00F309D5" w:rsidR="00F309D5">
        <w:t xml:space="preserve"> the Commission has found</w:t>
      </w:r>
      <w:r w:rsidR="00B55F8A">
        <w:t xml:space="preserve"> that such an outcome</w:t>
      </w:r>
      <w:r w:rsidRPr="00F309D5" w:rsidR="00F309D5">
        <w:t xml:space="preserve"> does not undermine </w:t>
      </w:r>
      <w:r w:rsidR="00FF2878">
        <w:t xml:space="preserve">the </w:t>
      </w:r>
      <w:r w:rsidRPr="00F309D5" w:rsidR="00F309D5">
        <w:t>generat</w:t>
      </w:r>
      <w:r w:rsidR="00FF2878">
        <w:t>ing facilities</w:t>
      </w:r>
      <w:r w:rsidR="00387C89">
        <w:t>’</w:t>
      </w:r>
      <w:r w:rsidRPr="00F309D5" w:rsidR="00F309D5">
        <w:t xml:space="preserve"> FPA section 205 filing rights</w:t>
      </w:r>
      <w:r w:rsidRPr="00F309D5" w:rsidR="00F309D5">
        <w:t>.</w:t>
      </w:r>
      <w:r>
        <w:rPr>
          <w:b/>
          <w:vertAlign w:val="superscript"/>
        </w:rPr>
        <w:footnoteReference w:id="160"/>
      </w:r>
      <w:bookmarkEnd w:id="11"/>
      <w:bookmarkEnd w:id="12"/>
    </w:p>
    <w:p w:rsidR="00042482" w:rsidRPr="00C06B6B" w:rsidP="00042482" w14:paraId="150E59DD" w14:textId="40E6F389">
      <w:pPr>
        <w:pStyle w:val="Heading2"/>
        <w:rPr>
          <w:u w:val="single"/>
        </w:rPr>
      </w:pPr>
      <w:bookmarkStart w:id="21" w:name="_bmk8"/>
      <w:r w:rsidRPr="00C06B6B">
        <w:rPr>
          <w:u w:val="single"/>
        </w:rPr>
        <w:t>C</w:t>
      </w:r>
      <w:bookmarkEnd w:id="21"/>
      <w:r w:rsidRPr="00C06B6B">
        <w:rPr>
          <w:u w:val="single"/>
        </w:rPr>
        <w:t>ost of Producing Reactive Power</w:t>
      </w:r>
    </w:p>
    <w:p w:rsidR="00BC37CE" w:rsidP="00042482" w14:paraId="03FEDCD6" w14:textId="529F58DA">
      <w:pPr>
        <w:pStyle w:val="FERCparanumber"/>
      </w:pPr>
      <w:r w:rsidRPr="00EF782D">
        <w:t>The NOPR preliminarily found that providing compensation for the provision of reactive power within the standard power factor range is unjust and unreasonable</w:t>
      </w:r>
      <w:r w:rsidR="00C83A27">
        <w:t xml:space="preserve">.  </w:t>
      </w:r>
      <w:r w:rsidR="005D0CF3">
        <w:t xml:space="preserve">The Commission </w:t>
      </w:r>
      <w:r w:rsidR="00821C00">
        <w:t xml:space="preserve">relied on three </w:t>
      </w:r>
      <w:r w:rsidR="00DA2C0C">
        <w:t xml:space="preserve">key </w:t>
      </w:r>
      <w:r w:rsidR="005103A1">
        <w:t xml:space="preserve">points </w:t>
      </w:r>
      <w:r w:rsidR="00316E2C">
        <w:t>to support this preliminary finding</w:t>
      </w:r>
      <w:r w:rsidR="00D43290">
        <w:t>.</w:t>
      </w:r>
    </w:p>
    <w:p w:rsidR="001726C5" w:rsidP="00042482" w14:paraId="64F7FD1E" w14:textId="5F479F2C">
      <w:pPr>
        <w:pStyle w:val="FERCparanumber"/>
      </w:pPr>
      <w:r>
        <w:t>First,</w:t>
      </w:r>
      <w:r w:rsidR="008A4CB0">
        <w:t xml:space="preserve"> the NOPR </w:t>
      </w:r>
      <w:r w:rsidR="006A0C9B">
        <w:t>relied on the Commission’s prior findings</w:t>
      </w:r>
      <w:r w:rsidR="008A4CB0">
        <w:t xml:space="preserve"> that</w:t>
      </w:r>
      <w:r w:rsidR="001B7805">
        <w:t>,</w:t>
      </w:r>
      <w:r>
        <w:t xml:space="preserve"> </w:t>
      </w:r>
      <w:r w:rsidRPr="00EB36FF" w:rsidR="00EB36FF">
        <w:t xml:space="preserve">for both synchronous and non-synchronous generating facilities, </w:t>
      </w:r>
      <w:r w:rsidR="000765EB">
        <w:t>because</w:t>
      </w:r>
      <w:r w:rsidR="00D24E7B">
        <w:t xml:space="preserve"> </w:t>
      </w:r>
      <w:r w:rsidRPr="00EB36FF" w:rsidR="00EB36FF">
        <w:t xml:space="preserve">all equipment used to produce reactive power is also necessary to produce and deliver </w:t>
      </w:r>
      <w:r w:rsidR="00143F85">
        <w:t>real power</w:t>
      </w:r>
      <w:r w:rsidRPr="00EB36FF" w:rsidR="00EB36FF">
        <w:t xml:space="preserve"> to the transmission system, there are no incremental fixed costs associated with the provision of reactive power within the standard power factor range.</w:t>
      </w:r>
      <w:r>
        <w:rPr>
          <w:rStyle w:val="FootnoteReference"/>
        </w:rPr>
        <w:footnoteReference w:id="161"/>
      </w:r>
      <w:r w:rsidR="00592E22">
        <w:t xml:space="preserve">  </w:t>
      </w:r>
      <w:r w:rsidR="00250D8D">
        <w:t xml:space="preserve">The NOPR also explained that </w:t>
      </w:r>
      <w:r w:rsidRPr="00250D8D" w:rsidR="00250D8D">
        <w:t xml:space="preserve">the Commission has repeatedly found, that “[v]ariable costs of generating reactive power are </w:t>
      </w:r>
      <w:r w:rsidRPr="00250D8D" w:rsidR="00250D8D">
        <w:rPr>
          <w:i/>
          <w:iCs/>
        </w:rPr>
        <w:t>de minimis</w:t>
      </w:r>
      <w:r w:rsidRPr="00250D8D" w:rsidR="00250D8D">
        <w:t xml:space="preserve">” </w:t>
      </w:r>
      <w:r w:rsidR="001473C1">
        <w:t>and</w:t>
      </w:r>
      <w:r w:rsidRPr="00250D8D" w:rsidR="00250D8D">
        <w:t xml:space="preserve"> “generally limited to changes in losses within the generating facility which are part of the overall efficiency of the resource and, as such, are typically </w:t>
      </w:r>
      <w:r w:rsidRPr="00250D8D" w:rsidR="00250D8D">
        <w:t>captured in the resource offers.”</w:t>
      </w:r>
      <w:r>
        <w:rPr>
          <w:b/>
          <w:vertAlign w:val="superscript"/>
        </w:rPr>
        <w:footnoteReference w:id="162"/>
      </w:r>
      <w:r w:rsidRPr="00250D8D" w:rsidR="00250D8D">
        <w:t xml:space="preserve">  </w:t>
      </w:r>
      <w:r w:rsidR="00592E22">
        <w:t>Th</w:t>
      </w:r>
      <w:r w:rsidR="001A3FF5">
        <w:t xml:space="preserve">us, </w:t>
      </w:r>
      <w:r w:rsidR="005E11DB">
        <w:t xml:space="preserve">by providing reactive power within the standard power factor range, </w:t>
      </w:r>
      <w:r w:rsidR="008D16D7">
        <w:t xml:space="preserve">both </w:t>
      </w:r>
      <w:r w:rsidR="005E11DB">
        <w:t xml:space="preserve">synchronous and nonsynchronous facilities </w:t>
      </w:r>
      <w:r w:rsidR="00701CED">
        <w:t xml:space="preserve">incur no additional </w:t>
      </w:r>
      <w:r w:rsidR="00E561E4">
        <w:t xml:space="preserve">fixed </w:t>
      </w:r>
      <w:r w:rsidR="00701CED">
        <w:t xml:space="preserve">costs </w:t>
      </w:r>
      <w:r w:rsidR="00E561E4">
        <w:t xml:space="preserve">and </w:t>
      </w:r>
      <w:r w:rsidR="009F7816">
        <w:t xml:space="preserve">at most </w:t>
      </w:r>
      <w:r w:rsidR="00701CED">
        <w:rPr>
          <w:i/>
          <w:iCs/>
        </w:rPr>
        <w:t>de minimis</w:t>
      </w:r>
      <w:r w:rsidRPr="00C05B45" w:rsidR="00701CED">
        <w:t xml:space="preserve"> </w:t>
      </w:r>
      <w:r w:rsidR="00E561E4">
        <w:t xml:space="preserve">variable </w:t>
      </w:r>
      <w:r w:rsidR="00701CED">
        <w:t>costs beyond which they already incur to provide real power.</w:t>
      </w:r>
      <w:r>
        <w:rPr>
          <w:rStyle w:val="FootnoteReference"/>
        </w:rPr>
        <w:footnoteReference w:id="163"/>
      </w:r>
    </w:p>
    <w:p w:rsidR="001E1BCC" w:rsidP="00042482" w14:paraId="09C4262A" w14:textId="1D0DA640">
      <w:pPr>
        <w:pStyle w:val="FERCparanumber"/>
      </w:pPr>
      <w:r>
        <w:t>Second,</w:t>
      </w:r>
      <w:r w:rsidR="00C123C5">
        <w:t xml:space="preserve"> </w:t>
      </w:r>
      <w:r w:rsidR="00F54691">
        <w:t xml:space="preserve">the NOPR relied on the </w:t>
      </w:r>
      <w:r w:rsidR="008D16D7">
        <w:t>fact</w:t>
      </w:r>
      <w:r w:rsidR="00F54691">
        <w:t xml:space="preserve"> that all </w:t>
      </w:r>
      <w:r w:rsidR="0039798C">
        <w:t xml:space="preserve">generating facilities must </w:t>
      </w:r>
      <w:r w:rsidR="00992AD6">
        <w:t>provide reactive power within the standard power factor range</w:t>
      </w:r>
      <w:r w:rsidR="00B83506">
        <w:t xml:space="preserve"> </w:t>
      </w:r>
      <w:r w:rsidRPr="00B83506" w:rsidR="00B83506">
        <w:t>as a</w:t>
      </w:r>
      <w:r w:rsidR="00DC4C6E">
        <w:t>n obligation</w:t>
      </w:r>
      <w:r w:rsidRPr="00B83506" w:rsidR="00B83506">
        <w:t xml:space="preserve"> </w:t>
      </w:r>
      <w:r w:rsidRPr="00B83506" w:rsidR="00B83506">
        <w:t>of good utility practice and to meet the obligations under their interconnection agreements</w:t>
      </w:r>
      <w:r w:rsidR="00CA476E">
        <w:t>.</w:t>
      </w:r>
      <w:r>
        <w:rPr>
          <w:rStyle w:val="FootnoteReference"/>
        </w:rPr>
        <w:footnoteReference w:id="164"/>
      </w:r>
      <w:r w:rsidR="00CA476E">
        <w:t xml:space="preserve">  </w:t>
      </w:r>
      <w:r w:rsidR="00CA476E">
        <w:t xml:space="preserve">Additionally, </w:t>
      </w:r>
      <w:r w:rsidR="00EB1AC3">
        <w:t xml:space="preserve">the NOPR emphasized that </w:t>
      </w:r>
      <w:r w:rsidR="006F3A16">
        <w:t>“</w:t>
      </w:r>
      <w:r w:rsidRPr="006F3A16" w:rsidR="006F3A16">
        <w:t>reactive support by generating facilities operating within the standard power factor range ensures that when these facilities inject real power—the product that their facilities exist to create and sell—onto the grid under normal conditions, they can do their part to maintain adequate voltages and to not threaten reliability.”</w:t>
      </w:r>
      <w:r>
        <w:rPr>
          <w:b/>
          <w:vertAlign w:val="superscript"/>
        </w:rPr>
        <w:footnoteReference w:id="165"/>
      </w:r>
      <w:r w:rsidR="001112A9">
        <w:t xml:space="preserve">  </w:t>
      </w:r>
      <w:r w:rsidR="008D3E91">
        <w:t xml:space="preserve">In other words, </w:t>
      </w:r>
      <w:r w:rsidR="009E359C">
        <w:t xml:space="preserve">a generating facility must produce reactive power within the standard power factor range </w:t>
      </w:r>
      <w:r w:rsidR="001B4DD7">
        <w:t xml:space="preserve">in order to generate and safely inject real power into the </w:t>
      </w:r>
      <w:r w:rsidR="0074377B">
        <w:t>transmission system</w:t>
      </w:r>
      <w:r w:rsidR="001B4DD7">
        <w:t xml:space="preserve"> and comply with reliability requirements</w:t>
      </w:r>
      <w:r w:rsidR="0028739F">
        <w:t xml:space="preserve">.  As such, </w:t>
      </w:r>
      <w:r w:rsidR="004D31F7">
        <w:t>providing</w:t>
      </w:r>
      <w:r w:rsidR="00033B2F">
        <w:t xml:space="preserve"> </w:t>
      </w:r>
      <w:r w:rsidRPr="0093679D" w:rsidR="00175971">
        <w:t xml:space="preserve">reactive power </w:t>
      </w:r>
      <w:r w:rsidR="004D31F7">
        <w:t xml:space="preserve">within the standard power factor range </w:t>
      </w:r>
      <w:r w:rsidR="00215887">
        <w:t xml:space="preserve">can be regarded as </w:t>
      </w:r>
      <w:r w:rsidR="007006DB">
        <w:t xml:space="preserve">a </w:t>
      </w:r>
      <w:r w:rsidRPr="0093679D" w:rsidR="00175971">
        <w:t>joint product</w:t>
      </w:r>
      <w:r w:rsidR="004D31F7">
        <w:t xml:space="preserve"> with </w:t>
      </w:r>
      <w:r w:rsidR="00555C4F">
        <w:t xml:space="preserve">providing </w:t>
      </w:r>
      <w:r w:rsidR="004D31F7">
        <w:t>real power</w:t>
      </w:r>
      <w:r w:rsidR="001D5494">
        <w:t>,</w:t>
      </w:r>
      <w:r w:rsidRPr="0093679D" w:rsidR="00175971">
        <w:t xml:space="preserve"> with joint costs</w:t>
      </w:r>
      <w:r w:rsidR="001B4DD7">
        <w:t>.</w:t>
      </w:r>
    </w:p>
    <w:p w:rsidR="00042482" w:rsidRPr="00EF782D" w:rsidP="00192D47" w14:paraId="4E89DE4F" w14:textId="1EA9DDA3">
      <w:pPr>
        <w:pStyle w:val="FERCparanumber"/>
      </w:pPr>
      <w:r>
        <w:t>Third</w:t>
      </w:r>
      <w:r w:rsidR="00B5371F">
        <w:t xml:space="preserve">, </w:t>
      </w:r>
      <w:r w:rsidR="00F54691">
        <w:t xml:space="preserve">the NOPR </w:t>
      </w:r>
      <w:r w:rsidR="00FE4F3A">
        <w:t>noted</w:t>
      </w:r>
      <w:r w:rsidR="00F54691">
        <w:t xml:space="preserve"> that </w:t>
      </w:r>
      <w:r w:rsidRPr="000B5AF7" w:rsidR="000B5AF7">
        <w:t>in regions where</w:t>
      </w:r>
      <w:r w:rsidRPr="000B5AF7" w:rsidR="000B5AF7">
        <w:t xml:space="preserve"> </w:t>
      </w:r>
      <w:r w:rsidR="00C51363">
        <w:t>generating facilities</w:t>
      </w:r>
      <w:r w:rsidRPr="000B5AF7" w:rsidR="000B5AF7">
        <w:t xml:space="preserve"> recover their costs by participating in organized competitive wholesale markets, providing separate compensation for the provision of reactive power within the standard power factor range risks overcompensation and market distortion</w:t>
      </w:r>
      <w:r w:rsidR="00F173AD">
        <w:t>s</w:t>
      </w:r>
      <w:r w:rsidRPr="000B5AF7" w:rsidR="000B5AF7">
        <w:t xml:space="preserve"> in ways that did not exist prior to the existence of organized markets.</w:t>
      </w:r>
      <w:r>
        <w:rPr>
          <w:rStyle w:val="FootnoteReference"/>
        </w:rPr>
        <w:footnoteReference w:id="166"/>
      </w:r>
      <w:r w:rsidR="00100FA8">
        <w:t xml:space="preserve">  </w:t>
      </w:r>
      <w:r w:rsidR="00A83172">
        <w:t>The NOPR explained that</w:t>
      </w:r>
      <w:r w:rsidR="00AD142D">
        <w:t xml:space="preserve"> </w:t>
      </w:r>
      <w:r w:rsidR="00DD5756">
        <w:t xml:space="preserve">the AEP Methodology </w:t>
      </w:r>
      <w:r w:rsidR="001B3333">
        <w:t>was created</w:t>
      </w:r>
      <w:r w:rsidR="00D03D20">
        <w:t xml:space="preserve"> in an era of vertically integrated uti</w:t>
      </w:r>
      <w:r w:rsidR="001B3333">
        <w:t>lities, when most utilities filed FER</w:t>
      </w:r>
      <w:r w:rsidR="008A2D68">
        <w:t xml:space="preserve">C Form No. 1s, used the </w:t>
      </w:r>
      <w:r w:rsidRPr="007F7543" w:rsidR="007F7543">
        <w:t>Uniform System of Accounts</w:t>
      </w:r>
      <w:r w:rsidR="008A2D68">
        <w:t xml:space="preserve"> </w:t>
      </w:r>
      <w:r w:rsidR="00E77B57">
        <w:t>(</w:t>
      </w:r>
      <w:r w:rsidR="008A2D68">
        <w:t>USofA</w:t>
      </w:r>
      <w:r w:rsidR="00E77B57">
        <w:t>)</w:t>
      </w:r>
      <w:r w:rsidR="008A2D68">
        <w:t xml:space="preserve"> to classify their costs, and recovered those costs through cost-based rates.</w:t>
      </w:r>
      <w:r>
        <w:rPr>
          <w:rStyle w:val="FootnoteReference"/>
        </w:rPr>
        <w:footnoteReference w:id="167"/>
      </w:r>
      <w:r w:rsidR="00B24879">
        <w:t xml:space="preserve">  Today, however, </w:t>
      </w:r>
      <w:r w:rsidR="008C0178">
        <w:t>most</w:t>
      </w:r>
      <w:r w:rsidR="00996681">
        <w:t xml:space="preserve"> generating </w:t>
      </w:r>
      <w:r w:rsidR="00996681">
        <w:t xml:space="preserve">facilities recover their costs through </w:t>
      </w:r>
      <w:r w:rsidR="00B45523">
        <w:t xml:space="preserve">competitive markets in both RTO/ISO and </w:t>
      </w:r>
      <w:r w:rsidR="000D130F">
        <w:t xml:space="preserve">           </w:t>
      </w:r>
      <w:r w:rsidR="00B45523">
        <w:t>non-RTO/ISO regions</w:t>
      </w:r>
      <w:r w:rsidR="004A41EC">
        <w:t xml:space="preserve">, so the imprecision </w:t>
      </w:r>
      <w:r w:rsidR="003F1D3B">
        <w:t>of the AEP Methodology, the NOPR explained,</w:t>
      </w:r>
      <w:r w:rsidRPr="003F1D3B" w:rsidR="003F1D3B">
        <w:t xml:space="preserve"> becomes more significant because it can lead to arbitrary increases in the utility’s total recovery when cost-based reactive power payments are added to any market recoveries.</w:t>
      </w:r>
      <w:r>
        <w:rPr>
          <w:rStyle w:val="FootnoteReference"/>
        </w:rPr>
        <w:footnoteReference w:id="168"/>
      </w:r>
      <w:r w:rsidR="00237CC0">
        <w:t xml:space="preserve">  The NOPR added that this is especially true when markets fail to account for separate, cost-based reactive power revenues by using standard rate making techniques.</w:t>
      </w:r>
      <w:r>
        <w:rPr>
          <w:rStyle w:val="FootnoteReference"/>
        </w:rPr>
        <w:footnoteReference w:id="169"/>
      </w:r>
    </w:p>
    <w:p w:rsidR="00B03C69" w:rsidRPr="00C06B6B" w:rsidP="000F16E4" w14:paraId="0D5D5B12" w14:textId="721C61B8">
      <w:pPr>
        <w:pStyle w:val="Heading3"/>
        <w:rPr>
          <w:u w:val="single"/>
        </w:rPr>
      </w:pPr>
      <w:bookmarkStart w:id="22" w:name="_bmk9"/>
      <w:bookmarkStart w:id="23" w:name="_Toc175819933"/>
      <w:r w:rsidRPr="00C06B6B">
        <w:rPr>
          <w:u w:val="single"/>
        </w:rPr>
        <w:t>C</w:t>
      </w:r>
      <w:bookmarkEnd w:id="22"/>
      <w:r w:rsidRPr="00C06B6B">
        <w:rPr>
          <w:u w:val="single"/>
        </w:rPr>
        <w:t>omment</w:t>
      </w:r>
      <w:r w:rsidRPr="00C06B6B" w:rsidR="00DE65F7">
        <w:rPr>
          <w:u w:val="single"/>
        </w:rPr>
        <w:t>s</w:t>
      </w:r>
      <w:bookmarkEnd w:id="23"/>
    </w:p>
    <w:p w:rsidR="006E0769" w14:paraId="3BE0F41A" w14:textId="6D5513D6">
      <w:pPr>
        <w:pStyle w:val="FERCparanumber"/>
      </w:pPr>
      <w:r>
        <w:t xml:space="preserve">Many commenters support </w:t>
      </w:r>
      <w:r w:rsidR="0006433F">
        <w:t xml:space="preserve">the </w:t>
      </w:r>
      <w:r w:rsidR="00A21A67">
        <w:t>NOPR’s finding</w:t>
      </w:r>
      <w:r w:rsidR="000B7694">
        <w:t xml:space="preserve"> that </w:t>
      </w:r>
      <w:r w:rsidR="00DE2757">
        <w:t xml:space="preserve">transmission </w:t>
      </w:r>
      <w:r w:rsidR="00F75865">
        <w:t>charges</w:t>
      </w:r>
      <w:r w:rsidR="000B7694">
        <w:t xml:space="preserve"> for </w:t>
      </w:r>
      <w:r w:rsidR="00317D01">
        <w:t>generating facilities’</w:t>
      </w:r>
      <w:r w:rsidR="00F75865">
        <w:t xml:space="preserve"> </w:t>
      </w:r>
      <w:r w:rsidR="00180A6A">
        <w:t xml:space="preserve">provision of </w:t>
      </w:r>
      <w:r w:rsidR="007F5241">
        <w:t>reactive power within the standard power factor range</w:t>
      </w:r>
      <w:r w:rsidR="00180A6A">
        <w:t xml:space="preserve"> </w:t>
      </w:r>
      <w:r w:rsidR="0069395B">
        <w:t>are</w:t>
      </w:r>
      <w:r w:rsidR="00D82904">
        <w:t xml:space="preserve"> unjust and </w:t>
      </w:r>
      <w:r w:rsidR="0066645C">
        <w:t>un</w:t>
      </w:r>
      <w:r w:rsidR="00D82904">
        <w:t>reasonable</w:t>
      </w:r>
      <w:r w:rsidR="00A21A67">
        <w:t>.</w:t>
      </w:r>
      <w:r>
        <w:rPr>
          <w:rStyle w:val="FootnoteReference"/>
        </w:rPr>
        <w:footnoteReference w:id="170"/>
      </w:r>
      <w:r w:rsidR="00A21A67">
        <w:t xml:space="preserve">  </w:t>
      </w:r>
      <w:r w:rsidR="00417957">
        <w:t>Likewise, many</w:t>
      </w:r>
      <w:r w:rsidRPr="00633E6D" w:rsidR="00042482">
        <w:t xml:space="preserve"> commenters</w:t>
      </w:r>
      <w:r w:rsidRPr="00341FF5" w:rsidR="00042482">
        <w:t xml:space="preserve"> </w:t>
      </w:r>
      <w:r w:rsidRPr="00633E6D" w:rsidR="00042482">
        <w:t>support the NOPR’s preliminary finding that generating facilit</w:t>
      </w:r>
      <w:r w:rsidR="00617196">
        <w:t>ies</w:t>
      </w:r>
      <w:r w:rsidRPr="00633E6D" w:rsidR="00042482">
        <w:t xml:space="preserve"> already provide reactive power within the </w:t>
      </w:r>
      <w:r w:rsidRPr="00633E6D" w:rsidR="00042482">
        <w:t xml:space="preserve">standard power factor range at </w:t>
      </w:r>
      <w:r w:rsidRPr="00476A4D" w:rsidR="00042482">
        <w:t>no cost</w:t>
      </w:r>
      <w:r w:rsidRPr="00633E6D" w:rsidR="00042482">
        <w:t xml:space="preserve"> or </w:t>
      </w:r>
      <w:r w:rsidRPr="00FE6824" w:rsidR="00042482">
        <w:rPr>
          <w:i/>
          <w:iCs/>
        </w:rPr>
        <w:t>de minimis</w:t>
      </w:r>
      <w:r w:rsidRPr="00633E6D" w:rsidR="00042482">
        <w:t xml:space="preserve"> cost.</w:t>
      </w:r>
      <w:r>
        <w:rPr>
          <w:rStyle w:val="FootnoteReference"/>
        </w:rPr>
        <w:footnoteReference w:id="171"/>
      </w:r>
      <w:r w:rsidRPr="00633E6D" w:rsidR="00042482">
        <w:t xml:space="preserve"> </w:t>
      </w:r>
      <w:r w:rsidR="00042482">
        <w:t xml:space="preserve"> </w:t>
      </w:r>
      <w:r w:rsidRPr="00877EA4" w:rsidR="00042482">
        <w:t>Ameren and MISO Transmission Owners</w:t>
      </w:r>
      <w:r w:rsidRPr="00877EA4" w:rsidR="00042482">
        <w:t xml:space="preserve"> </w:t>
      </w:r>
      <w:r w:rsidR="00CE4F66">
        <w:t>agree with the NOPR</w:t>
      </w:r>
      <w:r w:rsidRPr="00877EA4" w:rsidR="00BB6A1D">
        <w:t xml:space="preserve"> </w:t>
      </w:r>
      <w:r w:rsidRPr="00877EA4" w:rsidR="00042482">
        <w:t xml:space="preserve">that providing reactive power within the standard power factor range requires little or no cost to generators because the </w:t>
      </w:r>
      <w:r w:rsidRPr="00476A4D" w:rsidR="00042482">
        <w:t>same equipment used</w:t>
      </w:r>
      <w:r w:rsidRPr="00877EA4" w:rsidR="00042482">
        <w:t xml:space="preserve"> to produce real power includes reactive power functions.</w:t>
      </w:r>
      <w:r>
        <w:rPr>
          <w:rStyle w:val="FootnoteReference"/>
        </w:rPr>
        <w:footnoteReference w:id="172"/>
      </w:r>
      <w:r w:rsidRPr="00877EA4" w:rsidR="00042482">
        <w:t xml:space="preserve"> </w:t>
      </w:r>
      <w:r w:rsidR="00CE4F66">
        <w:t xml:space="preserve"> </w:t>
      </w:r>
      <w:r w:rsidR="00337B68">
        <w:t xml:space="preserve">In support, MISO Transmission Owners point to </w:t>
      </w:r>
      <w:r w:rsidRPr="001E63D6" w:rsidR="00B663B4">
        <w:rPr>
          <w:i/>
        </w:rPr>
        <w:t>MISO</w:t>
      </w:r>
      <w:r w:rsidR="00B663B4">
        <w:t xml:space="preserve"> and the </w:t>
      </w:r>
      <w:r w:rsidRPr="0088229C" w:rsidR="00B663B4">
        <w:t>MISO Rehearing Order</w:t>
      </w:r>
      <w:r w:rsidR="00C5612B">
        <w:t xml:space="preserve"> </w:t>
      </w:r>
      <w:r w:rsidR="00B873D8">
        <w:t xml:space="preserve">wherein the Commission </w:t>
      </w:r>
      <w:r w:rsidR="000F30CC">
        <w:t xml:space="preserve">also </w:t>
      </w:r>
      <w:r w:rsidR="00B873D8">
        <w:t>concluded</w:t>
      </w:r>
      <w:r w:rsidR="000A7872">
        <w:t xml:space="preserve"> that</w:t>
      </w:r>
      <w:r w:rsidR="00A22206">
        <w:t xml:space="preserve">, based </w:t>
      </w:r>
      <w:r w:rsidR="007B6237">
        <w:t xml:space="preserve">on </w:t>
      </w:r>
      <w:r w:rsidR="00EB5194">
        <w:t xml:space="preserve">that record, </w:t>
      </w:r>
      <w:r w:rsidRPr="00B873D8" w:rsidR="00B873D8">
        <w:t xml:space="preserve">reactive power service within the </w:t>
      </w:r>
      <w:r w:rsidR="00B873D8">
        <w:t xml:space="preserve">standard power factor range </w:t>
      </w:r>
      <w:r w:rsidRPr="005C112D" w:rsidR="00B873D8">
        <w:t>required little or no incremental investment</w:t>
      </w:r>
      <w:r w:rsidR="00B873D8">
        <w:t xml:space="preserve">.  </w:t>
      </w:r>
      <w:r w:rsidRPr="006056E4" w:rsidR="00190BBE">
        <w:t>MISO Transmission Owners add that, as the Commission found in the MISO Rehearing Order, even newer wind turbines use inverters that allow</w:t>
      </w:r>
      <w:r w:rsidRPr="006056E4" w:rsidR="00042482">
        <w:t xml:space="preserve"> </w:t>
      </w:r>
      <w:r w:rsidRPr="006056E4" w:rsidR="00D63738">
        <w:t xml:space="preserve">generating facilities to </w:t>
      </w:r>
      <w:r w:rsidRPr="006056E4" w:rsidR="00370C30">
        <w:t>produce</w:t>
      </w:r>
      <w:r w:rsidRPr="006056E4" w:rsidR="00D63738">
        <w:t xml:space="preserve"> and control reactive power without costly additional equipment.</w:t>
      </w:r>
      <w:r>
        <w:rPr>
          <w:rStyle w:val="FootnoteReference"/>
        </w:rPr>
        <w:footnoteReference w:id="173"/>
      </w:r>
      <w:r w:rsidR="00D63738">
        <w:t xml:space="preserve"> </w:t>
      </w:r>
      <w:r w:rsidR="00B46F24">
        <w:t xml:space="preserve"> </w:t>
      </w:r>
      <w:r w:rsidR="00A5122D">
        <w:t xml:space="preserve">MISO Transmission </w:t>
      </w:r>
      <w:r w:rsidR="00A5122D">
        <w:t xml:space="preserve">Owners </w:t>
      </w:r>
      <w:r w:rsidR="009359E7">
        <w:t>also</w:t>
      </w:r>
      <w:r w:rsidR="00A5122D">
        <w:t xml:space="preserve"> state that generat</w:t>
      </w:r>
      <w:r w:rsidR="00F02BE7">
        <w:t>ing facility</w:t>
      </w:r>
      <w:r w:rsidR="00A5122D">
        <w:t xml:space="preserve"> equipment </w:t>
      </w:r>
      <w:r w:rsidR="006A2088">
        <w:t xml:space="preserve">typically comes with reactive power capabilities that not only meet the standard range requirements </w:t>
      </w:r>
      <w:r w:rsidR="0054360E">
        <w:t>(</w:t>
      </w:r>
      <w:r w:rsidR="001E315D">
        <w:t xml:space="preserve">i.e., </w:t>
      </w:r>
      <w:r w:rsidR="004A3AAC">
        <w:t>0.95 leading and 0.95 lagging)</w:t>
      </w:r>
      <w:r w:rsidR="006A2088">
        <w:t xml:space="preserve"> but exceed them</w:t>
      </w:r>
      <w:r w:rsidR="00E17FD0">
        <w:t xml:space="preserve"> (e.g., </w:t>
      </w:r>
      <w:r w:rsidR="00DD5F4D">
        <w:t>0.80-0.90)</w:t>
      </w:r>
      <w:r w:rsidR="006A2088">
        <w:t>.</w:t>
      </w:r>
      <w:r>
        <w:rPr>
          <w:rStyle w:val="FootnoteReference"/>
        </w:rPr>
        <w:footnoteReference w:id="174"/>
      </w:r>
      <w:r w:rsidR="006A2088">
        <w:t xml:space="preserve"> </w:t>
      </w:r>
      <w:r w:rsidR="00D12B39">
        <w:t xml:space="preserve"> </w:t>
      </w:r>
      <w:r w:rsidR="00291032">
        <w:t>MISO Transmission Owners argue that s</w:t>
      </w:r>
      <w:r w:rsidR="00B46F24">
        <w:t xml:space="preserve">ince generating facilities </w:t>
      </w:r>
      <w:r w:rsidR="00814C0D">
        <w:t xml:space="preserve">bear </w:t>
      </w:r>
      <w:r w:rsidRPr="00C70260" w:rsidR="00C70260">
        <w:t xml:space="preserve">no </w:t>
      </w:r>
      <w:r w:rsidR="004A5DE4">
        <w:t xml:space="preserve">or </w:t>
      </w:r>
      <w:r w:rsidRPr="00C70260" w:rsidR="00C70260">
        <w:t xml:space="preserve">at most </w:t>
      </w:r>
      <w:r w:rsidRPr="000C129A" w:rsidR="00C70260">
        <w:rPr>
          <w:i/>
        </w:rPr>
        <w:t>de minimis</w:t>
      </w:r>
      <w:r w:rsidRPr="00C70260" w:rsidR="00C70260">
        <w:t xml:space="preserve"> incremental costs</w:t>
      </w:r>
      <w:r w:rsidRPr="00C70260" w:rsidR="00C70260">
        <w:t xml:space="preserve"> </w:t>
      </w:r>
      <w:r w:rsidR="00E916F8">
        <w:t>to provide reactive power within the standard power factor range,</w:t>
      </w:r>
      <w:r w:rsidR="00D8160D">
        <w:t xml:space="preserve"> </w:t>
      </w:r>
      <w:r w:rsidR="001A38B5">
        <w:t xml:space="preserve">one must consider what </w:t>
      </w:r>
      <w:r w:rsidR="00D8160D">
        <w:t xml:space="preserve">the </w:t>
      </w:r>
      <w:r w:rsidR="001A38B5">
        <w:t xml:space="preserve">actual purpose </w:t>
      </w:r>
      <w:r w:rsidR="006F601C">
        <w:t xml:space="preserve">is </w:t>
      </w:r>
      <w:r w:rsidR="00DF1FBB">
        <w:t>o</w:t>
      </w:r>
      <w:r w:rsidR="006519AE">
        <w:t>f</w:t>
      </w:r>
      <w:r w:rsidR="00E00B6B">
        <w:t xml:space="preserve"> compensating generating</w:t>
      </w:r>
      <w:r w:rsidR="006F601C">
        <w:t xml:space="preserve"> facilities </w:t>
      </w:r>
      <w:r w:rsidR="000B3364">
        <w:t xml:space="preserve">for such </w:t>
      </w:r>
      <w:r w:rsidR="00B71161">
        <w:t>service.</w:t>
      </w:r>
      <w:r>
        <w:rPr>
          <w:rStyle w:val="FootnoteReference"/>
        </w:rPr>
        <w:footnoteReference w:id="175"/>
      </w:r>
    </w:p>
    <w:p w:rsidR="00DF2EA1" w:rsidP="008A050D" w14:paraId="37896A99" w14:textId="35F0391E">
      <w:pPr>
        <w:pStyle w:val="FERCparanumber"/>
      </w:pPr>
      <w:r w:rsidRPr="00430716">
        <w:t xml:space="preserve">Joint Customers state that attempts to undermine the NOPR, such as challenging the assertion that incremental costs of providing reactive service </w:t>
      </w:r>
      <w:r w:rsidR="000E3955">
        <w:t xml:space="preserve">within the standard power factor range </w:t>
      </w:r>
      <w:r w:rsidRPr="00430716">
        <w:t xml:space="preserve">are </w:t>
      </w:r>
      <w:r w:rsidRPr="008A050D">
        <w:rPr>
          <w:i/>
          <w:iCs/>
        </w:rPr>
        <w:t>de minimis</w:t>
      </w:r>
      <w:r w:rsidRPr="00430716">
        <w:t>,</w:t>
      </w:r>
      <w:r>
        <w:t xml:space="preserve"> are meritless</w:t>
      </w:r>
      <w:r w:rsidRPr="00430716">
        <w:t>.</w:t>
      </w:r>
      <w:r>
        <w:rPr>
          <w:b/>
          <w:bCs/>
          <w:vertAlign w:val="superscript"/>
        </w:rPr>
        <w:footnoteReference w:id="176"/>
      </w:r>
      <w:r w:rsidRPr="00430716">
        <w:t xml:space="preserve">  Joint Customers argue that the costs incurred by generators to meet interconnection requirements are necessary for safe and reliable grid operations and that arguments against the </w:t>
      </w:r>
      <w:r w:rsidRPr="008A050D">
        <w:rPr>
          <w:i/>
          <w:iCs/>
        </w:rPr>
        <w:t>de minimis</w:t>
      </w:r>
      <w:r w:rsidRPr="00430716">
        <w:t xml:space="preserve"> designation often misrepresent the incremental costs involved in meeting interconnection requirements versus providing additional reactive capability.</w:t>
      </w:r>
      <w:r>
        <w:rPr>
          <w:b/>
          <w:bCs/>
          <w:vertAlign w:val="superscript"/>
        </w:rPr>
        <w:footnoteReference w:id="177"/>
      </w:r>
      <w:r w:rsidRPr="008A050D">
        <w:rPr>
          <w:b/>
          <w:bCs/>
        </w:rPr>
        <w:t xml:space="preserve"> </w:t>
      </w:r>
      <w:r w:rsidRPr="00430716">
        <w:t xml:space="preserve"> Joint Customers note that claims of excessive costs for non-synchronous genera</w:t>
      </w:r>
      <w:r w:rsidRPr="0038781A">
        <w:t xml:space="preserve">tors to comply with power factor requirements are collateral attacks on prior Commission orders, particularly Order </w:t>
      </w:r>
      <w:r w:rsidR="00B2046F">
        <w:t xml:space="preserve">       </w:t>
      </w:r>
      <w:r w:rsidRPr="0038781A">
        <w:t>No. 827.</w:t>
      </w:r>
      <w:r>
        <w:rPr>
          <w:b/>
          <w:bCs/>
          <w:vertAlign w:val="superscript"/>
        </w:rPr>
        <w:footnoteReference w:id="178"/>
      </w:r>
    </w:p>
    <w:p w:rsidR="0001630A" w:rsidP="00DE763D" w14:paraId="68FF6C2E" w14:textId="59B23918">
      <w:pPr>
        <w:pStyle w:val="FERCparanumber"/>
      </w:pPr>
      <w:r>
        <w:t xml:space="preserve">The PJM IMM, MISO Transmission Owners, </w:t>
      </w:r>
      <w:r w:rsidR="00DE6C96">
        <w:t>and several other commenters</w:t>
      </w:r>
      <w:r>
        <w:t xml:space="preserve"> assert that providing reactive power within the standard power factor range is an </w:t>
      </w:r>
      <w:r w:rsidRPr="00DB09AB">
        <w:t>obligation of interconnection and consistent with good utility practice</w:t>
      </w:r>
      <w:r>
        <w:t>.</w:t>
      </w:r>
      <w:r>
        <w:rPr>
          <w:rStyle w:val="FootnoteReference"/>
        </w:rPr>
        <w:footnoteReference w:id="179"/>
      </w:r>
      <w:r>
        <w:t xml:space="preserve">  The PJM IMM </w:t>
      </w:r>
      <w:r w:rsidR="00C03764">
        <w:t xml:space="preserve">asserts that the Commission has a long standing policy </w:t>
      </w:r>
      <w:r w:rsidR="00F20023">
        <w:t xml:space="preserve">that </w:t>
      </w:r>
      <w:r w:rsidRPr="00F20023" w:rsidR="00F20023">
        <w:t>“treats the provision of reactive power inside the [standard power factor range] as an obligation of good utility practice rather than as a compensable service and permits compensation inside the [standard power factor range] only as a function of comparability.”</w:t>
      </w:r>
      <w:r>
        <w:rPr>
          <w:rStyle w:val="FootnoteReference"/>
        </w:rPr>
        <w:footnoteReference w:id="180"/>
      </w:r>
    </w:p>
    <w:p w:rsidR="00DD0A3A" w:rsidP="00DE763D" w14:paraId="31C1286F" w14:textId="2D1567BE">
      <w:pPr>
        <w:pStyle w:val="FERCparanumber"/>
      </w:pPr>
      <w:r>
        <w:t>The PJM IMM states that reactive power is not the only design obligation the generation interconnection customers assume.</w:t>
      </w:r>
      <w:r>
        <w:rPr>
          <w:rStyle w:val="FootnoteReference"/>
        </w:rPr>
        <w:footnoteReference w:id="181"/>
      </w:r>
      <w:r>
        <w:t xml:space="preserve">  The PJM IMM notes, for example, that generating facilities are required to provide primary frequency response capability, but </w:t>
      </w:r>
      <w:r>
        <w:t>the PJM OATT does not provide an out of market payment for such service because it is treated as an obligation assumed by generation interconnection customers for receiving interconnection service.</w:t>
      </w:r>
      <w:r>
        <w:rPr>
          <w:rStyle w:val="FootnoteReference"/>
        </w:rPr>
        <w:footnoteReference w:id="182"/>
      </w:r>
      <w:r w:rsidR="00E97541">
        <w:t xml:space="preserve">  MISO Transmission Owners also point out that </w:t>
      </w:r>
      <w:r w:rsidRPr="003A3CC7" w:rsidR="00E97541">
        <w:t xml:space="preserve">the SEIA, the national trade association for the U.S. solar industry, has acknowledged that reactive power compensation does not affect a generator’s operations and that provision of reactive power within the </w:t>
      </w:r>
      <w:r w:rsidR="00E97541">
        <w:t>standard power factor range</w:t>
      </w:r>
      <w:r w:rsidRPr="003A3CC7" w:rsidR="00E97541">
        <w:t xml:space="preserve"> is required regardless of compensation</w:t>
      </w:r>
      <w:r w:rsidR="00E97541">
        <w:t>.</w:t>
      </w:r>
      <w:r>
        <w:rPr>
          <w:rStyle w:val="FootnoteReference"/>
        </w:rPr>
        <w:footnoteReference w:id="183"/>
      </w:r>
    </w:p>
    <w:p w:rsidR="00F620A3" w:rsidP="00DE763D" w14:paraId="6A5ECEF4" w14:textId="78B38926">
      <w:pPr>
        <w:pStyle w:val="FERCparanumber"/>
      </w:pPr>
      <w:r>
        <w:t xml:space="preserve">Additionally, MISO Transmission Owners agree that </w:t>
      </w:r>
      <w:r w:rsidR="0051138A">
        <w:t xml:space="preserve">the </w:t>
      </w:r>
      <w:r w:rsidRPr="00B2608B">
        <w:t xml:space="preserve">Commission’s line of precedent since Order No. 2003 has required interconnecting generators to be able to provide reactive power within the </w:t>
      </w:r>
      <w:r>
        <w:t>standard power factor range</w:t>
      </w:r>
      <w:r w:rsidRPr="00B2608B">
        <w:t xml:space="preserve"> without compensation, </w:t>
      </w:r>
      <w:r w:rsidRPr="00B2608B">
        <w:t>with few exceptions</w:t>
      </w:r>
      <w:r>
        <w:t>.</w:t>
      </w:r>
      <w:r>
        <w:rPr>
          <w:rStyle w:val="FootnoteReference"/>
        </w:rPr>
        <w:footnoteReference w:id="184"/>
      </w:r>
      <w:r w:rsidRPr="00C5012F">
        <w:t xml:space="preserve"> </w:t>
      </w:r>
      <w:r>
        <w:t xml:space="preserve"> </w:t>
      </w:r>
      <w:r w:rsidR="00940FF7">
        <w:t>MISO Transmission Owners argue</w:t>
      </w:r>
      <w:r>
        <w:t xml:space="preserve"> that </w:t>
      </w:r>
      <w:r w:rsidRPr="00C5012F">
        <w:t xml:space="preserve">generators are </w:t>
      </w:r>
      <w:r w:rsidRPr="008E43F4">
        <w:t>incented by their own reliability requirements</w:t>
      </w:r>
      <w:r w:rsidRPr="00C5012F">
        <w:t xml:space="preserve"> to install the equipment that </w:t>
      </w:r>
      <w:r w:rsidR="0087103C">
        <w:t>will help</w:t>
      </w:r>
      <w:r w:rsidRPr="00C5012F">
        <w:t xml:space="preserve"> keep their projects on-line and delivering real power</w:t>
      </w:r>
      <w:r w:rsidR="00E85272">
        <w:t>,</w:t>
      </w:r>
      <w:r>
        <w:t xml:space="preserve"> and </w:t>
      </w:r>
      <w:r w:rsidRPr="001D403D" w:rsidR="002D5DB5">
        <w:t>that</w:t>
      </w:r>
      <w:r w:rsidR="002D5DB5">
        <w:t xml:space="preserve"> </w:t>
      </w:r>
      <w:r w:rsidR="009B5992">
        <w:t>“</w:t>
      </w:r>
      <w:r>
        <w:t>s</w:t>
      </w:r>
      <w:r w:rsidRPr="00C5012F">
        <w:t>kimping</w:t>
      </w:r>
      <w:r w:rsidR="009B5992">
        <w:t>”</w:t>
      </w:r>
      <w:r w:rsidRPr="00C5012F">
        <w:t xml:space="preserve"> on equipment that can provide reactive power across a range of operating conditions is not in generators’ best operational interests or consistent with good utility practice</w:t>
      </w:r>
      <w:r>
        <w:t>.</w:t>
      </w:r>
      <w:r>
        <w:rPr>
          <w:rStyle w:val="FootnoteReference"/>
        </w:rPr>
        <w:footnoteReference w:id="185"/>
      </w:r>
      <w:r w:rsidRPr="00877EA4" w:rsidR="00042482">
        <w:t xml:space="preserve"> </w:t>
      </w:r>
      <w:r w:rsidR="00584ABB">
        <w:t xml:space="preserve"> MISO Transmission Owners </w:t>
      </w:r>
      <w:r w:rsidR="00B06819">
        <w:t xml:space="preserve">state that </w:t>
      </w:r>
      <w:r w:rsidR="00F74B1C">
        <w:t>generating facilities are also re</w:t>
      </w:r>
      <w:r w:rsidR="00A747B5">
        <w:t xml:space="preserve">quired </w:t>
      </w:r>
      <w:r w:rsidR="00FF7AA6">
        <w:t xml:space="preserve">by </w:t>
      </w:r>
      <w:r w:rsidRPr="009F2932" w:rsidR="009F2932">
        <w:t>the North American Electric Reliability Corporation (</w:t>
      </w:r>
      <w:r w:rsidR="00FF7AA6">
        <w:t>NERC</w:t>
      </w:r>
      <w:r w:rsidR="009F2932">
        <w:t>)</w:t>
      </w:r>
      <w:r w:rsidR="00FF7AA6">
        <w:t xml:space="preserve"> reliability standards to operate in </w:t>
      </w:r>
      <w:r w:rsidR="00ED6B9B">
        <w:t>automatic voltage control mode</w:t>
      </w:r>
      <w:r w:rsidR="00B57FB3">
        <w:t xml:space="preserve"> and maintain a voltage set point provided by the transmission provider.</w:t>
      </w:r>
      <w:r>
        <w:rPr>
          <w:rStyle w:val="FootnoteReference"/>
        </w:rPr>
        <w:footnoteReference w:id="186"/>
      </w:r>
    </w:p>
    <w:p w:rsidR="00042482" w:rsidRPr="00430716" w:rsidP="00042482" w14:paraId="19962D99" w14:textId="557CC131">
      <w:pPr>
        <w:pStyle w:val="FERCparanumber"/>
      </w:pPr>
      <w:r>
        <w:t xml:space="preserve">MISO Transmission Owners </w:t>
      </w:r>
      <w:r w:rsidR="00577F77">
        <w:t xml:space="preserve">and </w:t>
      </w:r>
      <w:r w:rsidR="00DD0A3A">
        <w:t>the</w:t>
      </w:r>
      <w:r w:rsidR="00577F77">
        <w:t xml:space="preserve"> PJM IMM</w:t>
      </w:r>
      <w:r>
        <w:t xml:space="preserve"> agree with the NOPR’s preliminary finding that </w:t>
      </w:r>
      <w:r w:rsidRPr="002F7411">
        <w:t xml:space="preserve">the current reactive power compensation framework allows for undue compensation and potential </w:t>
      </w:r>
      <w:r w:rsidRPr="00BC3E51">
        <w:t>market distortions</w:t>
      </w:r>
      <w:r>
        <w:t>, and they argue that the c</w:t>
      </w:r>
      <w:r w:rsidRPr="00E95613">
        <w:t>urrent compensation framework leads to “black-box” settlement</w:t>
      </w:r>
      <w:r>
        <w:t>s</w:t>
      </w:r>
      <w:r w:rsidRPr="00E95613">
        <w:t xml:space="preserve"> </w:t>
      </w:r>
      <w:r>
        <w:t xml:space="preserve">that </w:t>
      </w:r>
      <w:r w:rsidRPr="00E95613">
        <w:t xml:space="preserve">lack transparency and </w:t>
      </w:r>
      <w:r w:rsidRPr="00E95613">
        <w:t>result in vastly disparate rates</w:t>
      </w:r>
      <w:r>
        <w:t>.</w:t>
      </w:r>
      <w:r>
        <w:rPr>
          <w:rStyle w:val="FootnoteReference"/>
        </w:rPr>
        <w:footnoteReference w:id="187"/>
      </w:r>
      <w:r>
        <w:t xml:space="preserve">  </w:t>
      </w:r>
      <w:r>
        <w:t xml:space="preserve">The </w:t>
      </w:r>
      <w:r w:rsidRPr="00430716">
        <w:t xml:space="preserve">PJM IMM </w:t>
      </w:r>
      <w:r w:rsidR="00BD4532">
        <w:t>argues</w:t>
      </w:r>
      <w:r w:rsidRPr="00430716">
        <w:t xml:space="preserve"> that separately compensating resources based on a judgment</w:t>
      </w:r>
      <w:r>
        <w:t>-</w:t>
      </w:r>
      <w:r w:rsidRPr="00430716">
        <w:t>based allocation of capital costs is not appropriate in the PJM markets.</w:t>
      </w:r>
      <w:r>
        <w:rPr>
          <w:rStyle w:val="FootnoteReference"/>
        </w:rPr>
        <w:footnoteReference w:id="188"/>
      </w:r>
      <w:r w:rsidRPr="00430716">
        <w:t xml:space="preserve"> </w:t>
      </w:r>
      <w:r w:rsidR="00F66474">
        <w:t xml:space="preserve"> </w:t>
      </w:r>
      <w:r>
        <w:t xml:space="preserve">The </w:t>
      </w:r>
      <w:r w:rsidRPr="00430716">
        <w:t>PJM IMM argues that</w:t>
      </w:r>
      <w:r w:rsidR="008D4EC2">
        <w:t xml:space="preserve"> </w:t>
      </w:r>
      <w:r w:rsidRPr="00430716">
        <w:t>cost-of-service compensation for reactive power distorts markets and undermines competition.</w:t>
      </w:r>
      <w:r>
        <w:rPr>
          <w:rStyle w:val="FootnoteReference"/>
        </w:rPr>
        <w:footnoteReference w:id="189"/>
      </w:r>
      <w:r w:rsidRPr="00430716">
        <w:t xml:space="preserve">  </w:t>
      </w:r>
      <w:r>
        <w:t xml:space="preserve">The </w:t>
      </w:r>
      <w:r w:rsidRPr="00430716">
        <w:t xml:space="preserve">PJM IMM </w:t>
      </w:r>
      <w:r w:rsidR="00194A63">
        <w:t>asserts</w:t>
      </w:r>
      <w:r w:rsidR="00F52088">
        <w:t xml:space="preserve"> that the current rules create</w:t>
      </w:r>
      <w:r w:rsidR="00127F09">
        <w:t xml:space="preserve"> </w:t>
      </w:r>
      <w:r w:rsidR="00453540">
        <w:t xml:space="preserve">strong incentives for generating facilities </w:t>
      </w:r>
      <w:r w:rsidR="00020AFD">
        <w:t xml:space="preserve">to attempt to maximize the </w:t>
      </w:r>
      <w:r w:rsidR="008D10D5">
        <w:t>allocation</w:t>
      </w:r>
      <w:r w:rsidR="00020AFD">
        <w:t xml:space="preserve"> of </w:t>
      </w:r>
      <w:r w:rsidR="008D10D5">
        <w:t>capital costs to reactive service in order to maximize guaranteed, non</w:t>
      </w:r>
      <w:r w:rsidR="008F56A9">
        <w:t>market revenues.</w:t>
      </w:r>
      <w:r>
        <w:rPr>
          <w:rStyle w:val="FootnoteReference"/>
        </w:rPr>
        <w:footnoteReference w:id="190"/>
      </w:r>
      <w:r w:rsidR="009324B9">
        <w:t xml:space="preserve">  </w:t>
      </w:r>
      <w:r>
        <w:t xml:space="preserve">The </w:t>
      </w:r>
      <w:r w:rsidRPr="00430716">
        <w:t>PJM IMM claims that there is no reasonable basis for the disparity in the price to customers</w:t>
      </w:r>
      <w:r w:rsidR="00290F19">
        <w:t xml:space="preserve"> from different </w:t>
      </w:r>
      <w:r w:rsidR="00866125">
        <w:t>types of generators</w:t>
      </w:r>
      <w:r w:rsidRPr="00430716">
        <w:t xml:space="preserve"> for the same service and that reactive </w:t>
      </w:r>
      <w:r w:rsidR="00FE449B">
        <w:t xml:space="preserve">power </w:t>
      </w:r>
      <w:r w:rsidRPr="00430716">
        <w:t xml:space="preserve">is a homogeneous product which should have the same price for all sellers.  </w:t>
      </w:r>
      <w:r w:rsidR="00CA51E7">
        <w:t>T</w:t>
      </w:r>
      <w:r>
        <w:t xml:space="preserve">he </w:t>
      </w:r>
      <w:r w:rsidRPr="00430716">
        <w:t xml:space="preserve">PJM IMM notes that the most recent </w:t>
      </w:r>
      <w:r w:rsidR="00957ACC">
        <w:t>reactive power rate</w:t>
      </w:r>
      <w:r w:rsidRPr="00430716">
        <w:t xml:space="preserve"> cases settled prior to issuance of the NOPR have </w:t>
      </w:r>
      <w:r w:rsidRPr="001D403D" w:rsidR="007B1FA5">
        <w:t>resulted in</w:t>
      </w:r>
      <w:r w:rsidR="007B1FA5">
        <w:t xml:space="preserve"> </w:t>
      </w:r>
      <w:r w:rsidRPr="00430716">
        <w:t xml:space="preserve">costs well in excess of the </w:t>
      </w:r>
      <w:r w:rsidRPr="00BF1AAF" w:rsidR="00BF1AAF">
        <w:t>reactive power revenue offset assumed in PJM</w:t>
      </w:r>
      <w:r w:rsidR="00712283">
        <w:t>’</w:t>
      </w:r>
      <w:r w:rsidRPr="00BF1AAF" w:rsidR="00BF1AAF">
        <w:t>s capacity market</w:t>
      </w:r>
      <w:r w:rsidRPr="00430716">
        <w:t>.</w:t>
      </w:r>
      <w:r>
        <w:rPr>
          <w:b/>
          <w:vertAlign w:val="superscript"/>
        </w:rPr>
        <w:footnoteReference w:id="191"/>
      </w:r>
    </w:p>
    <w:p w:rsidR="00042482" w:rsidRPr="00A913DF" w:rsidP="009F59D3" w14:paraId="06BD4421" w14:textId="741F3F5B">
      <w:pPr>
        <w:pStyle w:val="FERCparanumber"/>
        <w:rPr>
          <w:color w:val="538135" w:themeColor="accent6" w:themeShade="BF"/>
        </w:rPr>
      </w:pPr>
      <w:r>
        <w:t>Many</w:t>
      </w:r>
      <w:r w:rsidR="00E411C2">
        <w:t xml:space="preserve"> other</w:t>
      </w:r>
      <w:r w:rsidR="00A37755">
        <w:t xml:space="preserve"> commenters</w:t>
      </w:r>
      <w:r w:rsidR="00F1331E">
        <w:t>, in contrast,</w:t>
      </w:r>
      <w:r w:rsidRPr="00651663" w:rsidR="006B17DC">
        <w:t xml:space="preserve"> </w:t>
      </w:r>
      <w:r w:rsidRPr="00651663">
        <w:t>challenge the Commission</w:t>
      </w:r>
      <w:r w:rsidR="00810874">
        <w:t>’</w:t>
      </w:r>
      <w:r w:rsidRPr="00651663">
        <w:t>s</w:t>
      </w:r>
      <w:r w:rsidRPr="00651663">
        <w:t xml:space="preserve"> </w:t>
      </w:r>
      <w:r w:rsidR="00F2308D">
        <w:t>preliminary finding</w:t>
      </w:r>
      <w:r w:rsidRPr="00651663">
        <w:t xml:space="preserve"> that providing reactive power within the standard power factor range </w:t>
      </w:r>
      <w:r w:rsidR="00E702AE">
        <w:t>has</w:t>
      </w:r>
      <w:r w:rsidRPr="00651663">
        <w:t xml:space="preserve"> no or </w:t>
      </w:r>
      <w:r w:rsidR="003428D4">
        <w:t xml:space="preserve">  </w:t>
      </w:r>
      <w:r w:rsidRPr="00651663">
        <w:rPr>
          <w:i/>
          <w:iCs/>
        </w:rPr>
        <w:t>de minimis</w:t>
      </w:r>
      <w:r w:rsidRPr="00651663">
        <w:t xml:space="preserve"> costs.</w:t>
      </w:r>
      <w:r>
        <w:rPr>
          <w:rStyle w:val="FootnoteReference"/>
        </w:rPr>
        <w:footnoteReference w:id="192"/>
      </w:r>
      <w:r w:rsidRPr="00651663">
        <w:t xml:space="preserve"> </w:t>
      </w:r>
      <w:r>
        <w:t xml:space="preserve"> </w:t>
      </w:r>
      <w:r w:rsidRPr="00FD68DB">
        <w:t xml:space="preserve">The Indicated Trade Associations and Generation Developers emphasize that the </w:t>
      </w:r>
      <w:r w:rsidRPr="00642D19">
        <w:t>costs of equipment and production</w:t>
      </w:r>
      <w:r w:rsidRPr="00FD68DB">
        <w:t xml:space="preserve"> associated with reactive power, particularly for renewable resources, are substantial and involve significant capital investments.</w:t>
      </w:r>
      <w:r>
        <w:rPr>
          <w:rStyle w:val="FootnoteReference"/>
        </w:rPr>
        <w:footnoteReference w:id="193"/>
      </w:r>
      <w:r>
        <w:rPr>
          <w:color w:val="538135" w:themeColor="accent6" w:themeShade="BF"/>
        </w:rPr>
        <w:t xml:space="preserve"> </w:t>
      </w:r>
      <w:r w:rsidR="00D7244A">
        <w:rPr>
          <w:color w:val="538135" w:themeColor="accent6" w:themeShade="BF"/>
        </w:rPr>
        <w:t xml:space="preserve"> </w:t>
      </w:r>
      <w:r w:rsidRPr="00FD68DB" w:rsidR="005A25A8">
        <w:t>Indicated Reactive Power Suppliers</w:t>
      </w:r>
      <w:r w:rsidR="005A25A8">
        <w:t>,</w:t>
      </w:r>
      <w:r w:rsidRPr="00FD68DB" w:rsidR="005A25A8">
        <w:t xml:space="preserve"> NE</w:t>
      </w:r>
      <w:r w:rsidR="005A25A8">
        <w:t>PG</w:t>
      </w:r>
      <w:r w:rsidRPr="00FD68DB" w:rsidR="005A25A8">
        <w:t>A</w:t>
      </w:r>
      <w:r w:rsidR="005A25A8">
        <w:t>,</w:t>
      </w:r>
      <w:r w:rsidRPr="00FD68DB" w:rsidR="005A25A8">
        <w:t xml:space="preserve"> and Reactive Service Providers assert that eliminating compensation for reactive power within the standard power factor range is unjust and unreasonable, given the </w:t>
      </w:r>
      <w:r w:rsidRPr="00BA3797" w:rsidR="005A25A8">
        <w:t>substantial capital costs incurred by generators</w:t>
      </w:r>
      <w:r w:rsidRPr="00FD68DB" w:rsidR="005A25A8">
        <w:t>.</w:t>
      </w:r>
      <w:r>
        <w:rPr>
          <w:rStyle w:val="FootnoteReference"/>
        </w:rPr>
        <w:footnoteReference w:id="194"/>
      </w:r>
      <w:r w:rsidRPr="00FD68DB">
        <w:t xml:space="preserve"> </w:t>
      </w:r>
      <w:r w:rsidR="002848A0">
        <w:t xml:space="preserve"> </w:t>
      </w:r>
      <w:r w:rsidRPr="00FD68DB">
        <w:t>They argue that the NOPR</w:t>
      </w:r>
      <w:r w:rsidR="00963183">
        <w:t>’s proposal</w:t>
      </w:r>
      <w:r w:rsidRPr="00FD68DB">
        <w:t xml:space="preserve"> fails to account for </w:t>
      </w:r>
      <w:r w:rsidRPr="00504C1D">
        <w:t xml:space="preserve">these costs </w:t>
      </w:r>
      <w:r w:rsidRPr="00504C1D" w:rsidR="00963183">
        <w:t xml:space="preserve">as </w:t>
      </w:r>
      <w:r w:rsidRPr="00504C1D" w:rsidR="00963183">
        <w:t xml:space="preserve">well as </w:t>
      </w:r>
      <w:r w:rsidRPr="00504C1D">
        <w:t>for lost opportunities for real power generation and renewable energy credits</w:t>
      </w:r>
      <w:r w:rsidRPr="00FD68DB">
        <w:t>.</w:t>
      </w:r>
      <w:r>
        <w:rPr>
          <w:b/>
          <w:bCs/>
          <w:vertAlign w:val="superscript"/>
        </w:rPr>
        <w:footnoteReference w:id="195"/>
      </w:r>
      <w:r w:rsidR="00F20310">
        <w:t xml:space="preserve">  </w:t>
      </w:r>
      <w:r w:rsidRPr="00FD68DB">
        <w:t>They assert that the Commission’s proposal is inconsistent with the FPA</w:t>
      </w:r>
      <w:r w:rsidR="00237B0B">
        <w:t>’s</w:t>
      </w:r>
      <w:r w:rsidRPr="00FD68DB">
        <w:t xml:space="preserve"> purpose of ensuring just and reasonable returns on investment, particularly for inverter-based resources, which incur distinct incremental costs for reactive power provision.</w:t>
      </w:r>
      <w:r>
        <w:rPr>
          <w:rStyle w:val="FootnoteReference"/>
        </w:rPr>
        <w:footnoteReference w:id="196"/>
      </w:r>
    </w:p>
    <w:p w:rsidR="00FF1313" w:rsidRPr="00FF1313" w:rsidP="00FF1313" w14:paraId="00DCE563" w14:textId="24020C8B">
      <w:pPr>
        <w:pStyle w:val="FERCparanumber"/>
      </w:pPr>
      <w:r>
        <w:t>Some</w:t>
      </w:r>
      <w:r>
        <w:t xml:space="preserve"> comment</w:t>
      </w:r>
      <w:r>
        <w:t>er</w:t>
      </w:r>
      <w:r>
        <w:t>s</w:t>
      </w:r>
      <w:r w:rsidR="004D33BC">
        <w:t xml:space="preserve"> </w:t>
      </w:r>
      <w:r>
        <w:t xml:space="preserve">argue that there is an insufficient legal foundation under </w:t>
      </w:r>
      <w:r w:rsidR="003428D4">
        <w:t xml:space="preserve">  </w:t>
      </w:r>
      <w:r>
        <w:t>section 206 of the FPA to demonstrate that all existing reactive power rates are unjust and unreasonable.</w:t>
      </w:r>
      <w:r>
        <w:rPr>
          <w:rStyle w:val="FootnoteReference"/>
        </w:rPr>
        <w:footnoteReference w:id="197"/>
      </w:r>
      <w:r>
        <w:t xml:space="preserve">  Generation Developers assert that the fact that many generators are required to provide reactive power as a condition of receiving interconnection service and consistent with good utility practice does not provide a basis for concluding that the compensation received by generating facilities is unjust and unreasonable.</w:t>
      </w:r>
      <w:r>
        <w:rPr>
          <w:rStyle w:val="FootnoteReference"/>
        </w:rPr>
        <w:footnoteReference w:id="198"/>
      </w:r>
      <w:r>
        <w:t xml:space="preserve">  Generation Developers assert that the Commission’s reasoning improperly assumes that generating facilities investing in reactive power capability are not performing a service that benefits the </w:t>
      </w:r>
      <w:r w:rsidR="00C00B3C">
        <w:t>transmission system</w:t>
      </w:r>
      <w:r w:rsidRPr="00197F63">
        <w:t>, but is instead only needed to support their own deliveries.</w:t>
      </w:r>
      <w:r>
        <w:rPr>
          <w:rStyle w:val="FootnoteReference"/>
        </w:rPr>
        <w:footnoteReference w:id="199"/>
      </w:r>
      <w:r w:rsidRPr="00197F63">
        <w:t xml:space="preserve">  </w:t>
      </w:r>
      <w:r w:rsidRPr="00197F63">
        <w:t>Generation Devel</w:t>
      </w:r>
      <w:r>
        <w:t>opers assert that the NOPR’s categorical determination that the just and reasonable reactive power rate is zero, and thus all reactive rates that are not zero are unjust and unreasonable, fails to comply with the requirements of section 206 of the FPA.</w:t>
      </w:r>
      <w:r>
        <w:rPr>
          <w:rStyle w:val="FootnoteReference"/>
        </w:rPr>
        <w:footnoteReference w:id="200"/>
      </w:r>
      <w:r>
        <w:t xml:space="preserve">  NEI adds that the Commission failed to meet its section 206 burden because the NOPR does not offer substantial evidence that reactive power costs are zero or minimal, cost allocation is inappropriate, or reducing reactive power compensation to zero would allow generators to recover their costs, plus a reasonable rate of return.</w:t>
      </w:r>
      <w:r>
        <w:rPr>
          <w:rStyle w:val="FootnoteReference"/>
        </w:rPr>
        <w:footnoteReference w:id="201"/>
      </w:r>
    </w:p>
    <w:p w:rsidR="00156B40" w:rsidRPr="00504C1D" w:rsidP="009F59D3" w14:paraId="2A8CE153" w14:textId="7E7632D5">
      <w:pPr>
        <w:pStyle w:val="FERCparanumber"/>
      </w:pPr>
      <w:r w:rsidRPr="00504C1D">
        <w:t>Generation Developers</w:t>
      </w:r>
      <w:r w:rsidRPr="00504C1D" w:rsidR="004D33BC">
        <w:t xml:space="preserve"> </w:t>
      </w:r>
      <w:r w:rsidRPr="00504C1D">
        <w:t xml:space="preserve">assert that the Commission </w:t>
      </w:r>
      <w:r w:rsidRPr="00504C1D" w:rsidR="00045E2E">
        <w:t>ignore</w:t>
      </w:r>
      <w:r w:rsidRPr="00504C1D" w:rsidR="00D51D9B">
        <w:t>s well</w:t>
      </w:r>
      <w:r w:rsidRPr="00504C1D" w:rsidR="007C52EA">
        <w:t>-</w:t>
      </w:r>
      <w:r w:rsidRPr="00504C1D" w:rsidR="00D51D9B">
        <w:t xml:space="preserve">documented </w:t>
      </w:r>
      <w:r w:rsidRPr="00504C1D" w:rsidR="007C52EA">
        <w:t>evidence</w:t>
      </w:r>
      <w:r w:rsidRPr="00504C1D" w:rsidR="00D51D9B">
        <w:t xml:space="preserve"> that </w:t>
      </w:r>
      <w:r w:rsidRPr="00504C1D" w:rsidR="00083DF5">
        <w:t xml:space="preserve">certain types of generating facilities, </w:t>
      </w:r>
      <w:r w:rsidRPr="00504C1D" w:rsidR="00463A92">
        <w:t>namely</w:t>
      </w:r>
      <w:r w:rsidRPr="00504C1D" w:rsidR="00D51D9B">
        <w:t xml:space="preserve"> </w:t>
      </w:r>
      <w:r w:rsidRPr="00504C1D" w:rsidR="000351E5">
        <w:t xml:space="preserve">inverter-based </w:t>
      </w:r>
      <w:r w:rsidRPr="00504C1D" w:rsidR="00463A92">
        <w:t xml:space="preserve">generating facilities, incur distinct, incremental costs </w:t>
      </w:r>
      <w:r w:rsidRPr="00504C1D" w:rsidR="00793701">
        <w:t>associated with providing reactive power.</w:t>
      </w:r>
      <w:r>
        <w:rPr>
          <w:rStyle w:val="FootnoteReference"/>
        </w:rPr>
        <w:footnoteReference w:id="202"/>
      </w:r>
      <w:r w:rsidRPr="00504C1D" w:rsidR="002B1DF5">
        <w:t xml:space="preserve"> </w:t>
      </w:r>
      <w:r w:rsidRPr="00504C1D" w:rsidR="005C48FD">
        <w:t xml:space="preserve"> Generation Developers assert that, when the Commission first</w:t>
      </w:r>
      <w:r w:rsidRPr="00504C1D" w:rsidR="002B1DF5">
        <w:t xml:space="preserve"> </w:t>
      </w:r>
      <w:r w:rsidRPr="00504C1D" w:rsidR="00E40E14">
        <w:t xml:space="preserve">required that </w:t>
      </w:r>
      <w:r w:rsidRPr="00504C1D" w:rsidR="00373D74">
        <w:t xml:space="preserve">generating </w:t>
      </w:r>
      <w:r w:rsidRPr="00504C1D" w:rsidR="00695B20">
        <w:t>facilities</w:t>
      </w:r>
      <w:r w:rsidRPr="00504C1D" w:rsidR="00E40E14">
        <w:t xml:space="preserve"> be capable of supplying reactive power within the standard power factor range in Order No. 2003, it </w:t>
      </w:r>
      <w:r w:rsidRPr="00504C1D" w:rsidR="00695B20">
        <w:t>explicitly</w:t>
      </w:r>
      <w:r w:rsidRPr="00504C1D" w:rsidR="00E40E14">
        <w:t xml:space="preserve"> exempted </w:t>
      </w:r>
      <w:r w:rsidRPr="00504C1D" w:rsidR="001B3AB8">
        <w:t>wind generating facilities from that</w:t>
      </w:r>
      <w:r w:rsidRPr="00504C1D" w:rsidR="00E40E14">
        <w:t xml:space="preserve"> </w:t>
      </w:r>
      <w:r w:rsidRPr="00504C1D" w:rsidR="00695B20">
        <w:t>requirement</w:t>
      </w:r>
      <w:r w:rsidRPr="00504C1D" w:rsidR="002B1DF5">
        <w:t xml:space="preserve"> </w:t>
      </w:r>
      <w:r w:rsidRPr="00504C1D" w:rsidR="00B87DAD">
        <w:t xml:space="preserve">because </w:t>
      </w:r>
      <w:r w:rsidRPr="00504C1D" w:rsidR="00BA19A7">
        <w:t xml:space="preserve">most wind generators could not </w:t>
      </w:r>
      <w:r w:rsidRPr="00504C1D" w:rsidR="00F74F2D">
        <w:t>maintain the power factor range</w:t>
      </w:r>
      <w:r w:rsidRPr="00504C1D" w:rsidR="002962EA">
        <w:t>.</w:t>
      </w:r>
      <w:r>
        <w:rPr>
          <w:rStyle w:val="FootnoteReference"/>
        </w:rPr>
        <w:footnoteReference w:id="203"/>
      </w:r>
      <w:r w:rsidRPr="00504C1D" w:rsidR="002B1DF5">
        <w:t xml:space="preserve"> </w:t>
      </w:r>
      <w:r w:rsidRPr="00504C1D" w:rsidR="00935246">
        <w:t xml:space="preserve"> Generation Developers state that the Commission also generally exempted wind generators from </w:t>
      </w:r>
      <w:r w:rsidRPr="00504C1D" w:rsidR="00935246">
        <w:t>operating within the standard power factor range in Order No. 661</w:t>
      </w:r>
      <w:r w:rsidRPr="00504C1D" w:rsidR="00BA2CF3">
        <w:t xml:space="preserve"> because “for wind plants, reactive power capability is a significant added cost</w:t>
      </w:r>
      <w:r w:rsidRPr="00504C1D" w:rsidR="00944754">
        <w:t>.”</w:t>
      </w:r>
      <w:r>
        <w:rPr>
          <w:rStyle w:val="FootnoteReference"/>
        </w:rPr>
        <w:footnoteReference w:id="204"/>
      </w:r>
      <w:r w:rsidRPr="00504C1D" w:rsidR="002B1DF5">
        <w:t xml:space="preserve"> </w:t>
      </w:r>
      <w:r w:rsidRPr="00504C1D" w:rsidR="00895FBA">
        <w:t xml:space="preserve"> </w:t>
      </w:r>
      <w:r w:rsidRPr="00504C1D" w:rsidR="00682ADD">
        <w:t xml:space="preserve">Generation Developers assert that </w:t>
      </w:r>
      <w:r w:rsidRPr="00504C1D" w:rsidR="00FB5A15">
        <w:t>while</w:t>
      </w:r>
      <w:r w:rsidRPr="00504C1D" w:rsidR="00682ADD">
        <w:t xml:space="preserve"> the Commission removed this exemption in Order No. 827</w:t>
      </w:r>
      <w:r>
        <w:rPr>
          <w:rStyle w:val="FootnoteReference"/>
        </w:rPr>
        <w:footnoteReference w:id="205"/>
      </w:r>
      <w:r w:rsidRPr="00504C1D" w:rsidR="009E532F">
        <w:t xml:space="preserve"> after finding that technological advancements</w:t>
      </w:r>
      <w:r w:rsidRPr="00504C1D" w:rsidR="00682ADD">
        <w:t xml:space="preserve"> </w:t>
      </w:r>
      <w:r w:rsidRPr="00504C1D" w:rsidR="00B75C91">
        <w:t>made it so</w:t>
      </w:r>
      <w:r w:rsidRPr="00504C1D" w:rsidR="00413F7A">
        <w:t xml:space="preserve"> the cost of reactive power </w:t>
      </w:r>
      <w:r w:rsidRPr="00504C1D" w:rsidR="00AC519A">
        <w:t>no long</w:t>
      </w:r>
      <w:r w:rsidRPr="00504C1D" w:rsidR="00B12449">
        <w:t>er</w:t>
      </w:r>
      <w:r w:rsidRPr="00504C1D" w:rsidR="00AC519A">
        <w:t xml:space="preserve"> presented an obstacle to the development of wind generation</w:t>
      </w:r>
      <w:r w:rsidRPr="00504C1D" w:rsidR="00167A00">
        <w:t>,</w:t>
      </w:r>
      <w:r w:rsidRPr="00504C1D" w:rsidR="00AC3E0B">
        <w:t xml:space="preserve"> </w:t>
      </w:r>
      <w:r w:rsidRPr="00504C1D" w:rsidR="00004984">
        <w:t>it “notably did not find that</w:t>
      </w:r>
      <w:r w:rsidRPr="00504C1D" w:rsidR="007247F1">
        <w:t xml:space="preserve"> </w:t>
      </w:r>
      <w:r w:rsidRPr="00504C1D" w:rsidR="00CA3249">
        <w:t>there were no such costs</w:t>
      </w:r>
      <w:r w:rsidRPr="00504C1D" w:rsidR="001C3D06">
        <w:t xml:space="preserve"> or even </w:t>
      </w:r>
      <w:r w:rsidRPr="00504C1D" w:rsidR="001C3D06">
        <w:rPr>
          <w:i/>
        </w:rPr>
        <w:t xml:space="preserve">de minimis </w:t>
      </w:r>
      <w:r w:rsidRPr="00504C1D" w:rsidR="001C3D06">
        <w:t xml:space="preserve">costs associated with the provision of reactive power by </w:t>
      </w:r>
      <w:r w:rsidRPr="00504C1D" w:rsidR="00F62D9C">
        <w:t>wind resources.”</w:t>
      </w:r>
      <w:r>
        <w:rPr>
          <w:rStyle w:val="FootnoteReference"/>
        </w:rPr>
        <w:footnoteReference w:id="206"/>
      </w:r>
      <w:r w:rsidRPr="00504C1D" w:rsidR="00176085">
        <w:t xml:space="preserve"> </w:t>
      </w:r>
      <w:r w:rsidRPr="00504C1D" w:rsidR="00F6528C">
        <w:t xml:space="preserve"> </w:t>
      </w:r>
      <w:r w:rsidRPr="00504C1D" w:rsidR="00E05C6A">
        <w:t xml:space="preserve">Instead, Generation Developers argue that the Commission </w:t>
      </w:r>
      <w:r w:rsidRPr="00504C1D" w:rsidR="002F31EA">
        <w:t xml:space="preserve">removed this exemption based on </w:t>
      </w:r>
      <w:r w:rsidRPr="00504C1D" w:rsidR="00B7682C">
        <w:t xml:space="preserve">its finding that </w:t>
      </w:r>
      <w:r w:rsidRPr="00504C1D" w:rsidR="00B370FF">
        <w:t xml:space="preserve">imposing an obligation on non-synchronous generating facilities </w:t>
      </w:r>
      <w:r w:rsidRPr="00504C1D" w:rsidR="00AE59D2">
        <w:t>to provide reactive power within the standard pow</w:t>
      </w:r>
      <w:r w:rsidRPr="00504C1D" w:rsidR="00B12449">
        <w:t>e</w:t>
      </w:r>
      <w:r w:rsidRPr="00504C1D" w:rsidR="00AE59D2">
        <w:t xml:space="preserve">r factor range </w:t>
      </w:r>
      <w:r w:rsidRPr="00504C1D" w:rsidR="00063261">
        <w:t>was necessary to support transmission service and reliability.</w:t>
      </w:r>
      <w:r>
        <w:rPr>
          <w:rStyle w:val="FootnoteReference"/>
        </w:rPr>
        <w:footnoteReference w:id="207"/>
      </w:r>
      <w:r w:rsidRPr="00504C1D" w:rsidR="00F018AF">
        <w:t xml:space="preserve">  </w:t>
      </w:r>
      <w:r w:rsidRPr="00504C1D" w:rsidR="001F1DB1">
        <w:t xml:space="preserve">Generation Developers </w:t>
      </w:r>
      <w:r w:rsidRPr="00504C1D" w:rsidR="00951622">
        <w:t>a</w:t>
      </w:r>
      <w:r w:rsidRPr="00504C1D" w:rsidR="004D0280">
        <w:t>dd</w:t>
      </w:r>
      <w:r w:rsidRPr="00504C1D" w:rsidR="00951622">
        <w:t xml:space="preserve"> that</w:t>
      </w:r>
      <w:r w:rsidRPr="00504C1D" w:rsidR="00B9052B">
        <w:t>, even if costs have declined over the years</w:t>
      </w:r>
      <w:r w:rsidRPr="00504C1D" w:rsidR="00945EB0">
        <w:t xml:space="preserve">, the Commission </w:t>
      </w:r>
      <w:r w:rsidRPr="00504C1D" w:rsidR="00703F31">
        <w:t>has</w:t>
      </w:r>
      <w:r w:rsidRPr="00504C1D" w:rsidR="00945EB0">
        <w:t xml:space="preserve"> not demonstrate</w:t>
      </w:r>
      <w:r w:rsidRPr="00504C1D" w:rsidR="00703F31">
        <w:t>d</w:t>
      </w:r>
      <w:r w:rsidRPr="00504C1D" w:rsidR="00945EB0">
        <w:t xml:space="preserve"> that it would be just and reasonable to </w:t>
      </w:r>
      <w:r w:rsidRPr="00504C1D" w:rsidR="001D77D1">
        <w:t xml:space="preserve">nullify the rate schedules of facilities that came online years before the </w:t>
      </w:r>
      <w:r w:rsidRPr="00705808" w:rsidR="001D77D1">
        <w:t>techn</w:t>
      </w:r>
      <w:r w:rsidRPr="00CE6C02" w:rsidR="008E3417">
        <w:t>olog</w:t>
      </w:r>
      <w:r w:rsidRPr="00705808" w:rsidR="001D77D1">
        <w:t>ical</w:t>
      </w:r>
      <w:r w:rsidRPr="00504C1D" w:rsidR="001D77D1">
        <w:t xml:space="preserve"> advancements referenced in Order No. 827</w:t>
      </w:r>
      <w:r w:rsidRPr="00504C1D" w:rsidR="00951832">
        <w:t xml:space="preserve"> and had to mak</w:t>
      </w:r>
      <w:r w:rsidRPr="00504C1D" w:rsidR="004D0280">
        <w:t>e incremental investments to its facility to produce reactive power within the standard power factor range</w:t>
      </w:r>
      <w:r w:rsidRPr="00504C1D" w:rsidR="001D77D1">
        <w:t>.</w:t>
      </w:r>
      <w:r>
        <w:rPr>
          <w:rStyle w:val="FootnoteReference"/>
        </w:rPr>
        <w:footnoteReference w:id="208"/>
      </w:r>
    </w:p>
    <w:p w:rsidR="00676F24" w:rsidRPr="00504C1D" w:rsidP="009F59D3" w14:paraId="3720161B" w14:textId="57DFD841">
      <w:pPr>
        <w:pStyle w:val="FERCparanumber"/>
      </w:pPr>
      <w:r w:rsidRPr="00504C1D">
        <w:t xml:space="preserve">Generation Developers </w:t>
      </w:r>
      <w:r w:rsidRPr="00504C1D" w:rsidR="008E365E">
        <w:t>argue</w:t>
      </w:r>
      <w:r w:rsidRPr="00504C1D">
        <w:t xml:space="preserve"> that the </w:t>
      </w:r>
      <w:r w:rsidRPr="007C283A" w:rsidR="00410EA4">
        <w:t>201</w:t>
      </w:r>
      <w:r w:rsidRPr="007C283A" w:rsidR="0033055F">
        <w:t>4</w:t>
      </w:r>
      <w:r w:rsidRPr="007C283A" w:rsidR="007064ED">
        <w:t xml:space="preserve"> Staff Report</w:t>
      </w:r>
      <w:r w:rsidRPr="00504C1D" w:rsidR="007064ED">
        <w:t xml:space="preserve"> </w:t>
      </w:r>
      <w:r w:rsidRPr="00504C1D" w:rsidR="000620E7">
        <w:t xml:space="preserve">is the </w:t>
      </w:r>
      <w:r w:rsidRPr="00504C1D">
        <w:t xml:space="preserve">most </w:t>
      </w:r>
      <w:r w:rsidRPr="00504C1D" w:rsidR="00ED030A">
        <w:t xml:space="preserve">recent </w:t>
      </w:r>
      <w:r w:rsidRPr="00504C1D" w:rsidR="00BB7255">
        <w:t xml:space="preserve">and comprehensive </w:t>
      </w:r>
      <w:r w:rsidRPr="00504C1D" w:rsidR="00DB2793">
        <w:t>evidence</w:t>
      </w:r>
      <w:r w:rsidRPr="00504C1D" w:rsidR="00EE59FE">
        <w:t xml:space="preserve"> on the costs </w:t>
      </w:r>
      <w:r w:rsidRPr="00504C1D" w:rsidR="001E7B4D">
        <w:t>that</w:t>
      </w:r>
      <w:r w:rsidRPr="00504C1D" w:rsidR="00EE59FE">
        <w:t xml:space="preserve"> non</w:t>
      </w:r>
      <w:r w:rsidR="00630C79">
        <w:t>-</w:t>
      </w:r>
      <w:r w:rsidRPr="00504C1D" w:rsidR="00EE59FE">
        <w:t>synchronous generating facilities incur</w:t>
      </w:r>
      <w:r w:rsidRPr="00504C1D" w:rsidR="00DB2793">
        <w:t xml:space="preserve"> </w:t>
      </w:r>
      <w:r w:rsidRPr="00504C1D" w:rsidR="00A91F41">
        <w:t>in providing reactive power</w:t>
      </w:r>
      <w:r w:rsidRPr="00504C1D" w:rsidR="0033055F">
        <w:t>.</w:t>
      </w:r>
      <w:r>
        <w:rPr>
          <w:rStyle w:val="FootnoteReference"/>
        </w:rPr>
        <w:footnoteReference w:id="209"/>
      </w:r>
      <w:r w:rsidRPr="00504C1D" w:rsidR="00DB2793">
        <w:t xml:space="preserve"> </w:t>
      </w:r>
      <w:r w:rsidRPr="00504C1D" w:rsidR="0072171A">
        <w:t xml:space="preserve"> </w:t>
      </w:r>
      <w:r w:rsidRPr="00504C1D" w:rsidR="00E36AD7">
        <w:t xml:space="preserve">Generation Developers assert that </w:t>
      </w:r>
      <w:r w:rsidRPr="00504C1D" w:rsidR="00DB4E43">
        <w:t xml:space="preserve">the NOPR </w:t>
      </w:r>
      <w:r w:rsidRPr="00504C1D" w:rsidR="00EC6A6F">
        <w:t>does</w:t>
      </w:r>
      <w:r w:rsidRPr="00504C1D" w:rsidR="00DB4E43">
        <w:t xml:space="preserve"> not provide any e</w:t>
      </w:r>
      <w:r w:rsidRPr="00504C1D" w:rsidR="007217AA">
        <w:t>vidence</w:t>
      </w:r>
      <w:r w:rsidRPr="00504C1D" w:rsidR="00DB4E43">
        <w:t xml:space="preserve"> to </w:t>
      </w:r>
      <w:r w:rsidRPr="00504C1D" w:rsidR="007217AA">
        <w:t>support</w:t>
      </w:r>
      <w:r w:rsidRPr="00504C1D" w:rsidR="00EC6A6F">
        <w:t xml:space="preserve"> </w:t>
      </w:r>
      <w:r w:rsidRPr="00504C1D" w:rsidR="000F3E67">
        <w:t>that the costs of providing reactive power have changed since the Commission’s observations in the 2014 Staff Report</w:t>
      </w:r>
      <w:r w:rsidRPr="00CE6C02" w:rsidR="00FE4F60">
        <w:t>,</w:t>
      </w:r>
      <w:r w:rsidRPr="00504C1D" w:rsidR="00067B86">
        <w:t xml:space="preserve"> but instead </w:t>
      </w:r>
      <w:r w:rsidRPr="00504C1D" w:rsidR="00D765B7">
        <w:t>relies on</w:t>
      </w:r>
      <w:r w:rsidRPr="00504C1D" w:rsidR="001F19B5">
        <w:t xml:space="preserve"> a rehearing order </w:t>
      </w:r>
      <w:r w:rsidRPr="00504C1D" w:rsidR="00D8313D">
        <w:t xml:space="preserve">in a proceeding concerning the MISO </w:t>
      </w:r>
      <w:r w:rsidR="00CC1C8E">
        <w:t>t</w:t>
      </w:r>
      <w:r w:rsidRPr="00504C1D" w:rsidR="00D8313D">
        <w:t xml:space="preserve">ransmission owners’ proposal to eliminate reactive power compensation within the </w:t>
      </w:r>
      <w:r w:rsidRPr="00504C1D" w:rsidR="00F81580">
        <w:t>standard power factor range</w:t>
      </w:r>
      <w:r w:rsidRPr="00504C1D" w:rsidR="00D8313D">
        <w:t xml:space="preserve"> for the proposition that non-synchronous generating facilities have no or </w:t>
      </w:r>
      <w:r w:rsidRPr="00504C1D" w:rsidR="00D8313D">
        <w:rPr>
          <w:i/>
        </w:rPr>
        <w:t>de minimis</w:t>
      </w:r>
      <w:r w:rsidRPr="00504C1D" w:rsidR="00D8313D">
        <w:t xml:space="preserve"> costs</w:t>
      </w:r>
      <w:r w:rsidRPr="00504C1D" w:rsidR="00124CEC">
        <w:t>.</w:t>
      </w:r>
      <w:r>
        <w:rPr>
          <w:rStyle w:val="FootnoteReference"/>
        </w:rPr>
        <w:footnoteReference w:id="210"/>
      </w:r>
      <w:r w:rsidRPr="00504C1D" w:rsidR="000F3E67">
        <w:t xml:space="preserve">  </w:t>
      </w:r>
      <w:r w:rsidRPr="00504C1D" w:rsidR="00C152B7">
        <w:t xml:space="preserve">Generation Developers assert that </w:t>
      </w:r>
      <w:r w:rsidRPr="00504C1D" w:rsidR="00014DC7">
        <w:t xml:space="preserve">the Commission’s reliance on </w:t>
      </w:r>
      <w:r w:rsidRPr="00504C1D" w:rsidR="00AC0313">
        <w:t xml:space="preserve">a statement from the </w:t>
      </w:r>
      <w:r w:rsidRPr="00504C1D" w:rsidR="00AC0313">
        <w:t>MISO Rehearing Orde</w:t>
      </w:r>
      <w:r w:rsidRPr="00504C1D" w:rsidR="00EE6513">
        <w:t xml:space="preserve">r, and the purported failure of parties in that proceeding to demonstrate </w:t>
      </w:r>
      <w:r w:rsidRPr="00504C1D" w:rsidR="00407AA1">
        <w:t>costs of non</w:t>
      </w:r>
      <w:r w:rsidR="00447051">
        <w:t>-</w:t>
      </w:r>
      <w:r w:rsidRPr="00504C1D" w:rsidR="00407AA1">
        <w:t>synchronous facilities</w:t>
      </w:r>
      <w:r w:rsidRPr="00504C1D" w:rsidR="00872D49">
        <w:t>,</w:t>
      </w:r>
      <w:r w:rsidRPr="00504C1D" w:rsidR="00407AA1">
        <w:t xml:space="preserve"> </w:t>
      </w:r>
      <w:r w:rsidRPr="00504C1D" w:rsidR="0042571E">
        <w:t>does not</w:t>
      </w:r>
      <w:r w:rsidRPr="00504C1D" w:rsidR="000F59C2">
        <w:t xml:space="preserve"> </w:t>
      </w:r>
      <w:r w:rsidRPr="00504C1D" w:rsidR="00C011AF">
        <w:t>satisfy the Commission’s burden in this case.</w:t>
      </w:r>
      <w:r>
        <w:rPr>
          <w:rStyle w:val="FootnoteReference"/>
        </w:rPr>
        <w:footnoteReference w:id="211"/>
      </w:r>
      <w:r w:rsidRPr="00504C1D" w:rsidR="00F909B2">
        <w:t xml:space="preserve">  Generation Developers add that </w:t>
      </w:r>
      <w:r w:rsidRPr="00504C1D" w:rsidR="00F336CE">
        <w:t>the Commission’s reliance on cas</w:t>
      </w:r>
      <w:r w:rsidRPr="00504C1D" w:rsidR="0068459C">
        <w:t>e</w:t>
      </w:r>
      <w:r w:rsidRPr="00504C1D" w:rsidR="00F336CE">
        <w:t>s that pre-date the eme</w:t>
      </w:r>
      <w:r w:rsidRPr="00504C1D" w:rsidR="0068459C">
        <w:t>rgence of non</w:t>
      </w:r>
      <w:r w:rsidRPr="00504C1D" w:rsidR="0077787E">
        <w:t>-</w:t>
      </w:r>
      <w:r w:rsidRPr="00504C1D" w:rsidR="0068459C">
        <w:t xml:space="preserve">synchronous generating facilities </w:t>
      </w:r>
      <w:r w:rsidRPr="00504C1D" w:rsidR="007C497C">
        <w:t xml:space="preserve">for the proposition that all generating facilities have no or </w:t>
      </w:r>
      <w:r w:rsidRPr="00504C1D" w:rsidR="007C497C">
        <w:rPr>
          <w:i/>
        </w:rPr>
        <w:t xml:space="preserve">de minimis </w:t>
      </w:r>
      <w:r w:rsidRPr="00504C1D" w:rsidR="007C497C">
        <w:t>costs is misplaced.</w:t>
      </w:r>
      <w:r>
        <w:rPr>
          <w:rStyle w:val="FootnoteReference"/>
        </w:rPr>
        <w:footnoteReference w:id="212"/>
      </w:r>
      <w:r w:rsidRPr="00504C1D" w:rsidR="000F3E67">
        <w:t xml:space="preserve"> </w:t>
      </w:r>
      <w:r w:rsidRPr="00504C1D" w:rsidR="00D964EC">
        <w:t xml:space="preserve"> </w:t>
      </w:r>
      <w:r w:rsidRPr="00504C1D" w:rsidR="0076078A">
        <w:t>For example, Generation Developers contend that the Commission erred in citing Duke Energy Corporation’s comments to the NOI in support of its finding that the inverter is the most critical equipment for the production of reactive power from non-synchronous resources.</w:t>
      </w:r>
      <w:r>
        <w:rPr>
          <w:rStyle w:val="FootnoteReference"/>
        </w:rPr>
        <w:footnoteReference w:id="213"/>
      </w:r>
    </w:p>
    <w:p w:rsidR="007A5F98" w:rsidRPr="00504C1D" w:rsidP="009F59D3" w14:paraId="2865D6E1" w14:textId="17663D06">
      <w:pPr>
        <w:pStyle w:val="FERCparanumber"/>
      </w:pPr>
      <w:r>
        <w:t>PSEG</w:t>
      </w:r>
      <w:r w:rsidRPr="00504C1D" w:rsidR="00676F24">
        <w:t xml:space="preserve"> similarly </w:t>
      </w:r>
      <w:r w:rsidRPr="00504C1D" w:rsidR="000E0A4A">
        <w:t>notes that the Commission has long used the AEP Methodology to allocate costs associated with the provision of reactive power within the standard power factor range.</w:t>
      </w:r>
      <w:r>
        <w:rPr>
          <w:rStyle w:val="FootnoteReference"/>
        </w:rPr>
        <w:footnoteReference w:id="214"/>
      </w:r>
      <w:r w:rsidRPr="00504C1D" w:rsidR="000E0A4A">
        <w:t xml:space="preserve">  </w:t>
      </w:r>
      <w:r>
        <w:t>PSEG</w:t>
      </w:r>
      <w:r w:rsidRPr="00504C1D" w:rsidR="000E0A4A">
        <w:t xml:space="preserve"> </w:t>
      </w:r>
      <w:r w:rsidRPr="00504C1D" w:rsidR="00676F24">
        <w:t xml:space="preserve">witness Dr. Dumais </w:t>
      </w:r>
      <w:r w:rsidRPr="00504C1D" w:rsidR="000E0A4A">
        <w:t>observes that the AEP Methodology identifies four categories of equipment costs that are involved in the production of reactive power from synchronous generating facilities.</w:t>
      </w:r>
      <w:r>
        <w:rPr>
          <w:rStyle w:val="FootnoteReference"/>
        </w:rPr>
        <w:footnoteReference w:id="215"/>
      </w:r>
    </w:p>
    <w:p w:rsidR="00EE7936" w:rsidRPr="00504C1D" w:rsidP="009F59D3" w14:paraId="5252BD9D" w14:textId="10DEFFF9">
      <w:pPr>
        <w:pStyle w:val="FERCparanumber"/>
      </w:pPr>
      <w:r w:rsidRPr="00504C1D">
        <w:t>Indicated Trade Associations</w:t>
      </w:r>
      <w:r w:rsidRPr="00504C1D" w:rsidR="004F10BB">
        <w:t xml:space="preserve"> </w:t>
      </w:r>
      <w:r w:rsidRPr="00504C1D" w:rsidR="00F443E2">
        <w:t>argue that the cases</w:t>
      </w:r>
      <w:r w:rsidRPr="00504C1D" w:rsidR="001C4781">
        <w:t xml:space="preserve"> cited to in the NOPR to support the finding that </w:t>
      </w:r>
      <w:r w:rsidRPr="00504C1D" w:rsidR="00630E25">
        <w:t>there are</w:t>
      </w:r>
      <w:r w:rsidRPr="00504C1D" w:rsidR="001C4781">
        <w:t xml:space="preserve"> no or </w:t>
      </w:r>
      <w:r w:rsidRPr="00504C1D" w:rsidR="001C4781">
        <w:rPr>
          <w:i/>
        </w:rPr>
        <w:t xml:space="preserve">de minimis </w:t>
      </w:r>
      <w:r w:rsidRPr="00504C1D" w:rsidR="001C4781">
        <w:t>costs associated with producing reactive power</w:t>
      </w:r>
      <w:r w:rsidRPr="00504C1D" w:rsidR="00890818">
        <w:t xml:space="preserve"> do not support the Commission’s </w:t>
      </w:r>
      <w:r w:rsidRPr="00504C1D" w:rsidR="007834FE">
        <w:t>a</w:t>
      </w:r>
      <w:r w:rsidRPr="00504C1D" w:rsidR="00890818">
        <w:t>ssertion.</w:t>
      </w:r>
      <w:r>
        <w:rPr>
          <w:rStyle w:val="FootnoteReference"/>
        </w:rPr>
        <w:footnoteReference w:id="216"/>
      </w:r>
      <w:r w:rsidRPr="00504C1D" w:rsidR="005301BE">
        <w:t xml:space="preserve"> </w:t>
      </w:r>
      <w:r w:rsidRPr="00504C1D" w:rsidR="00457246">
        <w:t xml:space="preserve"> </w:t>
      </w:r>
      <w:r w:rsidRPr="00504C1D" w:rsidR="00136861">
        <w:t xml:space="preserve">For example, Indicated Trade Associations </w:t>
      </w:r>
      <w:r w:rsidRPr="00504C1D" w:rsidR="006F295F">
        <w:t xml:space="preserve">assert that in </w:t>
      </w:r>
      <w:r w:rsidRPr="00504C1D" w:rsidR="006F295F">
        <w:rPr>
          <w:i/>
        </w:rPr>
        <w:t>BPA</w:t>
      </w:r>
      <w:r w:rsidRPr="00504C1D" w:rsidR="006F295F">
        <w:t xml:space="preserve">, the Commission </w:t>
      </w:r>
      <w:r w:rsidRPr="00504C1D" w:rsidR="00F303C2">
        <w:t>summarily state</w:t>
      </w:r>
      <w:r w:rsidRPr="00504C1D" w:rsidR="00AF3F5B">
        <w:t>d without evidence that “the incremental cost of reactive power service within the deadband is minimal</w:t>
      </w:r>
      <w:r w:rsidRPr="00504C1D" w:rsidR="00A33E73">
        <w:t>.</w:t>
      </w:r>
      <w:r w:rsidRPr="00504C1D" w:rsidR="007515AF">
        <w:t>”</w:t>
      </w:r>
      <w:r>
        <w:rPr>
          <w:rStyle w:val="FootnoteReference"/>
        </w:rPr>
        <w:footnoteReference w:id="217"/>
      </w:r>
      <w:r w:rsidRPr="00504C1D" w:rsidR="00A33E73">
        <w:t xml:space="preserve">  </w:t>
      </w:r>
      <w:r w:rsidRPr="00C95CBB" w:rsidR="00C95CBB">
        <w:t>Indicated Trade Associations assert that,</w:t>
      </w:r>
      <w:r w:rsidR="00C95CBB">
        <w:t xml:space="preserve"> o</w:t>
      </w:r>
      <w:r w:rsidRPr="00504C1D" w:rsidR="00A33E73">
        <w:t xml:space="preserve">n rehearing, </w:t>
      </w:r>
      <w:r w:rsidRPr="00504C1D" w:rsidR="00B37EEC">
        <w:t>however, when</w:t>
      </w:r>
      <w:r w:rsidRPr="00504C1D" w:rsidR="00A33E73">
        <w:t xml:space="preserve"> </w:t>
      </w:r>
      <w:r w:rsidRPr="00504C1D" w:rsidR="00A6514B">
        <w:t>a party argued that “</w:t>
      </w:r>
      <w:r w:rsidRPr="00295A99" w:rsidR="00557662">
        <w:t>‘</w:t>
      </w:r>
      <w:r w:rsidRPr="00504C1D" w:rsidR="00A6514B">
        <w:t xml:space="preserve">only the short-run marginal cost of producing the next increment </w:t>
      </w:r>
      <w:r w:rsidRPr="00504C1D" w:rsidR="006B3DFB">
        <w:t>of reactive power ‘can logically be described as minimal’ because it ex</w:t>
      </w:r>
      <w:r w:rsidRPr="00504C1D" w:rsidR="00F31F6F">
        <w:t>cludes capability costs,</w:t>
      </w:r>
      <w:r w:rsidR="00C95CBB">
        <w:t>’</w:t>
      </w:r>
      <w:r w:rsidRPr="00504C1D" w:rsidR="00A33E73">
        <w:t xml:space="preserve"> </w:t>
      </w:r>
      <w:r w:rsidRPr="00504C1D" w:rsidR="00866A92">
        <w:t xml:space="preserve"> </w:t>
      </w:r>
      <w:r w:rsidR="000B4D63">
        <w:t xml:space="preserve">. . . </w:t>
      </w:r>
      <w:r w:rsidRPr="00504C1D" w:rsidR="00866A92">
        <w:t xml:space="preserve">the Commission </w:t>
      </w:r>
      <w:r w:rsidRPr="00504C1D" w:rsidR="007112F2">
        <w:t xml:space="preserve">sidestepped this issue, stating that ‘the issue of whether or not the cost is minimal is not relevant to whether the independent power </w:t>
      </w:r>
      <w:r w:rsidR="00153F43">
        <w:t>producers</w:t>
      </w:r>
      <w:r w:rsidRPr="00504C1D" w:rsidR="007112F2">
        <w:t xml:space="preserve"> </w:t>
      </w:r>
      <w:r w:rsidRPr="00504C1D" w:rsidR="0065673C">
        <w:t>are entitled to co</w:t>
      </w:r>
      <w:r w:rsidRPr="00504C1D" w:rsidR="00064376">
        <w:t>mpensation.</w:t>
      </w:r>
      <w:r w:rsidRPr="00504C1D" w:rsidR="00E7248E">
        <w:t>’</w:t>
      </w:r>
      <w:r w:rsidRPr="00504C1D" w:rsidR="00064376">
        <w:t>”</w:t>
      </w:r>
      <w:r>
        <w:rPr>
          <w:rStyle w:val="FootnoteReference"/>
        </w:rPr>
        <w:footnoteReference w:id="218"/>
      </w:r>
      <w:r w:rsidRPr="00504C1D" w:rsidR="00A33E73">
        <w:t xml:space="preserve"> </w:t>
      </w:r>
      <w:r w:rsidRPr="00504C1D" w:rsidR="00136861">
        <w:t xml:space="preserve"> </w:t>
      </w:r>
      <w:r w:rsidR="000E1DFF">
        <w:t>Indicated Trade Associations argue that i</w:t>
      </w:r>
      <w:r w:rsidRPr="00504C1D" w:rsidR="004743B8">
        <w:t xml:space="preserve">n </w:t>
      </w:r>
      <w:r w:rsidRPr="00504C1D" w:rsidR="001A01F5">
        <w:rPr>
          <w:i/>
        </w:rPr>
        <w:t>APS</w:t>
      </w:r>
      <w:r w:rsidRPr="00504C1D" w:rsidR="001A01F5">
        <w:t>, another order cited in the NOPR,  “the Commission simply noted that intervenors ‘have not demonstrated that [the proposed reactive power] requirement</w:t>
      </w:r>
      <w:r w:rsidRPr="00504C1D" w:rsidR="00A2282B">
        <w:t xml:space="preserve"> will limit the real power output of a generating un</w:t>
      </w:r>
      <w:r w:rsidRPr="00504C1D" w:rsidR="00E6385D">
        <w:t>it and therefore will not result in any lost opportunity costs.’”</w:t>
      </w:r>
      <w:r>
        <w:rPr>
          <w:rStyle w:val="FootnoteReference"/>
        </w:rPr>
        <w:footnoteReference w:id="219"/>
      </w:r>
    </w:p>
    <w:p w:rsidR="00042482" w:rsidP="00042482" w14:paraId="25EB4E14" w14:textId="05C880E3">
      <w:pPr>
        <w:pStyle w:val="FERCparanumber"/>
      </w:pPr>
      <w:r w:rsidRPr="00FD68DB">
        <w:t xml:space="preserve">Elevate and Glenvale further argue that the Commission’s assumption that all resource classes, including energy storage resources, incur no or minimal costs is </w:t>
      </w:r>
      <w:r w:rsidRPr="00FD68DB">
        <w:t>unsupported by evidence.</w:t>
      </w:r>
      <w:r>
        <w:rPr>
          <w:rStyle w:val="FootnoteReference"/>
        </w:rPr>
        <w:footnoteReference w:id="220"/>
      </w:r>
      <w:r>
        <w:t xml:space="preserve"> </w:t>
      </w:r>
      <w:r w:rsidRPr="00FD68DB">
        <w:t xml:space="preserve"> Elevate</w:t>
      </w:r>
      <w:r>
        <w:t xml:space="preserve"> </w:t>
      </w:r>
      <w:r w:rsidR="00896DA6">
        <w:t>asserts that</w:t>
      </w:r>
      <w:r w:rsidRPr="00FD68DB">
        <w:t xml:space="preserve"> recurring capital investments </w:t>
      </w:r>
      <w:r w:rsidR="00896DA6">
        <w:t xml:space="preserve">are </w:t>
      </w:r>
      <w:r w:rsidRPr="00FD68DB">
        <w:t xml:space="preserve">required to address battery degradation caused by </w:t>
      </w:r>
      <w:r w:rsidR="00553F61">
        <w:t xml:space="preserve">the </w:t>
      </w:r>
      <w:r w:rsidRPr="00FD68DB">
        <w:t>provision</w:t>
      </w:r>
      <w:r w:rsidR="00B20D20">
        <w:t xml:space="preserve"> of </w:t>
      </w:r>
      <w:r w:rsidRPr="00FD68DB">
        <w:t>reactive power</w:t>
      </w:r>
      <w:r w:rsidR="00551173">
        <w:t>.</w:t>
      </w:r>
      <w:r>
        <w:rPr>
          <w:rStyle w:val="FootnoteReference"/>
        </w:rPr>
        <w:footnoteReference w:id="221"/>
      </w:r>
      <w:r w:rsidRPr="00FD68DB">
        <w:t xml:space="preserve"> </w:t>
      </w:r>
      <w:r w:rsidR="00551173">
        <w:t xml:space="preserve">Specifically, Elevate </w:t>
      </w:r>
      <w:r w:rsidR="003717E2">
        <w:t>argues</w:t>
      </w:r>
      <w:r w:rsidR="00551173">
        <w:t xml:space="preserve"> that</w:t>
      </w:r>
      <w:r w:rsidRPr="00FD68DB">
        <w:t xml:space="preserve"> while </w:t>
      </w:r>
      <w:r w:rsidR="006943F2">
        <w:t xml:space="preserve">the </w:t>
      </w:r>
      <w:r w:rsidR="00163573">
        <w:t xml:space="preserve">level of degradation increases </w:t>
      </w:r>
      <w:r w:rsidR="00461D88">
        <w:t>as</w:t>
      </w:r>
      <w:r w:rsidR="00012EFE">
        <w:t xml:space="preserve"> the reactive power to real power </w:t>
      </w:r>
      <w:r w:rsidR="00A56FD8">
        <w:t xml:space="preserve">ratio moves further from unity, </w:t>
      </w:r>
      <w:r w:rsidR="00B017AB">
        <w:t>even the provision of reactive power within the standard power factor range</w:t>
      </w:r>
      <w:r w:rsidR="0061317D">
        <w:t xml:space="preserve"> contributes to the </w:t>
      </w:r>
      <w:r w:rsidR="0057516E">
        <w:t>degradation of the storage resource’s capability.</w:t>
      </w:r>
      <w:r>
        <w:rPr>
          <w:rStyle w:val="FootnoteReference"/>
        </w:rPr>
        <w:footnoteReference w:id="222"/>
      </w:r>
      <w:r w:rsidR="0057516E">
        <w:t xml:space="preserve">  </w:t>
      </w:r>
      <w:r w:rsidR="000446E6">
        <w:t xml:space="preserve">Elevate </w:t>
      </w:r>
      <w:r w:rsidR="008F038A">
        <w:t xml:space="preserve">states that energy storage resources must make significant and </w:t>
      </w:r>
      <w:r w:rsidR="00EE5554">
        <w:t>recurring capital investments</w:t>
      </w:r>
      <w:r w:rsidR="002F3937">
        <w:t xml:space="preserve"> to address this degradation</w:t>
      </w:r>
      <w:r w:rsidR="00132FE7">
        <w:t>, which, in Elevate’s experience</w:t>
      </w:r>
      <w:r w:rsidR="00FB2953">
        <w:t>,</w:t>
      </w:r>
      <w:r w:rsidR="00132FE7">
        <w:t xml:space="preserve"> </w:t>
      </w:r>
      <w:r w:rsidR="00FB2953">
        <w:t xml:space="preserve">costs approximately </w:t>
      </w:r>
      <w:r w:rsidR="00295A99">
        <w:t>one percent</w:t>
      </w:r>
      <w:r w:rsidR="00FB2953">
        <w:t xml:space="preserve"> of the resource’s original capital </w:t>
      </w:r>
      <w:r w:rsidR="00101350">
        <w:t xml:space="preserve">investment </w:t>
      </w:r>
      <w:r w:rsidR="00FB2953">
        <w:t>annually.</w:t>
      </w:r>
      <w:r>
        <w:rPr>
          <w:rStyle w:val="FootnoteReference"/>
        </w:rPr>
        <w:footnoteReference w:id="223"/>
      </w:r>
      <w:r w:rsidR="00FB2953">
        <w:t xml:space="preserve"> </w:t>
      </w:r>
      <w:r w:rsidR="00377EF4">
        <w:t xml:space="preserve"> </w:t>
      </w:r>
      <w:r w:rsidR="006D7FA0">
        <w:t xml:space="preserve">Elevate asserts that </w:t>
      </w:r>
      <w:r w:rsidR="00553F61">
        <w:t xml:space="preserve">the </w:t>
      </w:r>
      <w:r w:rsidR="00E81724">
        <w:t>record</w:t>
      </w:r>
      <w:r w:rsidR="00A43C23">
        <w:t xml:space="preserve"> </w:t>
      </w:r>
      <w:r w:rsidR="002F4835">
        <w:t xml:space="preserve">is devoid of any </w:t>
      </w:r>
      <w:r w:rsidR="00A721DB">
        <w:t>evidence</w:t>
      </w:r>
      <w:r w:rsidR="002F4835">
        <w:t xml:space="preserve"> that energy storage </w:t>
      </w:r>
      <w:r w:rsidR="003651DD">
        <w:t xml:space="preserve">resources </w:t>
      </w:r>
      <w:r w:rsidR="001F06C4">
        <w:t xml:space="preserve">incur </w:t>
      </w:r>
      <w:r w:rsidR="003651DD">
        <w:t xml:space="preserve">no or </w:t>
      </w:r>
      <w:r w:rsidR="003651DD">
        <w:rPr>
          <w:i/>
          <w:iCs/>
        </w:rPr>
        <w:t>de minimis</w:t>
      </w:r>
      <w:r w:rsidRPr="00C05B45" w:rsidR="003651DD">
        <w:t xml:space="preserve"> </w:t>
      </w:r>
      <w:r w:rsidR="003651DD">
        <w:t>costs to provide reactive power.</w:t>
      </w:r>
      <w:r>
        <w:rPr>
          <w:rStyle w:val="FootnoteReference"/>
        </w:rPr>
        <w:footnoteReference w:id="224"/>
      </w:r>
      <w:r w:rsidR="007515AF">
        <w:t xml:space="preserve">  </w:t>
      </w:r>
      <w:r w:rsidRPr="00FD68DB">
        <w:t xml:space="preserve">Glenvale </w:t>
      </w:r>
      <w:r w:rsidR="00896DA6">
        <w:t>argues that</w:t>
      </w:r>
      <w:r w:rsidRPr="00FD68DB">
        <w:t xml:space="preserve"> the</w:t>
      </w:r>
      <w:r w:rsidR="00AF5D47">
        <w:t>re are</w:t>
      </w:r>
      <w:r w:rsidRPr="00FD68DB">
        <w:t xml:space="preserve"> </w:t>
      </w:r>
      <w:r w:rsidR="00AF5D47">
        <w:t xml:space="preserve">marginal, </w:t>
      </w:r>
      <w:r w:rsidRPr="00FD68DB">
        <w:t>operational</w:t>
      </w:r>
      <w:r w:rsidR="00AF5D47">
        <w:t>,</w:t>
      </w:r>
      <w:r w:rsidRPr="00FD68DB">
        <w:t xml:space="preserve"> and replacement costs associated with providing reactive power within the power factor range</w:t>
      </w:r>
      <w:r w:rsidR="009976CC">
        <w:t xml:space="preserve"> for solar</w:t>
      </w:r>
      <w:r w:rsidR="007A0087">
        <w:t xml:space="preserve"> generating facilities</w:t>
      </w:r>
      <w:r w:rsidRPr="00FD68DB">
        <w:t>.</w:t>
      </w:r>
      <w:r>
        <w:rPr>
          <w:rStyle w:val="FootnoteReference"/>
        </w:rPr>
        <w:footnoteReference w:id="225"/>
      </w:r>
      <w:r w:rsidR="00961692">
        <w:t xml:space="preserve">  Specifically, </w:t>
      </w:r>
      <w:r w:rsidR="008A7939">
        <w:t xml:space="preserve">Glenvale </w:t>
      </w:r>
      <w:r w:rsidR="00406E07">
        <w:t>asserts that, at the capital investment stage,</w:t>
      </w:r>
      <w:r w:rsidR="002561B6">
        <w:t xml:space="preserve"> </w:t>
      </w:r>
      <w:r w:rsidR="00A35DA6">
        <w:t xml:space="preserve">there are different </w:t>
      </w:r>
      <w:r w:rsidR="00DD25A5">
        <w:t>inverter options that allow</w:t>
      </w:r>
      <w:r w:rsidR="00203E8F">
        <w:t xml:space="preserve"> generating </w:t>
      </w:r>
      <w:r w:rsidR="003142F4">
        <w:t>facilities</w:t>
      </w:r>
      <w:r w:rsidR="00203E8F">
        <w:t xml:space="preserve"> to provide reactive service outside of generating hours</w:t>
      </w:r>
      <w:r w:rsidR="00F40123">
        <w:t xml:space="preserve"> (</w:t>
      </w:r>
      <w:r w:rsidRPr="00C06B6B" w:rsidR="00F40123">
        <w:rPr>
          <w:iCs/>
        </w:rPr>
        <w:t>e.g.</w:t>
      </w:r>
      <w:r w:rsidR="00F40123">
        <w:t xml:space="preserve">, allowing solar generating facilities to provide reactive </w:t>
      </w:r>
      <w:r w:rsidR="00F40123">
        <w:t>power at night)</w:t>
      </w:r>
      <w:r w:rsidR="00203E8F">
        <w:t xml:space="preserve"> and </w:t>
      </w:r>
      <w:r w:rsidRPr="001D403D" w:rsidR="00ED0CF7">
        <w:t>that</w:t>
      </w:r>
      <w:r w:rsidR="00ED0CF7">
        <w:t xml:space="preserve"> </w:t>
      </w:r>
      <w:r w:rsidR="0090461F">
        <w:t xml:space="preserve">this incurs additional costs </w:t>
      </w:r>
      <w:r w:rsidRPr="001D403D" w:rsidR="002E761B">
        <w:t>which</w:t>
      </w:r>
      <w:r w:rsidR="0090461F">
        <w:t xml:space="preserve"> would not be required if the generating facility </w:t>
      </w:r>
      <w:r w:rsidR="005D2CFC">
        <w:t>were</w:t>
      </w:r>
      <w:r w:rsidR="0090461F">
        <w:t xml:space="preserve"> not set up to provide reactive power at night.</w:t>
      </w:r>
      <w:r>
        <w:rPr>
          <w:rStyle w:val="FootnoteReference"/>
        </w:rPr>
        <w:footnoteReference w:id="226"/>
      </w:r>
      <w:r w:rsidR="001A387F">
        <w:t xml:space="preserve">  Glenvale also asserts that inverters use electricity to provide reactive power, </w:t>
      </w:r>
      <w:r w:rsidR="00213E58">
        <w:t xml:space="preserve">explaining that </w:t>
      </w:r>
      <w:r w:rsidR="001A387F">
        <w:t>when a generating facility is synchronized, th</w:t>
      </w:r>
      <w:r w:rsidR="00BF7322">
        <w:t>is</w:t>
      </w:r>
      <w:r w:rsidR="001A387F">
        <w:t xml:space="preserve"> prese</w:t>
      </w:r>
      <w:r w:rsidR="005920CA">
        <w:t>nt</w:t>
      </w:r>
      <w:r w:rsidR="00BF7322">
        <w:t>s</w:t>
      </w:r>
      <w:r w:rsidR="00D63F71">
        <w:t xml:space="preserve"> as reduced generation, and when a </w:t>
      </w:r>
      <w:r w:rsidR="005920CA">
        <w:t>generating</w:t>
      </w:r>
      <w:r w:rsidR="00D63F71">
        <w:t xml:space="preserve"> facility is not synchronized, the generator must either us</w:t>
      </w:r>
      <w:r w:rsidR="00ED7924">
        <w:t>e an alternate power source or it presents as negative generation</w:t>
      </w:r>
      <w:r w:rsidR="0053592D">
        <w:t xml:space="preserve"> (both of which Elevate states</w:t>
      </w:r>
      <w:r w:rsidR="000635F0">
        <w:t xml:space="preserve"> result in additional costs)</w:t>
      </w:r>
      <w:r w:rsidR="005920CA">
        <w:t>.</w:t>
      </w:r>
      <w:r>
        <w:rPr>
          <w:rStyle w:val="FootnoteReference"/>
        </w:rPr>
        <w:footnoteReference w:id="227"/>
      </w:r>
      <w:r w:rsidR="005920CA">
        <w:t xml:space="preserve"> </w:t>
      </w:r>
      <w:r w:rsidR="006D7FA0">
        <w:t xml:space="preserve"> </w:t>
      </w:r>
      <w:r w:rsidR="00603260">
        <w:t xml:space="preserve">Glenvale </w:t>
      </w:r>
      <w:r w:rsidR="0075238B">
        <w:t>also states tha</w:t>
      </w:r>
      <w:r w:rsidR="005B4141">
        <w:t xml:space="preserve">t the provision of reactive power </w:t>
      </w:r>
      <w:r w:rsidR="004464F2">
        <w:t>can result in a reduced inverter service life</w:t>
      </w:r>
      <w:r w:rsidR="00DE4B5C">
        <w:t>.</w:t>
      </w:r>
      <w:r>
        <w:rPr>
          <w:rStyle w:val="FootnoteReference"/>
        </w:rPr>
        <w:footnoteReference w:id="228"/>
      </w:r>
      <w:r w:rsidR="00DA1ABC">
        <w:t xml:space="preserve">  Glenvale notes that </w:t>
      </w:r>
      <w:r w:rsidR="00593FBC">
        <w:t>it is difficult to allocate these</w:t>
      </w:r>
      <w:r w:rsidR="00053F30">
        <w:t xml:space="preserve"> costs among each of</w:t>
      </w:r>
      <w:r w:rsidR="00105D49">
        <w:t xml:space="preserve"> the three service </w:t>
      </w:r>
      <w:r w:rsidR="00FA3591">
        <w:t>conditions—within the standard power factor range</w:t>
      </w:r>
      <w:r w:rsidR="00706447">
        <w:t xml:space="preserve"> while synchronized, within the standard power factor range at night, and outside the standard power factor range at all times—but Glenvale asserts that at least some of the costs are attributable to providing reactive power within the standard power factor range.</w:t>
      </w:r>
      <w:r>
        <w:rPr>
          <w:rStyle w:val="FootnoteReference"/>
        </w:rPr>
        <w:footnoteReference w:id="229"/>
      </w:r>
      <w:r w:rsidR="00FA3591">
        <w:t xml:space="preserve"> </w:t>
      </w:r>
      <w:r w:rsidR="006D7FA0">
        <w:t xml:space="preserve"> </w:t>
      </w:r>
      <w:r w:rsidR="00D21D98">
        <w:t>NEI</w:t>
      </w:r>
      <w:r w:rsidR="00C00F65">
        <w:t xml:space="preserve"> </w:t>
      </w:r>
      <w:r w:rsidR="0000723A">
        <w:t xml:space="preserve">asserts that there are real costs for nuclear </w:t>
      </w:r>
      <w:r w:rsidR="00BF7322">
        <w:t xml:space="preserve">generating facilities </w:t>
      </w:r>
      <w:r w:rsidR="0000723A">
        <w:t xml:space="preserve">to provide and maintain reactive power capability, including: </w:t>
      </w:r>
      <w:r w:rsidR="00162848">
        <w:t xml:space="preserve"> </w:t>
      </w:r>
      <w:r w:rsidR="00586C4B">
        <w:t>properly sized generator</w:t>
      </w:r>
      <w:r w:rsidR="005742AB">
        <w:t xml:space="preserve">s, </w:t>
      </w:r>
      <w:r w:rsidR="005742AB">
        <w:t>maintenance associated with normal operations to preserve reactive power capability, and additional repai</w:t>
      </w:r>
      <w:r w:rsidR="00520578">
        <w:t xml:space="preserve">rs </w:t>
      </w:r>
      <w:r w:rsidR="008B3D1C">
        <w:t xml:space="preserve">that may be needed to address age-related degradation to equipment </w:t>
      </w:r>
      <w:r w:rsidR="00DA3B44">
        <w:t>that might otherwise impair reactive power capability.</w:t>
      </w:r>
      <w:r>
        <w:rPr>
          <w:rStyle w:val="FootnoteReference"/>
        </w:rPr>
        <w:footnoteReference w:id="230"/>
      </w:r>
    </w:p>
    <w:p w:rsidR="00516894" w:rsidP="00042482" w14:paraId="49CF47DD" w14:textId="78A21ED2">
      <w:pPr>
        <w:pStyle w:val="FERCparanumber"/>
      </w:pPr>
      <w:r>
        <w:t xml:space="preserve">Relatedly, </w:t>
      </w:r>
      <w:r w:rsidRPr="00012776">
        <w:t xml:space="preserve">NEI explains that nuclear generators are most likely to be called upon to provide reactive power services and </w:t>
      </w:r>
      <w:r>
        <w:t>thus</w:t>
      </w:r>
      <w:r w:rsidRPr="00012776">
        <w:t xml:space="preserve"> are the generators most likely to face accelerated degradation and damage to reactive power equipment.</w:t>
      </w:r>
      <w:r>
        <w:rPr>
          <w:b/>
          <w:bCs/>
          <w:vertAlign w:val="superscript"/>
        </w:rPr>
        <w:footnoteReference w:id="231"/>
      </w:r>
    </w:p>
    <w:p w:rsidR="000E601B" w:rsidP="00042482" w14:paraId="3BD56DFC" w14:textId="60721ACC">
      <w:pPr>
        <w:pStyle w:val="FERCparanumber"/>
      </w:pPr>
      <w:r w:rsidRPr="00430716">
        <w:t xml:space="preserve">Reactive Service Providers argue that there is no evidence to support the claim that providing reactive power within the standard power factor range requires no incremental investment, and that even if the investment needed </w:t>
      </w:r>
      <w:r w:rsidR="00162848">
        <w:t>were</w:t>
      </w:r>
      <w:r w:rsidRPr="00430716">
        <w:t xml:space="preserve"> </w:t>
      </w:r>
      <w:r w:rsidRPr="00430716">
        <w:rPr>
          <w:i/>
        </w:rPr>
        <w:t>de minimis</w:t>
      </w:r>
      <w:r w:rsidRPr="00430716">
        <w:t xml:space="preserve">, that </w:t>
      </w:r>
      <w:r w:rsidR="00162848">
        <w:t>would</w:t>
      </w:r>
      <w:r w:rsidRPr="00430716">
        <w:t xml:space="preserve"> not </w:t>
      </w:r>
      <w:r w:rsidR="00162848">
        <w:t>be</w:t>
      </w:r>
      <w:r w:rsidRPr="00430716">
        <w:t xml:space="preserve"> a reason to not provide compensation.</w:t>
      </w:r>
      <w:r>
        <w:rPr>
          <w:b/>
          <w:vertAlign w:val="superscript"/>
        </w:rPr>
        <w:footnoteReference w:id="232"/>
      </w:r>
      <w:r w:rsidRPr="00430716">
        <w:t xml:space="preserve">  Reactive Service Providers further contend that there is no evidence that the costs of providing reactive service ha</w:t>
      </w:r>
      <w:r>
        <w:t>ve</w:t>
      </w:r>
      <w:r w:rsidRPr="00430716">
        <w:t xml:space="preserve"> increased since the advent of RTOs and </w:t>
      </w:r>
      <w:r w:rsidR="00756785">
        <w:t>IPPs</w:t>
      </w:r>
      <w:r>
        <w:rPr>
          <w:rStyle w:val="FootnoteReference"/>
        </w:rPr>
        <w:footnoteReference w:id="233"/>
      </w:r>
      <w:r w:rsidRPr="00430716">
        <w:t xml:space="preserve"> </w:t>
      </w:r>
      <w:r w:rsidR="00936AA1">
        <w:t>or</w:t>
      </w:r>
      <w:r w:rsidRPr="00430716">
        <w:t xml:space="preserve"> that generating facilities are recovering their costs in regions where transmission providers do not provide compensation.</w:t>
      </w:r>
      <w:r>
        <w:rPr>
          <w:b/>
          <w:vertAlign w:val="superscript"/>
        </w:rPr>
        <w:footnoteReference w:id="234"/>
      </w:r>
    </w:p>
    <w:p w:rsidR="00491135" w:rsidP="00042482" w14:paraId="47F6AA5D" w14:textId="2B6073F0">
      <w:pPr>
        <w:pStyle w:val="FERCparanumber"/>
      </w:pPr>
      <w:r w:rsidRPr="00651663">
        <w:t xml:space="preserve">Eagle Creek criticizes the Commission’s determination </w:t>
      </w:r>
      <w:r w:rsidR="00004ADD">
        <w:t xml:space="preserve">that there are no or </w:t>
      </w:r>
      <w:r w:rsidR="00295A99">
        <w:t xml:space="preserve">          </w:t>
      </w:r>
      <w:r w:rsidR="00004ADD">
        <w:rPr>
          <w:i/>
          <w:iCs/>
        </w:rPr>
        <w:t xml:space="preserve">de minimis </w:t>
      </w:r>
      <w:r w:rsidR="00004ADD">
        <w:t xml:space="preserve">costs </w:t>
      </w:r>
      <w:r w:rsidR="005C2FAC">
        <w:t xml:space="preserve">associated with the provision of reactive power in </w:t>
      </w:r>
      <w:r w:rsidR="008A7100">
        <w:t xml:space="preserve">the </w:t>
      </w:r>
      <w:r w:rsidR="005C2FAC">
        <w:t xml:space="preserve">standard power factor range </w:t>
      </w:r>
      <w:r w:rsidRPr="00651663">
        <w:t xml:space="preserve">as flawed </w:t>
      </w:r>
      <w:r w:rsidRPr="00940C3E">
        <w:t xml:space="preserve">based on its </w:t>
      </w:r>
      <w:r w:rsidRPr="00B436C4">
        <w:t>own tariff cases</w:t>
      </w:r>
      <w:r w:rsidRPr="00940C3E">
        <w:t xml:space="preserve"> under the AEP Methodology</w:t>
      </w:r>
      <w:r w:rsidRPr="00651663">
        <w:t xml:space="preserve"> and </w:t>
      </w:r>
      <w:r w:rsidRPr="00651663">
        <w:t>argues that eliminating compensation for reactive power would be arbitrary and capricious.</w:t>
      </w:r>
      <w:r>
        <w:rPr>
          <w:b/>
          <w:vertAlign w:val="superscript"/>
        </w:rPr>
        <w:footnoteReference w:id="235"/>
      </w:r>
      <w:r w:rsidRPr="00651663">
        <w:t xml:space="preserve"> </w:t>
      </w:r>
      <w:r>
        <w:t xml:space="preserve"> ACORE, Indicated Reactive Power Suppliers, </w:t>
      </w:r>
      <w:r w:rsidR="00CB288A">
        <w:t xml:space="preserve">and </w:t>
      </w:r>
      <w:r>
        <w:t>Middle River Power similarly argue that their facilities have demonstrated just and reasonable compensation covering actual reactive power costs during settlement negotiations.</w:t>
      </w:r>
      <w:r>
        <w:rPr>
          <w:rStyle w:val="FootnoteReference"/>
        </w:rPr>
        <w:footnoteReference w:id="236"/>
      </w:r>
    </w:p>
    <w:p w:rsidR="001D1FB2" w:rsidP="001751FD" w14:paraId="2024C632" w14:textId="71F695DD">
      <w:pPr>
        <w:pStyle w:val="FERCparanumber"/>
      </w:pPr>
      <w:r>
        <w:t>Indicated Trade Associations assert that the Commission fails to reconcile the NOPR’s insistence that there are no segregable costs associated with the provision of reactive power with its longstanding precedent of the AEP Methodology, where the Commission approved isolating costs of providing reactive power.</w:t>
      </w:r>
      <w:r>
        <w:rPr>
          <w:rStyle w:val="FootnoteReference"/>
        </w:rPr>
        <w:footnoteReference w:id="237"/>
      </w:r>
      <w:r>
        <w:t xml:space="preserve">  </w:t>
      </w:r>
      <w:r w:rsidR="004C2209">
        <w:t>NEI asserts that, rather than point to actual data that demonstrates generating facility costs for providing reactive power, the NOPR relies on the misplaced theory that “</w:t>
      </w:r>
      <w:r w:rsidRPr="004C2209" w:rsidR="004C2209">
        <w:t xml:space="preserve">because </w:t>
      </w:r>
      <w:r w:rsidR="004C2209">
        <w:t>b</w:t>
      </w:r>
      <w:r w:rsidRPr="004C2209" w:rsidR="004C2209">
        <w:t xml:space="preserve">oth synchronous and non-synchronous resources provide real and reactive power as joint products, with </w:t>
      </w:r>
      <w:r w:rsidRPr="004C2209" w:rsidR="004C2209">
        <w:t>joint costs</w:t>
      </w:r>
      <w:r w:rsidR="00630E25">
        <w:t xml:space="preserve">, . . . </w:t>
      </w:r>
      <w:r w:rsidRPr="004C2209" w:rsidR="004C2209">
        <w:t>any allocation of joint fixed costs between real and reactive power could be viewed as inherently arbitrary.</w:t>
      </w:r>
      <w:r w:rsidR="004C2209">
        <w:t>”</w:t>
      </w:r>
      <w:r>
        <w:rPr>
          <w:rStyle w:val="FootnoteReference"/>
        </w:rPr>
        <w:footnoteReference w:id="238"/>
      </w:r>
      <w:r w:rsidR="006218BE">
        <w:t xml:space="preserve">  NEI </w:t>
      </w:r>
      <w:r w:rsidR="00B62D0B">
        <w:t xml:space="preserve">and Generation Developers </w:t>
      </w:r>
      <w:r w:rsidR="006218BE">
        <w:t>argue that t</w:t>
      </w:r>
      <w:r w:rsidRPr="006218BE" w:rsidR="006218BE">
        <w:t xml:space="preserve">he AEP </w:t>
      </w:r>
      <w:r w:rsidR="006218BE">
        <w:t>M</w:t>
      </w:r>
      <w:r w:rsidRPr="006218BE" w:rsidR="006218BE">
        <w:t>ethodology compensates generators based on their actual costs and reactive capabilities, providing them with a just and reasonable opportunity to recover their investments in reactive service capability</w:t>
      </w:r>
      <w:r w:rsidR="006218BE">
        <w:t>, and asserts that</w:t>
      </w:r>
      <w:r w:rsidRPr="006218BE" w:rsidR="006218BE">
        <w:t xml:space="preserve"> the Commission has repeatedly confirmed this cost allocation methodology and its underlying factual predicates in numerous proceedings.</w:t>
      </w:r>
      <w:r>
        <w:rPr>
          <w:rStyle w:val="FootnoteReference"/>
        </w:rPr>
        <w:footnoteReference w:id="239"/>
      </w:r>
      <w:r w:rsidR="004B6C3D">
        <w:t xml:space="preserve">  </w:t>
      </w:r>
      <w:r w:rsidR="001C4497">
        <w:t>Generation Developers suggest that t</w:t>
      </w:r>
      <w:r w:rsidRPr="001C4497" w:rsidR="001C4497">
        <w:t xml:space="preserve">he Commission has allocated real and reactive power costs using </w:t>
      </w:r>
      <w:r w:rsidR="001C4497">
        <w:t>the AEP M</w:t>
      </w:r>
      <w:r w:rsidRPr="001C4497" w:rsidR="001C4497">
        <w:t>ethodology for over two decades</w:t>
      </w:r>
      <w:r>
        <w:rPr>
          <w:rStyle w:val="FootnoteReference"/>
        </w:rPr>
        <w:footnoteReference w:id="240"/>
      </w:r>
      <w:r w:rsidRPr="001C4497" w:rsidR="001C4497">
        <w:t xml:space="preserve"> and has rejected arguments that </w:t>
      </w:r>
      <w:r w:rsidR="00E9420D">
        <w:t>the AEP M</w:t>
      </w:r>
      <w:r w:rsidRPr="001C4497" w:rsidR="001C4497">
        <w:t>ethodology results in an improper allocation of costs or is used merely as a matter of administrative convenience</w:t>
      </w:r>
      <w:r w:rsidR="00E9420D">
        <w:t>.</w:t>
      </w:r>
      <w:r>
        <w:rPr>
          <w:rStyle w:val="FootnoteReference"/>
        </w:rPr>
        <w:footnoteReference w:id="241"/>
      </w:r>
      <w:r w:rsidR="00E9420D">
        <w:t xml:space="preserve">  </w:t>
      </w:r>
      <w:r w:rsidR="00712283">
        <w:t xml:space="preserve">The </w:t>
      </w:r>
      <w:r w:rsidR="004B6C3D">
        <w:t xml:space="preserve">NHA asserts that </w:t>
      </w:r>
      <w:r w:rsidR="00B15956">
        <w:t xml:space="preserve">the Commission correctly </w:t>
      </w:r>
      <w:r w:rsidR="005E75A6">
        <w:t xml:space="preserve">identifies real power and reactive power as </w:t>
      </w:r>
      <w:r w:rsidR="005E75A6">
        <w:t xml:space="preserve">jointly produced commodities, but it incorrectly </w:t>
      </w:r>
      <w:r w:rsidRPr="00CE3673" w:rsidR="00CE3673">
        <w:t>attributes the cost of all generation equipment to be predominantly for the production of real power.</w:t>
      </w:r>
      <w:r>
        <w:rPr>
          <w:rStyle w:val="FootnoteReference"/>
        </w:rPr>
        <w:footnoteReference w:id="242"/>
      </w:r>
    </w:p>
    <w:p w:rsidR="00871CAD" w:rsidP="00A742FD" w14:paraId="24FA4052" w14:textId="53C247FE">
      <w:pPr>
        <w:pStyle w:val="FERCparanumber"/>
      </w:pPr>
      <w:r w:rsidRPr="00430716">
        <w:t xml:space="preserve">Clean Energy Associations assert that reactive power is </w:t>
      </w:r>
      <w:r w:rsidRPr="00B15AFF">
        <w:t xml:space="preserve">not always coupled with </w:t>
      </w:r>
      <w:r w:rsidRPr="001D403D" w:rsidR="00BF7717">
        <w:t>real</w:t>
      </w:r>
      <w:r w:rsidR="00BF7717">
        <w:t xml:space="preserve"> </w:t>
      </w:r>
      <w:r w:rsidRPr="00B15AFF">
        <w:t>power</w:t>
      </w:r>
      <w:r w:rsidRPr="00430716">
        <w:t xml:space="preserve"> as they believe the Commission states in the NOPR.</w:t>
      </w:r>
      <w:r>
        <w:rPr>
          <w:b/>
          <w:vertAlign w:val="superscript"/>
        </w:rPr>
        <w:footnoteReference w:id="243"/>
      </w:r>
      <w:r>
        <w:t xml:space="preserve">  </w:t>
      </w:r>
      <w:r w:rsidR="007B3B1B">
        <w:t>Middle River Power argues that the Commission’s statement that generating facilities are being asked to provide reactive power in order to offset the impact of the power the</w:t>
      </w:r>
      <w:r w:rsidR="00745568">
        <w:t>y</w:t>
      </w:r>
      <w:r w:rsidR="007B3B1B">
        <w:t xml:space="preserve"> inject into the system is incorrect.</w:t>
      </w:r>
      <w:r>
        <w:rPr>
          <w:rStyle w:val="FootnoteReference"/>
        </w:rPr>
        <w:footnoteReference w:id="244"/>
      </w:r>
      <w:r w:rsidR="007B3B1B">
        <w:t xml:space="preserve">  </w:t>
      </w:r>
      <w:r w:rsidR="00894EE4">
        <w:t xml:space="preserve">Similarly, </w:t>
      </w:r>
      <w:r w:rsidR="007B3B1B">
        <w:t>Middle River Power asserts that the Commission has previously found that generators are being asked to supply reactive power to support load.</w:t>
      </w:r>
      <w:r w:rsidR="00C15564">
        <w:t xml:space="preserve">  </w:t>
      </w:r>
      <w:r w:rsidRPr="00430716" w:rsidR="00042482">
        <w:t xml:space="preserve">Clean Energy Associations </w:t>
      </w:r>
      <w:r w:rsidR="0014651E">
        <w:t>argues</w:t>
      </w:r>
      <w:r w:rsidRPr="00430716" w:rsidR="00042482">
        <w:t xml:space="preserve"> that the Commission conflate</w:t>
      </w:r>
      <w:r w:rsidR="0014651E">
        <w:t>s</w:t>
      </w:r>
      <w:r w:rsidRPr="00430716" w:rsidR="00042482">
        <w:t xml:space="preserve"> the cost of equipment with the cost of providing an essential </w:t>
      </w:r>
      <w:r w:rsidR="00C00B3C">
        <w:t>transmission</w:t>
      </w:r>
      <w:r w:rsidRPr="00430716" w:rsidR="00C00B3C">
        <w:t xml:space="preserve"> </w:t>
      </w:r>
      <w:r w:rsidRPr="00430716" w:rsidR="00042482">
        <w:t>service and that providing reactive power—even within the standard power factor range—</w:t>
      </w:r>
      <w:r w:rsidRPr="00B15AFF" w:rsidR="00042482">
        <w:t>comes at the expense of providing real power</w:t>
      </w:r>
      <w:r w:rsidRPr="00430716" w:rsidR="00C10C4B">
        <w:t>.</w:t>
      </w:r>
      <w:r>
        <w:rPr>
          <w:b/>
          <w:bCs/>
          <w:vertAlign w:val="superscript"/>
        </w:rPr>
        <w:footnoteReference w:id="245"/>
      </w:r>
      <w:r w:rsidRPr="00430716" w:rsidR="00042482">
        <w:t xml:space="preserve">  Clean Energy Associations note that a possible solution to this problem could be that the Commission distinguish “reactive power capability” from the “reactive power service.”</w:t>
      </w:r>
      <w:r>
        <w:rPr>
          <w:b/>
          <w:vertAlign w:val="superscript"/>
        </w:rPr>
        <w:footnoteReference w:id="246"/>
      </w:r>
    </w:p>
    <w:p w:rsidR="009325ED" w:rsidP="0028050D" w14:paraId="1E95B5BB" w14:textId="4C225C99">
      <w:pPr>
        <w:pStyle w:val="FERCparanumber"/>
      </w:pPr>
      <w:r>
        <w:t xml:space="preserve">ACORE asserts that a </w:t>
      </w:r>
      <w:r w:rsidRPr="00B15AFF">
        <w:t>requirement</w:t>
      </w:r>
      <w:r>
        <w:t xml:space="preserve"> to provide a service does not negate the fact that costs are incurred to provide that service.</w:t>
      </w:r>
      <w:r>
        <w:rPr>
          <w:rStyle w:val="FootnoteReference"/>
        </w:rPr>
        <w:footnoteReference w:id="247"/>
      </w:r>
      <w:r>
        <w:t xml:space="preserve">  Similarly, Elevate and Indicated Trade Associations argue that, even if it </w:t>
      </w:r>
      <w:r w:rsidR="00D74D38">
        <w:t>were</w:t>
      </w:r>
      <w:r>
        <w:t xml:space="preserve"> true that resources do not incur distinct costs associate</w:t>
      </w:r>
      <w:r w:rsidR="00AE6194">
        <w:t>d</w:t>
      </w:r>
      <w:r>
        <w:t xml:space="preserve"> with reactive power, the Commission fails to point to precedent to support its conclusion that the lack of distinct costs is an appropriate basis on which to deny resources the ability to recover those costs.</w:t>
      </w:r>
      <w:r>
        <w:rPr>
          <w:rStyle w:val="FootnoteReference"/>
        </w:rPr>
        <w:footnoteReference w:id="248"/>
      </w:r>
      <w:r>
        <w:t xml:space="preserve">  </w:t>
      </w:r>
      <w:r w:rsidRPr="00651663">
        <w:t xml:space="preserve">The Indicated Trade Associations assert that the </w:t>
      </w:r>
      <w:r w:rsidRPr="008C719D">
        <w:t>NOPR’s assumption that there are no or minimal costs associated with the provision of reactive power</w:t>
      </w:r>
      <w:r w:rsidRPr="00651663">
        <w:t xml:space="preserve"> </w:t>
      </w:r>
      <w:r>
        <w:t xml:space="preserve">directly </w:t>
      </w:r>
      <w:r w:rsidRPr="00651663">
        <w:t>contradict</w:t>
      </w:r>
      <w:r>
        <w:t>s</w:t>
      </w:r>
      <w:r w:rsidRPr="00651663">
        <w:t xml:space="preserve"> Order No. 888, which </w:t>
      </w:r>
      <w:r>
        <w:t>Indicated Trade Associations argue found that reactive service from generating facilities must be price</w:t>
      </w:r>
      <w:r w:rsidR="00AE6194">
        <w:t>d</w:t>
      </w:r>
      <w:r>
        <w:t xml:space="preserve"> at cost, thereby acknowledging that there are distinguishable costs associated with the provision of reactive power</w:t>
      </w:r>
      <w:r w:rsidRPr="00651663">
        <w:t>.</w:t>
      </w:r>
      <w:r>
        <w:rPr>
          <w:b/>
          <w:bCs/>
          <w:vertAlign w:val="superscript"/>
        </w:rPr>
        <w:footnoteReference w:id="249"/>
      </w:r>
      <w:r w:rsidRPr="00651663">
        <w:t xml:space="preserve">  Middle River Power</w:t>
      </w:r>
      <w:r>
        <w:rPr>
          <w:b/>
          <w:vertAlign w:val="superscript"/>
        </w:rPr>
        <w:t xml:space="preserve"> </w:t>
      </w:r>
      <w:r>
        <w:t>argues</w:t>
      </w:r>
      <w:r w:rsidRPr="00651663">
        <w:t xml:space="preserve"> that the Commission has historically required compensation for reactive power as a separate ancillary service.</w:t>
      </w:r>
      <w:r>
        <w:rPr>
          <w:b/>
          <w:vertAlign w:val="superscript"/>
        </w:rPr>
        <w:footnoteReference w:id="250"/>
      </w:r>
    </w:p>
    <w:p w:rsidR="000C17CC" w:rsidP="00392BEF" w14:paraId="1502A5A9" w14:textId="6119D950">
      <w:pPr>
        <w:pStyle w:val="FERCparanumber"/>
      </w:pPr>
      <w:r>
        <w:t xml:space="preserve">Reactive Service Providers </w:t>
      </w:r>
      <w:r w:rsidR="00C32091">
        <w:t xml:space="preserve">assert that the Commission has not supported its claim that </w:t>
      </w:r>
      <w:r w:rsidR="00945E5A">
        <w:t xml:space="preserve">generating facilities </w:t>
      </w:r>
      <w:r w:rsidR="00BB5663">
        <w:t xml:space="preserve">(and specifically IPP) </w:t>
      </w:r>
      <w:r w:rsidR="0009591C">
        <w:t xml:space="preserve">already </w:t>
      </w:r>
      <w:r w:rsidR="00945E5A">
        <w:t xml:space="preserve">have an obligation to provide </w:t>
      </w:r>
      <w:r w:rsidR="00945E5A">
        <w:t>reactive service within the standard power factor range</w:t>
      </w:r>
      <w:r w:rsidR="0096047F">
        <w:t>.</w:t>
      </w:r>
      <w:r>
        <w:rPr>
          <w:rStyle w:val="FootnoteReference"/>
        </w:rPr>
        <w:footnoteReference w:id="251"/>
      </w:r>
      <w:r w:rsidR="0070774B">
        <w:t xml:space="preserve">  Reactive Service Providers</w:t>
      </w:r>
      <w:r w:rsidR="00BB5663">
        <w:t xml:space="preserve"> argue that </w:t>
      </w:r>
      <w:r w:rsidR="00227D4C">
        <w:t>the NOPR’s finding is contrary to decades of Commission precedent</w:t>
      </w:r>
      <w:r w:rsidR="008A09F4">
        <w:t>,</w:t>
      </w:r>
      <w:r>
        <w:rPr>
          <w:rStyle w:val="FootnoteReference"/>
        </w:rPr>
        <w:footnoteReference w:id="252"/>
      </w:r>
      <w:r w:rsidR="008A09F4">
        <w:t xml:space="preserve"> and the </w:t>
      </w:r>
      <w:r w:rsidR="00F1504B">
        <w:t>Commission “</w:t>
      </w:r>
      <w:r w:rsidRPr="00F1504B" w:rsidR="00F1504B">
        <w:t xml:space="preserve">lost its way as it proceeded to Order No. 2003 and beyond, caught up in a myopic view that unbundling and the emergence of the IPP industry somehow transferred the </w:t>
      </w:r>
      <w:r w:rsidR="00F1504B">
        <w:t>‘</w:t>
      </w:r>
      <w:r w:rsidRPr="00F1504B" w:rsidR="00F1504B">
        <w:t>obligation</w:t>
      </w:r>
      <w:r w:rsidR="00F1504B">
        <w:t>’</w:t>
      </w:r>
      <w:r w:rsidRPr="00F1504B" w:rsidR="00F1504B">
        <w:t xml:space="preserve"> to provide reactive service within the standard range from the Transmission Provider to the IPP generator</w:t>
      </w:r>
      <w:r w:rsidR="00227D4C">
        <w:t>.</w:t>
      </w:r>
      <w:r w:rsidR="00F1504B">
        <w:t>”</w:t>
      </w:r>
      <w:r>
        <w:rPr>
          <w:rStyle w:val="FootnoteReference"/>
        </w:rPr>
        <w:footnoteReference w:id="253"/>
      </w:r>
      <w:r w:rsidR="00DC49E8">
        <w:t xml:space="preserve">  </w:t>
      </w:r>
      <w:r w:rsidR="004E77C6">
        <w:t xml:space="preserve">Reactive Service Providers </w:t>
      </w:r>
      <w:r w:rsidR="00C02FD2">
        <w:t>assert</w:t>
      </w:r>
      <w:r w:rsidR="00DC5EF6">
        <w:t xml:space="preserve"> that transmission providers alon</w:t>
      </w:r>
      <w:r w:rsidR="00E3402B">
        <w:t>e</w:t>
      </w:r>
      <w:r w:rsidR="00DC5EF6">
        <w:t xml:space="preserve"> have the obligation</w:t>
      </w:r>
      <w:r w:rsidR="008B25DE">
        <w:t xml:space="preserve"> to maintain </w:t>
      </w:r>
      <w:r w:rsidR="004A1DC4">
        <w:t>a reliable and stable transmission system</w:t>
      </w:r>
      <w:r w:rsidR="009F1695">
        <w:t xml:space="preserve">, and generating facilities </w:t>
      </w:r>
      <w:r w:rsidR="0073435E">
        <w:t>are</w:t>
      </w:r>
      <w:r w:rsidR="009F1695">
        <w:t xml:space="preserve"> purely a tool that transmission providers use to fulfill this obligation.</w:t>
      </w:r>
      <w:r>
        <w:rPr>
          <w:rStyle w:val="FootnoteReference"/>
        </w:rPr>
        <w:footnoteReference w:id="254"/>
      </w:r>
      <w:r w:rsidR="00392BEF">
        <w:t xml:space="preserve">  </w:t>
      </w:r>
      <w:r w:rsidR="00925AD7">
        <w:t xml:space="preserve">Reactive Service Providers assert that in Order No. 888, </w:t>
      </w:r>
      <w:r w:rsidR="00057864">
        <w:t>the Commission</w:t>
      </w:r>
      <w:r w:rsidR="001755A8">
        <w:t xml:space="preserve"> </w:t>
      </w:r>
      <w:r w:rsidR="00B05205">
        <w:t xml:space="preserve">determined that various ancillary services </w:t>
      </w:r>
      <w:r w:rsidR="001755A8">
        <w:t>support</w:t>
      </w:r>
      <w:r w:rsidR="00006F4E">
        <w:t xml:space="preserve"> the transmission system so that load can be served, but the Commission notably did not find that generating facilities have this</w:t>
      </w:r>
      <w:r w:rsidR="00E86C60">
        <w:t xml:space="preserve"> obligation.</w:t>
      </w:r>
      <w:r>
        <w:rPr>
          <w:rStyle w:val="FootnoteReference"/>
        </w:rPr>
        <w:footnoteReference w:id="255"/>
      </w:r>
      <w:r w:rsidR="0074308B">
        <w:t xml:space="preserve">  Instead, Reactive Service Providers </w:t>
      </w:r>
      <w:r w:rsidR="0074308B">
        <w:t>argue that the Commission merely recognized that</w:t>
      </w:r>
      <w:r w:rsidR="00451C75">
        <w:t xml:space="preserve"> </w:t>
      </w:r>
      <w:r w:rsidR="00277739">
        <w:t xml:space="preserve">generating facilities were a critical tool </w:t>
      </w:r>
      <w:r w:rsidR="00273390">
        <w:t xml:space="preserve">that transmission providers can use to maintain the safe and reliable operation of the </w:t>
      </w:r>
      <w:r w:rsidR="00C00B3C">
        <w:t>transmission system</w:t>
      </w:r>
      <w:r w:rsidR="00273390">
        <w:t>.</w:t>
      </w:r>
      <w:r>
        <w:rPr>
          <w:rStyle w:val="FootnoteReference"/>
        </w:rPr>
        <w:footnoteReference w:id="256"/>
      </w:r>
      <w:r w:rsidR="00E647B5">
        <w:t xml:space="preserve">  Reactive Service Providers assert that</w:t>
      </w:r>
      <w:r w:rsidR="00B83718">
        <w:t xml:space="preserve">, for </w:t>
      </w:r>
      <w:r w:rsidR="00A45DCF">
        <w:t>Reactive Supply and Volta</w:t>
      </w:r>
      <w:r w:rsidR="00E30448">
        <w:t>ge Control from Generation Sources (which ultimately became Schedule 2)</w:t>
      </w:r>
      <w:r w:rsidR="00D548F0">
        <w:t xml:space="preserve">, </w:t>
      </w:r>
      <w:r>
        <w:t xml:space="preserve">the Commission </w:t>
      </w:r>
      <w:r w:rsidR="0047164E">
        <w:t>noted</w:t>
      </w:r>
      <w:r>
        <w:t xml:space="preserve"> that:</w:t>
      </w:r>
    </w:p>
    <w:p w:rsidR="00F61EAE" w:rsidP="00C06B6B" w14:paraId="1BB24A83" w14:textId="37B2B1D2">
      <w:pPr>
        <w:pStyle w:val="FERCparanumber"/>
        <w:numPr>
          <w:ilvl w:val="0"/>
          <w:numId w:val="0"/>
        </w:numPr>
        <w:spacing w:line="240" w:lineRule="auto"/>
        <w:ind w:left="1440" w:right="1440"/>
      </w:pPr>
      <w:r w:rsidRPr="00F61EAE">
        <w:t xml:space="preserve">NERC states that reactive supply is provided from both generation resources and transmission facilities (e.g., capacitors), and lists its provision as two services, distinguished by the facilities that supply them. NERC further distinguishes reactive supply service based on the source of the need for the service: </w:t>
      </w:r>
      <w:r w:rsidR="00351C82">
        <w:t xml:space="preserve"> </w:t>
      </w:r>
      <w:r w:rsidRPr="00F61EAE">
        <w:t>(1)</w:t>
      </w:r>
      <w:r w:rsidR="00351C82">
        <w:t> </w:t>
      </w:r>
      <w:r w:rsidRPr="00F61EAE">
        <w:t>reactive supply needed to support the voltage of the transmission system</w:t>
      </w:r>
      <w:r w:rsidR="00975A21">
        <w:t>;</w:t>
      </w:r>
      <w:r w:rsidRPr="00F61EAE">
        <w:t xml:space="preserve"> and (2) reactive supply needed to correct for the reactive portion of the customer’s load at the delivery point.</w:t>
      </w:r>
      <w:r>
        <w:rPr>
          <w:rStyle w:val="FootnoteReference"/>
        </w:rPr>
        <w:footnoteReference w:id="257"/>
      </w:r>
    </w:p>
    <w:p w:rsidR="00F232A5" w:rsidP="00504C1D" w14:paraId="076A2127" w14:textId="77777777">
      <w:pPr>
        <w:pStyle w:val="FERCparanumber"/>
        <w:numPr>
          <w:ilvl w:val="0"/>
          <w:numId w:val="0"/>
        </w:numPr>
        <w:spacing w:line="240" w:lineRule="auto"/>
      </w:pPr>
    </w:p>
    <w:p w:rsidR="00047121" w:rsidP="00504C1D" w14:paraId="1BE7886B" w14:textId="517E938C">
      <w:pPr>
        <w:pStyle w:val="FERCparanumber"/>
        <w:numPr>
          <w:ilvl w:val="0"/>
          <w:numId w:val="0"/>
        </w:numPr>
      </w:pPr>
      <w:r>
        <w:t xml:space="preserve">Reactive </w:t>
      </w:r>
      <w:r w:rsidR="009A3168">
        <w:t>Service</w:t>
      </w:r>
      <w:r>
        <w:t xml:space="preserve"> Providers </w:t>
      </w:r>
      <w:r w:rsidR="009911B7">
        <w:t xml:space="preserve">assert that </w:t>
      </w:r>
      <w:r w:rsidR="00750446">
        <w:t>NERC did not identify the impact of generating facilities to the transmission system</w:t>
      </w:r>
      <w:r w:rsidR="002825E4">
        <w:t xml:space="preserve"> </w:t>
      </w:r>
      <w:r w:rsidR="00750446">
        <w:t>as a reason or need for reactive supply</w:t>
      </w:r>
      <w:r w:rsidR="009C3D46">
        <w:t xml:space="preserve">, but instead only identified </w:t>
      </w:r>
      <w:r w:rsidR="00070354">
        <w:t>t</w:t>
      </w:r>
      <w:r w:rsidR="007B26BB">
        <w:t xml:space="preserve">he </w:t>
      </w:r>
      <w:r w:rsidR="00DA12CE">
        <w:t xml:space="preserve">transmission system and load </w:t>
      </w:r>
      <w:r w:rsidR="008754B5">
        <w:t>as needing the reactive servi</w:t>
      </w:r>
      <w:r w:rsidR="00CF7DD3">
        <w:t>ce</w:t>
      </w:r>
      <w:r w:rsidR="00703526">
        <w:t>, noting that generating facilities would serve those need</w:t>
      </w:r>
      <w:r w:rsidR="0073435E">
        <w:t>s</w:t>
      </w:r>
      <w:r w:rsidR="00703526">
        <w:t xml:space="preserve"> at the </w:t>
      </w:r>
      <w:r w:rsidR="0073435E">
        <w:t>point of interconnection</w:t>
      </w:r>
      <w:r w:rsidR="00703526">
        <w:t>.</w:t>
      </w:r>
      <w:r>
        <w:rPr>
          <w:rStyle w:val="FootnoteReference"/>
        </w:rPr>
        <w:footnoteReference w:id="258"/>
      </w:r>
      <w:r w:rsidR="009A3168">
        <w:t xml:space="preserve">  Reactive Service Providers assert that</w:t>
      </w:r>
      <w:r w:rsidR="00A52DDD">
        <w:t>,</w:t>
      </w:r>
      <w:r w:rsidR="009A3168">
        <w:t xml:space="preserve"> </w:t>
      </w:r>
      <w:r w:rsidR="00A52DDD">
        <w:t xml:space="preserve">while </w:t>
      </w:r>
      <w:r w:rsidR="00FA186F">
        <w:t>both before and after Order No. 888</w:t>
      </w:r>
      <w:r w:rsidR="004E5A19">
        <w:t xml:space="preserve">, transmission providers holistically relied on generation- and transmission-based reactive </w:t>
      </w:r>
      <w:r w:rsidR="004E5A19">
        <w:t xml:space="preserve">assets to fulfill </w:t>
      </w:r>
      <w:r w:rsidR="00F34C77">
        <w:t>their</w:t>
      </w:r>
      <w:r w:rsidR="004E5A19">
        <w:t xml:space="preserve"> obligation</w:t>
      </w:r>
      <w:r w:rsidR="00F34C77">
        <w:t>s</w:t>
      </w:r>
      <w:r w:rsidR="00EB6521">
        <w:t xml:space="preserve"> to maintain the voltage of the transmission system</w:t>
      </w:r>
      <w:r w:rsidR="00A52DDD">
        <w:t>, generating facilities never had an independent obligation to p</w:t>
      </w:r>
      <w:r w:rsidR="00D20D7D">
        <w:t>rovide reactive service, as the Commission asserts in the NOPR.</w:t>
      </w:r>
      <w:r>
        <w:rPr>
          <w:rStyle w:val="FootnoteReference"/>
        </w:rPr>
        <w:footnoteReference w:id="259"/>
      </w:r>
    </w:p>
    <w:p w:rsidR="00047121" w:rsidP="00392BEF" w14:paraId="02C37B3B" w14:textId="08C3493E">
      <w:pPr>
        <w:pStyle w:val="FERCparanumber"/>
      </w:pPr>
      <w:r>
        <w:t xml:space="preserve">Reactive Service Providers assert that </w:t>
      </w:r>
      <w:r w:rsidR="00DA442A">
        <w:t xml:space="preserve">when the Commission issued Order </w:t>
      </w:r>
      <w:r w:rsidR="003428D4">
        <w:t xml:space="preserve">         </w:t>
      </w:r>
      <w:r w:rsidR="00DA442A">
        <w:t>No. 2003</w:t>
      </w:r>
      <w:r w:rsidR="00A12C02">
        <w:t>, it summarily stated that, as a condition to obtain interconnection service, the generating facility must provide reactive service within the standard power factor range.</w:t>
      </w:r>
      <w:r>
        <w:rPr>
          <w:rStyle w:val="FootnoteReference"/>
        </w:rPr>
        <w:footnoteReference w:id="260"/>
      </w:r>
      <w:r w:rsidR="00B60F3C">
        <w:t xml:space="preserve">  Reactive Service Providers argue that the Commission did not amass any evidence in the </w:t>
      </w:r>
      <w:r w:rsidR="00330F0D">
        <w:t xml:space="preserve">Order No. 2003 </w:t>
      </w:r>
      <w:r w:rsidR="00455AB4">
        <w:t>proceeding</w:t>
      </w:r>
      <w:r w:rsidR="00330F0D">
        <w:t xml:space="preserve"> </w:t>
      </w:r>
      <w:r w:rsidR="00455AB4">
        <w:t>to explain why generating facilities have an obligation to provide</w:t>
      </w:r>
      <w:r w:rsidR="001829C7">
        <w:t xml:space="preserve"> </w:t>
      </w:r>
      <w:r w:rsidR="00EA7D99">
        <w:t xml:space="preserve">reactive service within the standard power factor range </w:t>
      </w:r>
      <w:r w:rsidR="00FD5B38">
        <w:t xml:space="preserve">and </w:t>
      </w:r>
      <w:r w:rsidR="00FC4044">
        <w:t xml:space="preserve">posit that the </w:t>
      </w:r>
      <w:r w:rsidR="0067257D">
        <w:t>Commission may have come to this conclusion in Order No. 2003 and the NOPR</w:t>
      </w:r>
      <w:r w:rsidR="00E650F2">
        <w:t xml:space="preserve"> “because </w:t>
      </w:r>
      <w:r w:rsidRPr="00E23592" w:rsidR="00E23592">
        <w:t xml:space="preserve">the Transmission Provider has always relied on generators as one of its tools to enable the Transmission Provider to fulfill </w:t>
      </w:r>
      <w:r w:rsidRPr="00504C1D" w:rsidR="00E23592">
        <w:t>its</w:t>
      </w:r>
      <w:r w:rsidRPr="00E23592" w:rsidR="00E23592">
        <w:rPr>
          <w:b/>
          <w:bCs/>
        </w:rPr>
        <w:t xml:space="preserve"> </w:t>
      </w:r>
      <w:r w:rsidRPr="00E23592" w:rsidR="00E23592">
        <w:t xml:space="preserve">obligation to maintain the Transmission System in </w:t>
      </w:r>
      <w:r w:rsidR="00500CD8">
        <w:t xml:space="preserve">a </w:t>
      </w:r>
      <w:r w:rsidRPr="00E23592" w:rsidR="00E23592">
        <w:t>safe and reliable manner.</w:t>
      </w:r>
      <w:r w:rsidR="00E23592">
        <w:t>”</w:t>
      </w:r>
      <w:r>
        <w:rPr>
          <w:rStyle w:val="FootnoteReference"/>
        </w:rPr>
        <w:footnoteReference w:id="261"/>
      </w:r>
      <w:r w:rsidR="00CB21FE">
        <w:t xml:space="preserve">  Reactive Service Providers </w:t>
      </w:r>
      <w:r w:rsidR="006221B6">
        <w:t xml:space="preserve">assert that </w:t>
      </w:r>
      <w:r w:rsidRPr="002627AC" w:rsidR="002627AC">
        <w:t>none of</w:t>
      </w:r>
      <w:r w:rsidR="008B2A9F">
        <w:t xml:space="preserve"> the</w:t>
      </w:r>
      <w:r w:rsidRPr="002627AC" w:rsidR="002627AC">
        <w:t xml:space="preserve"> </w:t>
      </w:r>
      <w:r w:rsidR="008B2A9F">
        <w:t>t</w:t>
      </w:r>
      <w:r w:rsidRPr="002627AC" w:rsidR="002627AC">
        <w:t xml:space="preserve">ransmission </w:t>
      </w:r>
      <w:r w:rsidR="008B2A9F">
        <w:t>s</w:t>
      </w:r>
      <w:r w:rsidRPr="002627AC" w:rsidR="002627AC">
        <w:t>ystem operators, NERC</w:t>
      </w:r>
      <w:r w:rsidR="008B2A9F">
        <w:t>,</w:t>
      </w:r>
      <w:r w:rsidRPr="002627AC" w:rsidR="002627AC">
        <w:t xml:space="preserve"> and the </w:t>
      </w:r>
      <w:r w:rsidR="008B2A9F">
        <w:t>Commission,</w:t>
      </w:r>
      <w:r w:rsidRPr="002627AC" w:rsidR="002627AC">
        <w:t xml:space="preserve"> in nearly all precedent</w:t>
      </w:r>
      <w:r w:rsidR="005128A6">
        <w:t>,</w:t>
      </w:r>
      <w:r w:rsidRPr="002627AC" w:rsidR="002627AC">
        <w:t xml:space="preserve"> ha</w:t>
      </w:r>
      <w:r w:rsidR="00464312">
        <w:t>ve</w:t>
      </w:r>
      <w:r w:rsidRPr="002627AC" w:rsidR="002627AC">
        <w:t xml:space="preserve"> ever concluded that generation has an “obligation” to provide reactive service within the standard range</w:t>
      </w:r>
      <w:r w:rsidR="0024089C">
        <w:t>; t</w:t>
      </w:r>
      <w:r w:rsidRPr="002627AC" w:rsidR="002627AC">
        <w:t xml:space="preserve">he </w:t>
      </w:r>
      <w:r w:rsidR="0024089C">
        <w:t>Commission’s</w:t>
      </w:r>
      <w:r w:rsidRPr="002627AC" w:rsidR="002627AC">
        <w:t xml:space="preserve"> statement in Order No. 2003 is an outlier</w:t>
      </w:r>
      <w:r w:rsidR="004451DC">
        <w:t>.</w:t>
      </w:r>
      <w:r>
        <w:rPr>
          <w:rStyle w:val="FootnoteReference"/>
        </w:rPr>
        <w:footnoteReference w:id="262"/>
      </w:r>
    </w:p>
    <w:p w:rsidR="00405098" w:rsidP="006F08DB" w14:paraId="5EBED0C1" w14:textId="40805C66">
      <w:pPr>
        <w:pStyle w:val="FERCparanumber"/>
      </w:pPr>
      <w:r>
        <w:t xml:space="preserve">Similarly, </w:t>
      </w:r>
      <w:r w:rsidR="00E0583B">
        <w:t>Reactive Service Providers</w:t>
      </w:r>
      <w:r>
        <w:t xml:space="preserve"> </w:t>
      </w:r>
      <w:r w:rsidR="00507231">
        <w:t xml:space="preserve">assert that </w:t>
      </w:r>
      <w:r w:rsidR="00A63A13">
        <w:t>“</w:t>
      </w:r>
      <w:r w:rsidR="00507231">
        <w:t xml:space="preserve">good utility </w:t>
      </w:r>
      <w:r w:rsidR="00021FA7">
        <w:t>practice</w:t>
      </w:r>
      <w:r w:rsidR="00A63A13">
        <w:t>”</w:t>
      </w:r>
      <w:r w:rsidR="00021FA7">
        <w:t xml:space="preserve"> does </w:t>
      </w:r>
      <w:r w:rsidR="005A7E4C">
        <w:t xml:space="preserve">not </w:t>
      </w:r>
      <w:r w:rsidR="004B041C">
        <w:t xml:space="preserve">entail </w:t>
      </w:r>
      <w:r w:rsidR="00031697">
        <w:t>an obligation for generating facilities to provide reactive power for free</w:t>
      </w:r>
      <w:r w:rsidR="00544D39">
        <w:t>, and the Commission</w:t>
      </w:r>
      <w:r w:rsidR="00703AF7">
        <w:t xml:space="preserve"> has not explained why </w:t>
      </w:r>
      <w:r w:rsidR="00832FAD">
        <w:t>it believes such obligation exists</w:t>
      </w:r>
      <w:r w:rsidR="00031697">
        <w:t>.</w:t>
      </w:r>
      <w:r>
        <w:rPr>
          <w:rStyle w:val="FootnoteReference"/>
        </w:rPr>
        <w:footnoteReference w:id="263"/>
      </w:r>
      <w:r w:rsidR="003C1F68">
        <w:t xml:space="preserve">  Reactive Service </w:t>
      </w:r>
      <w:r w:rsidR="00ED28F0">
        <w:t>Providers</w:t>
      </w:r>
      <w:r w:rsidR="00653EAB">
        <w:t xml:space="preserve"> argue that </w:t>
      </w:r>
      <w:r w:rsidR="00B6074D">
        <w:t>the current compensation scheme for reactive power</w:t>
      </w:r>
      <w:r w:rsidR="00A40A1D">
        <w:t xml:space="preserve"> is consistent with </w:t>
      </w:r>
      <w:r w:rsidR="006A230B">
        <w:t xml:space="preserve">the Commission’s definition of </w:t>
      </w:r>
      <w:r w:rsidR="00A40A1D">
        <w:t>good utility practice because</w:t>
      </w:r>
      <w:r w:rsidR="006A230B">
        <w:t xml:space="preserve"> it includes practices that “could have been expected to accomplish the desired </w:t>
      </w:r>
      <w:r w:rsidR="00E459EF">
        <w:t xml:space="preserve">result </w:t>
      </w:r>
      <w:r w:rsidRPr="00C06B6B" w:rsidR="00E459EF">
        <w:rPr>
          <w:i/>
        </w:rPr>
        <w:t>at a reasonable cost</w:t>
      </w:r>
      <w:r w:rsidR="00E459EF">
        <w:rPr>
          <w:b/>
          <w:bCs/>
          <w:i/>
          <w:iCs/>
        </w:rPr>
        <w:t xml:space="preserve"> </w:t>
      </w:r>
      <w:r w:rsidR="00E459EF">
        <w:t>consistent with good business practice</w:t>
      </w:r>
      <w:r w:rsidR="00F26F56">
        <w:t>s</w:t>
      </w:r>
      <w:r w:rsidR="00E459EF">
        <w:t>, reliability</w:t>
      </w:r>
      <w:r w:rsidR="00F26F56">
        <w:t>,</w:t>
      </w:r>
      <w:r w:rsidR="00E459EF">
        <w:t xml:space="preserve"> safety and expedition.”</w:t>
      </w:r>
      <w:r>
        <w:rPr>
          <w:rStyle w:val="FootnoteReference"/>
        </w:rPr>
        <w:footnoteReference w:id="264"/>
      </w:r>
      <w:r w:rsidR="00CA3259">
        <w:t xml:space="preserve">  Reactive Service Providers</w:t>
      </w:r>
      <w:r w:rsidR="00B44FD7">
        <w:t xml:space="preserve"> as</w:t>
      </w:r>
      <w:r w:rsidR="00D94901">
        <w:t xml:space="preserve">sert that good utility practice does not address what the electric industry (i.e., the transmission provider) can achieve for free, but rather </w:t>
      </w:r>
      <w:r w:rsidR="00B13E44">
        <w:t xml:space="preserve">a cost that the </w:t>
      </w:r>
      <w:r w:rsidR="002923E4">
        <w:t xml:space="preserve">transmission provider must pay as a matter of “good business practices” in order </w:t>
      </w:r>
      <w:r w:rsidR="002923E4">
        <w:t>to fulfill its obligation.</w:t>
      </w:r>
      <w:r>
        <w:rPr>
          <w:rStyle w:val="FootnoteReference"/>
        </w:rPr>
        <w:footnoteReference w:id="265"/>
      </w:r>
      <w:r w:rsidR="00193737">
        <w:t xml:space="preserve">  Indicated Trade Associations </w:t>
      </w:r>
      <w:r w:rsidR="00963CA2">
        <w:t xml:space="preserve">argue </w:t>
      </w:r>
      <w:r w:rsidR="00193737">
        <w:t>that the Commission cannot deprive publi</w:t>
      </w:r>
      <w:r w:rsidR="004F666E">
        <w:t xml:space="preserve">c utilities from </w:t>
      </w:r>
      <w:r w:rsidR="00257167">
        <w:t>just and reasonable compensation</w:t>
      </w:r>
      <w:r w:rsidR="00781843">
        <w:t xml:space="preserve"> for reactive power within the standard power factor range by simply classifying it as a condition of </w:t>
      </w:r>
      <w:r w:rsidR="008B4B05">
        <w:t>interconnection, particularly when the Commission established that condition.</w:t>
      </w:r>
      <w:r>
        <w:rPr>
          <w:rStyle w:val="FootnoteReference"/>
        </w:rPr>
        <w:footnoteReference w:id="266"/>
      </w:r>
    </w:p>
    <w:p w:rsidR="00C72178" w:rsidP="00CD369F" w14:paraId="70396370" w14:textId="018B0C17">
      <w:pPr>
        <w:pStyle w:val="FERCparanumber"/>
      </w:pPr>
      <w:r>
        <w:t>Generation Developers assert that the NOPR errs in concluding that separate compensation for reactive power may result in a windfall to generators.  Generation Developers note that many generators across markets are in fact increasingly unable to recover their costs.</w:t>
      </w:r>
      <w:r>
        <w:rPr>
          <w:rStyle w:val="FootnoteReference"/>
        </w:rPr>
        <w:footnoteReference w:id="267"/>
      </w:r>
      <w:r w:rsidR="00943C23">
        <w:t xml:space="preserve">  Indicated Trade Associations similarly refute the NOPR’s preliminary conclusion that separate compensation for reactive power within the standard power factor range may result in market distortions, contending that all rates are </w:t>
      </w:r>
      <w:r w:rsidR="00943C23">
        <w:t>approved by the Commission and that any distortions are a result of PJM’s capacity market rules.</w:t>
      </w:r>
      <w:r>
        <w:rPr>
          <w:rStyle w:val="FootnoteReference"/>
        </w:rPr>
        <w:footnoteReference w:id="268"/>
      </w:r>
    </w:p>
    <w:p w:rsidR="00252091" w:rsidRPr="00C06B6B" w:rsidP="00CC797B" w14:paraId="0BFFE3C5" w14:textId="28AB1F3C">
      <w:pPr>
        <w:pStyle w:val="Heading3"/>
        <w:rPr>
          <w:u w:val="single"/>
        </w:rPr>
      </w:pPr>
      <w:bookmarkStart w:id="28" w:name="_bmk10"/>
      <w:bookmarkStart w:id="29" w:name="_Ref177466593"/>
      <w:r w:rsidRPr="00C06B6B">
        <w:rPr>
          <w:u w:val="single"/>
        </w:rPr>
        <w:t>C</w:t>
      </w:r>
      <w:bookmarkEnd w:id="28"/>
      <w:r w:rsidRPr="00C06B6B">
        <w:rPr>
          <w:u w:val="single"/>
        </w:rPr>
        <w:t>ommission Determination</w:t>
      </w:r>
      <w:bookmarkEnd w:id="29"/>
    </w:p>
    <w:p w:rsidR="00E86360" w:rsidP="00B86777" w14:paraId="557497E5" w14:textId="15AD3A24">
      <w:pPr>
        <w:pStyle w:val="FERCparanumber"/>
      </w:pPr>
      <w:r>
        <w:t>Based on our review of the record</w:t>
      </w:r>
      <w:r w:rsidR="00EB1E73">
        <w:t xml:space="preserve">, we </w:t>
      </w:r>
      <w:r>
        <w:t>conclude</w:t>
      </w:r>
      <w:r w:rsidR="00D826F7">
        <w:t xml:space="preserve"> </w:t>
      </w:r>
      <w:r w:rsidRPr="00967143" w:rsidR="00020A0D">
        <w:t>that</w:t>
      </w:r>
      <w:r w:rsidR="004530DF">
        <w:t xml:space="preserve"> </w:t>
      </w:r>
      <w:r w:rsidR="00B3094D">
        <w:t xml:space="preserve">compensation for the provision </w:t>
      </w:r>
      <w:r w:rsidR="00D570B6">
        <w:t xml:space="preserve">of </w:t>
      </w:r>
      <w:r w:rsidRPr="00D00ED1" w:rsidR="00D00ED1">
        <w:t xml:space="preserve">reactive power within the standard power factor range </w:t>
      </w:r>
      <w:r w:rsidR="00BE6E05">
        <w:t xml:space="preserve">is unjust and unreasonable </w:t>
      </w:r>
      <w:r w:rsidR="00E57C92">
        <w:t>because</w:t>
      </w:r>
      <w:r w:rsidR="00030EF4">
        <w:t xml:space="preserve">:  </w:t>
      </w:r>
      <w:r w:rsidR="00FE4DCC">
        <w:t>(</w:t>
      </w:r>
      <w:r w:rsidR="00030EF4">
        <w:t>1)</w:t>
      </w:r>
      <w:r w:rsidR="00E57C92">
        <w:t xml:space="preserve"> </w:t>
      </w:r>
      <w:r w:rsidR="00B65C04">
        <w:t xml:space="preserve">the provision of such reactive power </w:t>
      </w:r>
      <w:r w:rsidR="0089701C">
        <w:t xml:space="preserve">requires </w:t>
      </w:r>
      <w:r w:rsidR="007E5A7A">
        <w:t>either no or</w:t>
      </w:r>
      <w:r w:rsidR="00C77600">
        <w:t xml:space="preserve"> </w:t>
      </w:r>
      <w:r w:rsidR="00872077">
        <w:t>a</w:t>
      </w:r>
      <w:r w:rsidR="00814431">
        <w:t>t most</w:t>
      </w:r>
      <w:r w:rsidR="00872077">
        <w:t xml:space="preserve"> </w:t>
      </w:r>
      <w:r w:rsidR="00872077">
        <w:t xml:space="preserve">a </w:t>
      </w:r>
      <w:r w:rsidR="00872077">
        <w:rPr>
          <w:i/>
          <w:iCs/>
        </w:rPr>
        <w:t>de</w:t>
      </w:r>
      <w:r w:rsidR="004136C9">
        <w:rPr>
          <w:i/>
          <w:iCs/>
        </w:rPr>
        <w:t xml:space="preserve"> </w:t>
      </w:r>
      <w:r w:rsidR="00872077">
        <w:rPr>
          <w:i/>
          <w:iCs/>
        </w:rPr>
        <w:t>mini</w:t>
      </w:r>
      <w:r w:rsidR="004136C9">
        <w:rPr>
          <w:i/>
          <w:iCs/>
        </w:rPr>
        <w:t>m</w:t>
      </w:r>
      <w:r w:rsidR="0014195D">
        <w:rPr>
          <w:i/>
          <w:iCs/>
        </w:rPr>
        <w:t>i</w:t>
      </w:r>
      <w:r w:rsidR="004136C9">
        <w:rPr>
          <w:i/>
          <w:iCs/>
        </w:rPr>
        <w:t>s</w:t>
      </w:r>
      <w:r w:rsidRPr="00C05B45" w:rsidR="004136C9">
        <w:t xml:space="preserve"> </w:t>
      </w:r>
      <w:r w:rsidR="002C604F">
        <w:t>increase in</w:t>
      </w:r>
      <w:r w:rsidR="00C94B83">
        <w:t xml:space="preserve"> variable</w:t>
      </w:r>
      <w:r w:rsidR="002C604F">
        <w:t xml:space="preserve"> </w:t>
      </w:r>
      <w:r w:rsidR="002C604F">
        <w:t>costs</w:t>
      </w:r>
      <w:r w:rsidR="00181AE8">
        <w:t xml:space="preserve"> beyond the cost of providing real </w:t>
      </w:r>
      <w:r w:rsidR="00DC2EC5">
        <w:t>power</w:t>
      </w:r>
      <w:r w:rsidR="005C1C6F">
        <w:t>;</w:t>
      </w:r>
      <w:r w:rsidR="00942081">
        <w:t xml:space="preserve"> </w:t>
      </w:r>
      <w:r w:rsidR="003428D4">
        <w:t xml:space="preserve">    </w:t>
      </w:r>
      <w:r w:rsidR="005C1C6F">
        <w:t>(2)</w:t>
      </w:r>
      <w:r w:rsidR="00942081">
        <w:t xml:space="preserve"> such compensation </w:t>
      </w:r>
      <w:r w:rsidRPr="001B1424" w:rsidR="00DA7622">
        <w:t>may</w:t>
      </w:r>
      <w:r w:rsidR="00DA7622">
        <w:t xml:space="preserve"> result in undue compensation and other market distortions</w:t>
      </w:r>
      <w:r w:rsidR="005C1C6F">
        <w:t>;</w:t>
      </w:r>
      <w:r w:rsidR="000A5638">
        <w:t xml:space="preserve"> and </w:t>
      </w:r>
      <w:r w:rsidR="005C1C6F">
        <w:t>(3)</w:t>
      </w:r>
      <w:r w:rsidR="00A253E9">
        <w:t xml:space="preserve"> </w:t>
      </w:r>
      <w:r w:rsidR="004331E0">
        <w:t>the provision of rea</w:t>
      </w:r>
      <w:r w:rsidR="00DE3B53">
        <w:t>ctive power within the standard power factor range</w:t>
      </w:r>
      <w:r w:rsidRPr="00D00ED1" w:rsidR="00D00ED1">
        <w:t xml:space="preserve"> </w:t>
      </w:r>
      <w:r w:rsidR="00DE3B53">
        <w:t>is</w:t>
      </w:r>
      <w:r w:rsidRPr="00D00ED1" w:rsidR="00D00ED1">
        <w:t xml:space="preserve"> </w:t>
      </w:r>
      <w:r w:rsidRPr="00EF782D" w:rsidR="004C6BAB">
        <w:t>an</w:t>
      </w:r>
      <w:r w:rsidRPr="00D00ED1" w:rsidR="00D00ED1">
        <w:t xml:space="preserve"> obligation </w:t>
      </w:r>
      <w:r w:rsidR="009A770A">
        <w:t xml:space="preserve">of the generating facility as an interconnection customer and consistent </w:t>
      </w:r>
      <w:r w:rsidRPr="00D00ED1" w:rsidR="00D00ED1">
        <w:t>good utility practice.</w:t>
      </w:r>
      <w:r w:rsidRPr="00F277AC" w:rsidR="00F277AC">
        <w:rPr>
          <w:rStyle w:val="FootnoteReference"/>
        </w:rPr>
        <w:t xml:space="preserve"> </w:t>
      </w:r>
      <w:r>
        <w:rPr>
          <w:rStyle w:val="FootnoteReference"/>
        </w:rPr>
        <w:footnoteReference w:id="269"/>
      </w:r>
      <w:r w:rsidR="007B77CB">
        <w:t xml:space="preserve"> </w:t>
      </w:r>
      <w:r w:rsidR="00E576DF">
        <w:t xml:space="preserve"> </w:t>
      </w:r>
    </w:p>
    <w:p w:rsidR="00076074" w:rsidP="00076074" w14:paraId="7D4F06F0" w14:textId="58AB49EA">
      <w:pPr>
        <w:pStyle w:val="FERCparanumber"/>
      </w:pPr>
      <w:r>
        <w:t>As explained i</w:t>
      </w:r>
      <w:r>
        <w:t xml:space="preserve">n the NOPR, because </w:t>
      </w:r>
      <w:r w:rsidRPr="00E91C05">
        <w:t>real and reactive power are provided as joint products with joint costs</w:t>
      </w:r>
      <w:r>
        <w:t xml:space="preserve"> produced from the same equipment</w:t>
      </w:r>
      <w:r w:rsidRPr="00E91C05">
        <w:t xml:space="preserve">, </w:t>
      </w:r>
      <w:bookmarkStart w:id="30" w:name="_Hlk105932792"/>
      <w:r w:rsidRPr="00E91C05">
        <w:t>any allocation of joint fixed costs between real and reactive power could be viewed as inherently arbitrary</w:t>
      </w:r>
      <w:bookmarkEnd w:id="30"/>
      <w:r w:rsidRPr="00E91C05">
        <w:t>.</w:t>
      </w:r>
      <w:bookmarkStart w:id="31" w:name="_Ref116551626"/>
      <w:r>
        <w:rPr>
          <w:b/>
          <w:vertAlign w:val="superscript"/>
        </w:rPr>
        <w:footnoteReference w:id="270"/>
      </w:r>
      <w:bookmarkEnd w:id="31"/>
      <w:r w:rsidRPr="00E91C05">
        <w:t xml:space="preserve">  </w:t>
      </w:r>
      <w:r w:rsidR="00387568">
        <w:t xml:space="preserve">And </w:t>
      </w:r>
      <w:r w:rsidR="00387568">
        <w:t>while</w:t>
      </w:r>
      <w:r w:rsidRPr="002B6B72">
        <w:t xml:space="preserve"> the production of reactive power within the standard power factor range can result in certain incremental variable costs such as fuel, maintenance, and potentially other costs</w:t>
      </w:r>
      <w:r w:rsidR="009668BC">
        <w:t xml:space="preserve">, </w:t>
      </w:r>
      <w:r w:rsidR="00E413B0">
        <w:t>we continue to find, based on the record and past precedent</w:t>
      </w:r>
      <w:r w:rsidR="00D662D3">
        <w:t>,</w:t>
      </w:r>
      <w:r>
        <w:t xml:space="preserve"> </w:t>
      </w:r>
      <w:r w:rsidRPr="002B6B72">
        <w:t xml:space="preserve">that variable costs of generating reactive power </w:t>
      </w:r>
      <w:r w:rsidR="00C958F6">
        <w:t xml:space="preserve">within the standard power factor range </w:t>
      </w:r>
      <w:r w:rsidRPr="002B6B72">
        <w:t xml:space="preserve">are </w:t>
      </w:r>
      <w:r w:rsidR="001459A5">
        <w:t xml:space="preserve">at most </w:t>
      </w:r>
      <w:r w:rsidR="003428D4">
        <w:t xml:space="preserve">                 </w:t>
      </w:r>
      <w:r w:rsidRPr="002B6B72">
        <w:rPr>
          <w:i/>
          <w:iCs/>
        </w:rPr>
        <w:t>de minimis</w:t>
      </w:r>
      <w:r w:rsidRPr="002B6B72">
        <w:t>.</w:t>
      </w:r>
      <w:bookmarkStart w:id="32" w:name="_Ref157702823"/>
      <w:r>
        <w:rPr>
          <w:b/>
          <w:vertAlign w:val="superscript"/>
        </w:rPr>
        <w:footnoteReference w:id="271"/>
      </w:r>
      <w:bookmarkEnd w:id="32"/>
      <w:r>
        <w:t xml:space="preserve">  </w:t>
      </w:r>
      <w:r w:rsidRPr="00D35FC2">
        <w:t>With respect to fixed costs, for synchronous generating facilities, “the same equipment is used to provide real and reactive power.”</w:t>
      </w:r>
      <w:r>
        <w:rPr>
          <w:b/>
          <w:vertAlign w:val="superscript"/>
        </w:rPr>
        <w:footnoteReference w:id="272"/>
      </w:r>
      <w:r w:rsidRPr="00D35FC2">
        <w:t xml:space="preserve">  Non-synchronous generating facilities use a different physical process to produce reactive power, but “the most critical element in VAR production, the inverter,”</w:t>
      </w:r>
      <w:r>
        <w:rPr>
          <w:b/>
          <w:vertAlign w:val="superscript"/>
        </w:rPr>
        <w:footnoteReference w:id="273"/>
      </w:r>
      <w:r w:rsidRPr="003E0951">
        <w:t xml:space="preserve"> is also necessary for non-synchronous generating facilities to produce real power that can be </w:t>
      </w:r>
      <w:r w:rsidRPr="003E0951" w:rsidR="00F267C9">
        <w:t xml:space="preserve">reliably </w:t>
      </w:r>
      <w:r w:rsidRPr="003E0951">
        <w:t xml:space="preserve">injected into </w:t>
      </w:r>
      <w:r w:rsidRPr="003E0951">
        <w:t>AC systems.</w:t>
      </w:r>
      <w:r>
        <w:rPr>
          <w:b/>
          <w:vertAlign w:val="superscript"/>
        </w:rPr>
        <w:footnoteReference w:id="274"/>
      </w:r>
      <w:r w:rsidRPr="003E0951">
        <w:t xml:space="preserve">  In other words, for both synchronous and non-synchronous generating facilities, “[t]here are few if any identifiable costs incurred by generators in order to provide reactive power”</w:t>
      </w:r>
      <w:r>
        <w:rPr>
          <w:b/>
          <w:vertAlign w:val="superscript"/>
        </w:rPr>
        <w:footnoteReference w:id="275"/>
      </w:r>
      <w:r w:rsidRPr="003E0951">
        <w:t xml:space="preserve"> beyond the investments in equipment already necessary to generate and supply real power to the transmission system</w:t>
      </w:r>
      <w:r w:rsidRPr="0029436F">
        <w:t>.</w:t>
      </w:r>
      <w:r>
        <w:rPr>
          <w:b/>
          <w:vertAlign w:val="superscript"/>
        </w:rPr>
        <w:footnoteReference w:id="276"/>
      </w:r>
    </w:p>
    <w:p w:rsidR="000611B5" w14:paraId="52D53546" w14:textId="5CF1DEA2">
      <w:pPr>
        <w:pStyle w:val="FERCparanumber"/>
      </w:pPr>
      <w:r>
        <w:t xml:space="preserve">While </w:t>
      </w:r>
      <w:r w:rsidR="00FD26FE">
        <w:t xml:space="preserve">most </w:t>
      </w:r>
      <w:r w:rsidR="007C3F9F">
        <w:t xml:space="preserve">commenters </w:t>
      </w:r>
      <w:r w:rsidR="00FD26FE">
        <w:t>agree or do not</w:t>
      </w:r>
      <w:r>
        <w:t xml:space="preserve"> </w:t>
      </w:r>
      <w:r w:rsidR="001C3384">
        <w:t>dispute</w:t>
      </w:r>
      <w:r w:rsidR="00176F0A">
        <w:t xml:space="preserve"> that</w:t>
      </w:r>
      <w:r w:rsidR="00383BE3">
        <w:t xml:space="preserve"> </w:t>
      </w:r>
      <w:r w:rsidRPr="00EB36FF" w:rsidR="00383BE3">
        <w:t>all equipment used to produce reactive power</w:t>
      </w:r>
      <w:r w:rsidR="00D43F66">
        <w:t xml:space="preserve">, </w:t>
      </w:r>
      <w:r w:rsidRPr="00EB36FF" w:rsidR="00D43F66">
        <w:t xml:space="preserve">for both synchronous and non-synchronous generating facilities, </w:t>
      </w:r>
      <w:r w:rsidRPr="00EB36FF" w:rsidR="00383BE3">
        <w:t xml:space="preserve">is also necessary in order to produce and deliver to the transmission system real power, </w:t>
      </w:r>
      <w:r w:rsidR="00176F0A">
        <w:t xml:space="preserve">several commenters </w:t>
      </w:r>
      <w:r w:rsidR="004B0614">
        <w:t>dispute the NOPR’s finding</w:t>
      </w:r>
      <w:r w:rsidR="00E04ADA">
        <w:t xml:space="preserve">s </w:t>
      </w:r>
      <w:r w:rsidR="002C3984">
        <w:t xml:space="preserve">that </w:t>
      </w:r>
      <w:r w:rsidR="002B1276">
        <w:t>both synchronous and non</w:t>
      </w:r>
      <w:r w:rsidR="00D93588">
        <w:t>-</w:t>
      </w:r>
      <w:r w:rsidR="002B1276">
        <w:t xml:space="preserve">synchronous facilities incur </w:t>
      </w:r>
      <w:r w:rsidR="00BD2D13">
        <w:t xml:space="preserve">no or at most a </w:t>
      </w:r>
      <w:r w:rsidR="00BD2D13">
        <w:rPr>
          <w:i/>
          <w:iCs/>
        </w:rPr>
        <w:t>de minimis</w:t>
      </w:r>
      <w:r w:rsidRPr="00C05B45" w:rsidR="00BD2D13">
        <w:t xml:space="preserve"> </w:t>
      </w:r>
      <w:r w:rsidR="00BD2D13">
        <w:t>increase in costs beyond the cost of providing real power</w:t>
      </w:r>
      <w:r w:rsidR="002B1276">
        <w:t>.</w:t>
      </w:r>
      <w:r>
        <w:rPr>
          <w:rStyle w:val="FootnoteReference"/>
        </w:rPr>
        <w:footnoteReference w:id="277"/>
      </w:r>
      <w:r w:rsidR="002B1276">
        <w:t xml:space="preserve">  </w:t>
      </w:r>
      <w:r w:rsidR="007E6F55">
        <w:t>However, t</w:t>
      </w:r>
      <w:r w:rsidR="00B233CC">
        <w:t>hese</w:t>
      </w:r>
      <w:r w:rsidR="00F013BB">
        <w:t xml:space="preserve"> </w:t>
      </w:r>
      <w:r w:rsidR="00D23ECC">
        <w:t>commenters</w:t>
      </w:r>
      <w:r w:rsidR="00B81638">
        <w:t xml:space="preserve"> </w:t>
      </w:r>
      <w:r w:rsidR="00057A27">
        <w:t>do not</w:t>
      </w:r>
      <w:r w:rsidRPr="00057A27" w:rsidR="00057A27">
        <w:t xml:space="preserve"> identif</w:t>
      </w:r>
      <w:r w:rsidR="00057A27">
        <w:t>y</w:t>
      </w:r>
      <w:r w:rsidRPr="00057A27" w:rsidR="00057A27">
        <w:t xml:space="preserve"> any specific costs beyond those incurred to </w:t>
      </w:r>
      <w:r w:rsidR="00F21EF7">
        <w:t xml:space="preserve">ensure that </w:t>
      </w:r>
      <w:r w:rsidRPr="00057A27" w:rsidR="00057A27">
        <w:t xml:space="preserve">real power can be </w:t>
      </w:r>
      <w:r w:rsidR="00F21EF7">
        <w:t>reliably</w:t>
      </w:r>
      <w:r w:rsidRPr="00057A27" w:rsidR="00057A27">
        <w:t xml:space="preserve"> injected into the transmission system.</w:t>
      </w:r>
      <w:r>
        <w:rPr>
          <w:b/>
          <w:vertAlign w:val="superscript"/>
        </w:rPr>
        <w:footnoteReference w:id="278"/>
      </w:r>
      <w:r w:rsidRPr="00057A27" w:rsidR="00057A27">
        <w:t xml:space="preserve">  </w:t>
      </w:r>
      <w:r w:rsidR="001F006E">
        <w:t xml:space="preserve">For example, </w:t>
      </w:r>
      <w:r w:rsidRPr="00E937AC" w:rsidR="001F006E">
        <w:t>Indicated Trade Associations</w:t>
      </w:r>
      <w:r w:rsidRPr="00E55600" w:rsidR="001F006E">
        <w:t>,</w:t>
      </w:r>
      <w:r w:rsidRPr="00E937AC" w:rsidR="001F006E">
        <w:t xml:space="preserve"> Generation Developers</w:t>
      </w:r>
      <w:r w:rsidRPr="00E55600" w:rsidR="001F006E">
        <w:t>,</w:t>
      </w:r>
      <w:r w:rsidR="001F006E">
        <w:t xml:space="preserve"> and </w:t>
      </w:r>
      <w:r w:rsidRPr="00675A3C" w:rsidR="001F006E">
        <w:t>Glenvale</w:t>
      </w:r>
      <w:r w:rsidRPr="00E937AC" w:rsidR="001F006E">
        <w:t xml:space="preserve"> emphasize that the</w:t>
      </w:r>
      <w:r w:rsidR="001F006E">
        <w:t>re are</w:t>
      </w:r>
      <w:r w:rsidRPr="00E937AC" w:rsidR="001F006E">
        <w:t xml:space="preserve"> costs of equipment and production associated with reactive power</w:t>
      </w:r>
      <w:r w:rsidRPr="00C4794C" w:rsidR="001F006E">
        <w:t xml:space="preserve">, but </w:t>
      </w:r>
      <w:r w:rsidR="00605CE1">
        <w:t>they</w:t>
      </w:r>
      <w:r w:rsidRPr="00C4794C" w:rsidR="001F006E">
        <w:t xml:space="preserve"> provide </w:t>
      </w:r>
      <w:r w:rsidR="001F006E">
        <w:t xml:space="preserve">only vague references to </w:t>
      </w:r>
      <w:r w:rsidRPr="00C4794C" w:rsidR="001F006E">
        <w:t>those specific equipment costs</w:t>
      </w:r>
      <w:r w:rsidR="001F006E">
        <w:t xml:space="preserve"> and identify no distinct equipment (apart from equipment already needed for real power production).</w:t>
      </w:r>
      <w:r>
        <w:rPr>
          <w:rStyle w:val="FootnoteReference"/>
        </w:rPr>
        <w:footnoteReference w:id="279"/>
      </w:r>
      <w:r w:rsidR="00D95A1D">
        <w:t xml:space="preserve">  </w:t>
      </w:r>
      <w:r w:rsidRPr="000611B5">
        <w:t xml:space="preserve">Many </w:t>
      </w:r>
      <w:r w:rsidR="009428E2">
        <w:t xml:space="preserve">of the </w:t>
      </w:r>
      <w:r w:rsidRPr="000611B5">
        <w:t xml:space="preserve">commenters </w:t>
      </w:r>
      <w:r w:rsidR="00CB03CD">
        <w:t>o</w:t>
      </w:r>
      <w:r w:rsidR="00DB132E">
        <w:t>ppos</w:t>
      </w:r>
      <w:r w:rsidR="00CB03CD">
        <w:t>ing</w:t>
      </w:r>
      <w:r w:rsidR="00DB132E">
        <w:t xml:space="preserve"> the rule also </w:t>
      </w:r>
      <w:r w:rsidRPr="000611B5">
        <w:t>conflate the cost of providing reactive power capability within and outside the standard power factor range.</w:t>
      </w:r>
      <w:r>
        <w:rPr>
          <w:b/>
          <w:bCs/>
          <w:vertAlign w:val="superscript"/>
        </w:rPr>
        <w:footnoteReference w:id="280"/>
      </w:r>
      <w:r w:rsidRPr="000611B5">
        <w:t xml:space="preserve">  For example, commenters suggest that there are opportunity costs to </w:t>
      </w:r>
      <w:r w:rsidRPr="000611B5">
        <w:t>provide reactive power capability, even within the standard power factor range, because doing so requires a generating facility to forgo real power production.</w:t>
      </w:r>
      <w:r>
        <w:rPr>
          <w:b/>
          <w:vertAlign w:val="superscript"/>
        </w:rPr>
        <w:footnoteReference w:id="281"/>
      </w:r>
      <w:r w:rsidRPr="000611B5">
        <w:t xml:space="preserve">  As explained in the NOPR and in other Commission precedent, however, reactive power opportunity costs are an issue </w:t>
      </w:r>
      <w:r w:rsidR="00BB7DF6">
        <w:t>only</w:t>
      </w:r>
      <w:r w:rsidRPr="000611B5">
        <w:t xml:space="preserve"> when providing reactive power </w:t>
      </w:r>
      <w:r w:rsidRPr="000611B5">
        <w:rPr>
          <w:i/>
        </w:rPr>
        <w:t>outside</w:t>
      </w:r>
      <w:r w:rsidRPr="000611B5">
        <w:t xml:space="preserve"> the standard power factor range.</w:t>
      </w:r>
      <w:r w:rsidR="00F63794">
        <w:t xml:space="preserve">  </w:t>
      </w:r>
      <w:r w:rsidRPr="000611B5">
        <w:t>This is because, unlike operating within the standard power factor range, generating facilities operating outside the standard power factor range forgo generating more real power output and thus, forgo sales of real power.</w:t>
      </w:r>
      <w:r>
        <w:rPr>
          <w:b/>
          <w:vertAlign w:val="superscript"/>
        </w:rPr>
        <w:footnoteReference w:id="282"/>
      </w:r>
      <w:r w:rsidRPr="000611B5">
        <w:t xml:space="preserve">  Importantly, commenters do not provide any evidence to support their assertion that operating within the standard power factor range will limit the real power output of their generating facilities.  </w:t>
      </w:r>
      <w:r w:rsidRPr="00F63794" w:rsidR="00763C9B">
        <w:t xml:space="preserve">To the </w:t>
      </w:r>
      <w:r w:rsidRPr="00F63794" w:rsidR="00763C9B">
        <w:t>contrary, rather than limiting real power output, real power cannot be supplied from</w:t>
      </w:r>
      <w:r w:rsidRPr="00F63794">
        <w:t xml:space="preserve"> a generating facility </w:t>
      </w:r>
      <w:r w:rsidRPr="00F63794" w:rsidR="00763C9B">
        <w:t xml:space="preserve">unless that facility is </w:t>
      </w:r>
      <w:r w:rsidRPr="00705808">
        <w:t>produc</w:t>
      </w:r>
      <w:r w:rsidRPr="00F63794" w:rsidR="00F0356D">
        <w:t>ing</w:t>
      </w:r>
      <w:r w:rsidRPr="000611B5">
        <w:t xml:space="preserve"> reactive power within the standard power factor range to generate and safely inject real power into the </w:t>
      </w:r>
      <w:r w:rsidR="00C00B3C">
        <w:t>transmission system</w:t>
      </w:r>
      <w:r w:rsidRPr="000611B5">
        <w:t xml:space="preserve"> and comply with reliability requirements</w:t>
      </w:r>
      <w:r w:rsidR="00417C71">
        <w:t>.</w:t>
      </w:r>
    </w:p>
    <w:p w:rsidR="00CA3B11" w14:paraId="2AC9CA8F" w14:textId="45F6C27F">
      <w:pPr>
        <w:pStyle w:val="FERCparanumber"/>
      </w:pPr>
      <w:r>
        <w:t xml:space="preserve">Like </w:t>
      </w:r>
      <w:r w:rsidR="00835FEE">
        <w:t xml:space="preserve">in </w:t>
      </w:r>
      <w:r w:rsidRPr="00991E25" w:rsidR="00835FEE">
        <w:rPr>
          <w:i/>
          <w:iCs/>
        </w:rPr>
        <w:t>M</w:t>
      </w:r>
      <w:r w:rsidRPr="00991E25" w:rsidR="00890512">
        <w:rPr>
          <w:i/>
          <w:iCs/>
        </w:rPr>
        <w:t>ISO</w:t>
      </w:r>
      <w:r w:rsidR="00890512">
        <w:t xml:space="preserve">, the </w:t>
      </w:r>
      <w:r w:rsidR="001C516F">
        <w:t xml:space="preserve">commenters </w:t>
      </w:r>
      <w:r w:rsidR="00890512">
        <w:t>here</w:t>
      </w:r>
      <w:r w:rsidR="001C516F">
        <w:t xml:space="preserve"> fail to identify any incremental</w:t>
      </w:r>
      <w:r w:rsidRPr="00705808" w:rsidR="001C516F">
        <w:t xml:space="preserve"> </w:t>
      </w:r>
      <w:r w:rsidR="0097547B">
        <w:t>fixed</w:t>
      </w:r>
      <w:r w:rsidR="001C516F">
        <w:t xml:space="preserve"> costs associated with the provision of reactive power within the standard power factor range</w:t>
      </w:r>
      <w:r w:rsidR="00DC5546">
        <w:t xml:space="preserve"> </w:t>
      </w:r>
      <w:r w:rsidR="00867462">
        <w:t xml:space="preserve">and </w:t>
      </w:r>
      <w:r w:rsidR="00BB7DF6">
        <w:t xml:space="preserve">identify </w:t>
      </w:r>
      <w:r w:rsidR="00867462">
        <w:t xml:space="preserve">only </w:t>
      </w:r>
      <w:r w:rsidRPr="00991E25" w:rsidR="00DC5546">
        <w:rPr>
          <w:i/>
        </w:rPr>
        <w:t xml:space="preserve">de </w:t>
      </w:r>
      <w:r w:rsidRPr="00F63794" w:rsidR="002866F7">
        <w:rPr>
          <w:i/>
        </w:rPr>
        <w:t>minimis</w:t>
      </w:r>
      <w:r w:rsidR="00867462">
        <w:rPr>
          <w:iCs/>
        </w:rPr>
        <w:t xml:space="preserve"> variable costs</w:t>
      </w:r>
      <w:r w:rsidRPr="001858D4" w:rsidR="001858D4">
        <w:t>.</w:t>
      </w:r>
      <w:r>
        <w:rPr>
          <w:b/>
          <w:vertAlign w:val="superscript"/>
        </w:rPr>
        <w:footnoteReference w:id="283"/>
      </w:r>
      <w:r w:rsidRPr="001858D4" w:rsidR="001858D4">
        <w:t xml:space="preserve">  </w:t>
      </w:r>
      <w:r w:rsidR="00AF647B">
        <w:t>I</w:t>
      </w:r>
      <w:r w:rsidR="00A2618B">
        <w:t xml:space="preserve">n </w:t>
      </w:r>
      <w:r w:rsidRPr="003B4C2B" w:rsidR="00A2618B">
        <w:rPr>
          <w:i/>
        </w:rPr>
        <w:t>MISO</w:t>
      </w:r>
      <w:r w:rsidR="00A2618B">
        <w:t xml:space="preserve">, </w:t>
      </w:r>
      <w:r w:rsidR="00A11605">
        <w:t>the MISO transmission owners propos</w:t>
      </w:r>
      <w:r w:rsidR="00774FED">
        <w:t>ed</w:t>
      </w:r>
      <w:r w:rsidR="00A11605">
        <w:t xml:space="preserve"> to eliminate </w:t>
      </w:r>
      <w:r w:rsidRPr="00720ECE" w:rsidR="00720ECE">
        <w:t xml:space="preserve">all charges under Schedule 2 for the provision of </w:t>
      </w:r>
      <w:r w:rsidR="00A11605">
        <w:t>reactive power within the standard power factor range</w:t>
      </w:r>
      <w:r w:rsidR="00774FED">
        <w:t xml:space="preserve">.  </w:t>
      </w:r>
      <w:r w:rsidR="008C0F80">
        <w:t>Like here, p</w:t>
      </w:r>
      <w:r w:rsidR="00774FED">
        <w:t>rotesters opposing</w:t>
      </w:r>
      <w:r w:rsidR="00774FED">
        <w:t xml:space="preserve"> </w:t>
      </w:r>
      <w:r w:rsidR="00C058ED">
        <w:t>MISO’s</w:t>
      </w:r>
      <w:r w:rsidR="00774FED">
        <w:t xml:space="preserve"> </w:t>
      </w:r>
      <w:r w:rsidR="008C0F80">
        <w:t xml:space="preserve">proposal </w:t>
      </w:r>
      <w:r w:rsidR="00DA2356">
        <w:t>c</w:t>
      </w:r>
      <w:r w:rsidRPr="00DA2356" w:rsidR="00DA2356">
        <w:t>halleng</w:t>
      </w:r>
      <w:r w:rsidR="008C0F80">
        <w:t>ed</w:t>
      </w:r>
      <w:r w:rsidR="00DF0EAD">
        <w:t xml:space="preserve"> the </w:t>
      </w:r>
      <w:r w:rsidRPr="00DA2356" w:rsidR="00DA2356">
        <w:t xml:space="preserve">conclusion that </w:t>
      </w:r>
      <w:r w:rsidR="00DA2356">
        <w:t xml:space="preserve">reactive power </w:t>
      </w:r>
      <w:r w:rsidR="00DF0EAD">
        <w:t xml:space="preserve">within the </w:t>
      </w:r>
      <w:r w:rsidR="00E67D1B">
        <w:t xml:space="preserve">standard </w:t>
      </w:r>
      <w:r w:rsidR="00DF0EAD">
        <w:t xml:space="preserve">power factor range </w:t>
      </w:r>
      <w:r w:rsidRPr="00DA2356" w:rsidR="00DA2356">
        <w:t>require</w:t>
      </w:r>
      <w:r w:rsidR="00DA2356">
        <w:t>d</w:t>
      </w:r>
      <w:r w:rsidRPr="00DA2356" w:rsidR="00DA2356">
        <w:t xml:space="preserve"> little or no incremental investment</w:t>
      </w:r>
      <w:r w:rsidR="001C3A4A">
        <w:t xml:space="preserve">.  The </w:t>
      </w:r>
      <w:r w:rsidR="0084389A">
        <w:t>Commission</w:t>
      </w:r>
      <w:r w:rsidR="001C3A4A">
        <w:t xml:space="preserve"> rejected their protests</w:t>
      </w:r>
      <w:r w:rsidR="009246DD">
        <w:t>,</w:t>
      </w:r>
      <w:r w:rsidR="001C3A4A">
        <w:t xml:space="preserve"> finding that they</w:t>
      </w:r>
      <w:r w:rsidR="00DA2356">
        <w:t xml:space="preserve"> had failed to </w:t>
      </w:r>
      <w:r w:rsidRPr="00A2618B" w:rsidR="00A2618B">
        <w:t>identif</w:t>
      </w:r>
      <w:r w:rsidR="00D5769A">
        <w:t>y any</w:t>
      </w:r>
      <w:r w:rsidRPr="00A2618B" w:rsidR="00A2618B">
        <w:t xml:space="preserve"> record evidence demonstrating that there are </w:t>
      </w:r>
      <w:r w:rsidRPr="00A2618B" w:rsidR="00A2618B">
        <w:t xml:space="preserve">more than minimal capital expenditures on equipment or additional operations and maintenance costs attributable to providing </w:t>
      </w:r>
      <w:r w:rsidR="001C3A4A">
        <w:t xml:space="preserve">such reactive power.  </w:t>
      </w:r>
      <w:r w:rsidR="0084389A">
        <w:t>Like here, protesters</w:t>
      </w:r>
      <w:r w:rsidR="001C3A4A">
        <w:t xml:space="preserve"> </w:t>
      </w:r>
      <w:r w:rsidRPr="00A2618B" w:rsidR="00A2618B">
        <w:t>allude</w:t>
      </w:r>
      <w:r w:rsidR="008908B6">
        <w:t>d</w:t>
      </w:r>
      <w:r w:rsidRPr="00A2618B" w:rsidR="00A2618B">
        <w:t xml:space="preserve"> to alleged opportunity costs and operation and maintenance costs but </w:t>
      </w:r>
      <w:r w:rsidR="009656D4">
        <w:t xml:space="preserve">failed to </w:t>
      </w:r>
      <w:r w:rsidRPr="00A2618B" w:rsidR="00A2618B">
        <w:t xml:space="preserve">point to </w:t>
      </w:r>
      <w:r w:rsidR="009656D4">
        <w:t>any</w:t>
      </w:r>
      <w:r w:rsidRPr="00A2618B" w:rsidR="00A2618B">
        <w:t xml:space="preserve"> evidence of such costs</w:t>
      </w:r>
      <w:r w:rsidR="008908B6">
        <w:t>.</w:t>
      </w:r>
    </w:p>
    <w:p w:rsidR="000036F5" w:rsidP="000036F5" w14:paraId="2351DB99" w14:textId="1C17BE49">
      <w:pPr>
        <w:pStyle w:val="FERCparanumber"/>
      </w:pPr>
      <w:r w:rsidRPr="00A419BC">
        <w:t xml:space="preserve">Although Generation Developers claim that the report is the most recent and comprehensive evidence on the costs of non-synchronous generating facilities to provide reactive power, </w:t>
      </w:r>
      <w:r w:rsidRPr="00504C1D" w:rsidR="00766F68">
        <w:t xml:space="preserve">Generation </w:t>
      </w:r>
      <w:r w:rsidRPr="00705808" w:rsidR="00766F68">
        <w:t>Developers</w:t>
      </w:r>
      <w:r w:rsidR="00BF6039">
        <w:t>’</w:t>
      </w:r>
      <w:r w:rsidRPr="00504C1D" w:rsidR="00766F68">
        <w:t xml:space="preserve"> argu</w:t>
      </w:r>
      <w:r w:rsidR="00EF7542">
        <w:t>ments</w:t>
      </w:r>
      <w:r w:rsidR="008948DD">
        <w:t xml:space="preserve"> regarding the evidence in</w:t>
      </w:r>
      <w:r w:rsidRPr="00504C1D" w:rsidR="00766F68">
        <w:t xml:space="preserve"> the </w:t>
      </w:r>
      <w:r w:rsidR="003428D4">
        <w:t xml:space="preserve">       </w:t>
      </w:r>
      <w:r w:rsidRPr="007C283A" w:rsidR="00766F68">
        <w:t>2014 Staff Report</w:t>
      </w:r>
      <w:r w:rsidR="00F946FE">
        <w:t xml:space="preserve"> ignore that</w:t>
      </w:r>
      <w:r w:rsidR="00004E70">
        <w:t xml:space="preserve"> the Commission</w:t>
      </w:r>
      <w:r w:rsidR="0096149C">
        <w:t xml:space="preserve"> </w:t>
      </w:r>
      <w:r w:rsidR="00196AE9">
        <w:t>found in the MISO Rehearing Order that even newer wind turbines use inverters that allow</w:t>
      </w:r>
      <w:r w:rsidRPr="00877EA4" w:rsidR="00196AE9">
        <w:t xml:space="preserve"> </w:t>
      </w:r>
      <w:r w:rsidR="00196AE9">
        <w:t>generating facilities to produce and control reactive power without costly additional equipment,</w:t>
      </w:r>
      <w:r>
        <w:rPr>
          <w:rStyle w:val="FootnoteReference"/>
        </w:rPr>
        <w:footnoteReference w:id="284"/>
      </w:r>
      <w:r w:rsidR="00196AE9">
        <w:t xml:space="preserve"> </w:t>
      </w:r>
      <w:r w:rsidR="00D4567C">
        <w:t>and</w:t>
      </w:r>
      <w:r w:rsidR="00F154DE">
        <w:t xml:space="preserve"> has </w:t>
      </w:r>
      <w:r w:rsidR="00D4567C">
        <w:t>found elsewhere</w:t>
      </w:r>
      <w:r>
        <w:rPr>
          <w:b/>
          <w:vertAlign w:val="superscript"/>
        </w:rPr>
        <w:footnoteReference w:id="285"/>
      </w:r>
      <w:r w:rsidR="00F154DE">
        <w:t xml:space="preserve"> that </w:t>
      </w:r>
      <w:r w:rsidR="002C379A">
        <w:t xml:space="preserve">the provision of reactive power </w:t>
      </w:r>
      <w:r w:rsidR="00FF480F">
        <w:t xml:space="preserve">requires no or at most </w:t>
      </w:r>
      <w:r w:rsidRPr="000C129A" w:rsidR="00FF480F">
        <w:rPr>
          <w:i/>
        </w:rPr>
        <w:t>de minimis</w:t>
      </w:r>
      <w:r w:rsidR="00FF480F">
        <w:t xml:space="preserve"> </w:t>
      </w:r>
      <w:r w:rsidR="00853C3C">
        <w:t xml:space="preserve">variable </w:t>
      </w:r>
      <w:r w:rsidR="00FF480F">
        <w:t>costs beyond the cost of producing real power</w:t>
      </w:r>
      <w:r w:rsidR="00402629">
        <w:t>.</w:t>
      </w:r>
    </w:p>
    <w:p w:rsidR="00FA2150" w14:paraId="0BED0EA6" w14:textId="1D40443B">
      <w:pPr>
        <w:pStyle w:val="FERCparanumber"/>
      </w:pPr>
      <w:r w:rsidRPr="00504C1D">
        <w:t>Generation Developers</w:t>
      </w:r>
      <w:r>
        <w:t xml:space="preserve"> also</w:t>
      </w:r>
      <w:r w:rsidRPr="00504C1D">
        <w:t xml:space="preserve"> assert that the Commission’s reliance on a statement from the MISO Rehearing Order, and the purported failure of parties in that proceeding to demonstrate </w:t>
      </w:r>
      <w:r w:rsidR="002A5E4B">
        <w:t xml:space="preserve">significant incremental </w:t>
      </w:r>
      <w:r w:rsidRPr="00504C1D">
        <w:t>costs of non</w:t>
      </w:r>
      <w:r w:rsidR="00D70706">
        <w:t>-</w:t>
      </w:r>
      <w:r w:rsidRPr="00504C1D">
        <w:t>synchronous facilities, does not satisfy the Commission’s burden in this case.</w:t>
      </w:r>
      <w:r>
        <w:rPr>
          <w:rStyle w:val="FootnoteReference"/>
        </w:rPr>
        <w:footnoteReference w:id="286"/>
      </w:r>
      <w:r w:rsidRPr="00504C1D">
        <w:t xml:space="preserve">  Generation Developers add that the </w:t>
      </w:r>
      <w:r w:rsidRPr="00504C1D">
        <w:t>Commission</w:t>
      </w:r>
      <w:r w:rsidR="00E4572E">
        <w:t>’s reliance</w:t>
      </w:r>
      <w:r w:rsidRPr="005D66F7" w:rsidR="00F305BC">
        <w:t xml:space="preserve"> on cases that pre-date the emergence of non-synchronous </w:t>
      </w:r>
      <w:r w:rsidRPr="00504C1D">
        <w:t xml:space="preserve">generating facilities </w:t>
      </w:r>
      <w:r w:rsidRPr="005D66F7" w:rsidR="00F305BC">
        <w:t xml:space="preserve">for the proposition that all </w:t>
      </w:r>
      <w:r w:rsidRPr="00504C1D">
        <w:t xml:space="preserve">generating facilities </w:t>
      </w:r>
      <w:r w:rsidRPr="005D66F7" w:rsidR="00F305BC">
        <w:t xml:space="preserve">have no or </w:t>
      </w:r>
      <w:r w:rsidRPr="00504C1D" w:rsidR="00F305BC">
        <w:rPr>
          <w:i/>
        </w:rPr>
        <w:t xml:space="preserve">de minimis </w:t>
      </w:r>
      <w:r w:rsidRPr="005D66F7" w:rsidR="00F305BC">
        <w:t xml:space="preserve">costs is </w:t>
      </w:r>
      <w:r w:rsidRPr="00504C1D" w:rsidR="00F305BC">
        <w:t>misplaced</w:t>
      </w:r>
      <w:r w:rsidRPr="005D66F7" w:rsidR="00F305BC">
        <w:t>.</w:t>
      </w:r>
      <w:r>
        <w:rPr>
          <w:rStyle w:val="FootnoteReference"/>
        </w:rPr>
        <w:footnoteReference w:id="287"/>
      </w:r>
      <w:r w:rsidRPr="005D66F7" w:rsidR="00F305BC">
        <w:t xml:space="preserve"> </w:t>
      </w:r>
      <w:r w:rsidR="00F305BC">
        <w:t xml:space="preserve"> </w:t>
      </w:r>
      <w:r w:rsidR="003A6664">
        <w:t>Indicated Trade Associations similarly argue that Commission precedent cited in the NOPR (</w:t>
      </w:r>
      <w:r w:rsidRPr="00C06B6B" w:rsidR="003A6664">
        <w:rPr>
          <w:iCs/>
        </w:rPr>
        <w:t>i.e.</w:t>
      </w:r>
      <w:r w:rsidR="003A6664">
        <w:t xml:space="preserve">, </w:t>
      </w:r>
      <w:r w:rsidRPr="00B030B3" w:rsidR="003A6664">
        <w:rPr>
          <w:i/>
          <w:iCs/>
        </w:rPr>
        <w:t>BPA</w:t>
      </w:r>
      <w:r w:rsidR="003A6664">
        <w:t xml:space="preserve"> and </w:t>
      </w:r>
      <w:r w:rsidRPr="00B030B3" w:rsidR="003A6664">
        <w:rPr>
          <w:i/>
          <w:iCs/>
        </w:rPr>
        <w:t>A</w:t>
      </w:r>
      <w:r w:rsidR="00516BCC">
        <w:rPr>
          <w:i/>
          <w:iCs/>
        </w:rPr>
        <w:t>PS</w:t>
      </w:r>
      <w:r w:rsidR="003A6664">
        <w:t xml:space="preserve">) does not support the conclusion that the incremental costs of the provision of reactive power within the standard power factor range are </w:t>
      </w:r>
      <w:r w:rsidR="00F46DB2">
        <w:t xml:space="preserve">at most </w:t>
      </w:r>
      <w:r w:rsidR="003A6664">
        <w:rPr>
          <w:i/>
        </w:rPr>
        <w:t>de minimis</w:t>
      </w:r>
      <w:r w:rsidR="003A6664">
        <w:t>.</w:t>
      </w:r>
      <w:r>
        <w:rPr>
          <w:rStyle w:val="FootnoteReference"/>
        </w:rPr>
        <w:footnoteReference w:id="288"/>
      </w:r>
    </w:p>
    <w:p w:rsidR="00291E66" w:rsidRPr="00705808" w14:paraId="3D5C4328" w14:textId="14EC592C">
      <w:pPr>
        <w:pStyle w:val="FERCparanumber"/>
      </w:pPr>
      <w:r>
        <w:t>We disagree</w:t>
      </w:r>
      <w:r w:rsidR="006E10DD">
        <w:t xml:space="preserve"> with </w:t>
      </w:r>
      <w:r w:rsidR="00D35D42">
        <w:t>Indicated Trade Associations and Generation Developers</w:t>
      </w:r>
      <w:r w:rsidR="008348AE">
        <w:t xml:space="preserve">.  </w:t>
      </w:r>
      <w:r w:rsidR="00833F57">
        <w:t>C</w:t>
      </w:r>
      <w:r w:rsidR="00895643">
        <w:t xml:space="preserve">ommenters provide no support for </w:t>
      </w:r>
      <w:r w:rsidR="00833F57">
        <w:t xml:space="preserve">the contention that decades of Commission precedent </w:t>
      </w:r>
      <w:r w:rsidR="00FB7D9A">
        <w:t>are irrelevant for purp</w:t>
      </w:r>
      <w:r w:rsidR="00603E27">
        <w:t>oses of</w:t>
      </w:r>
      <w:r w:rsidR="00DE5D7F">
        <w:t xml:space="preserve"> </w:t>
      </w:r>
      <w:r w:rsidR="00912A19">
        <w:t>supporting our findings here</w:t>
      </w:r>
      <w:r w:rsidR="009C039A">
        <w:t xml:space="preserve">, </w:t>
      </w:r>
      <w:r w:rsidR="00540487">
        <w:t xml:space="preserve">including </w:t>
      </w:r>
      <w:r w:rsidR="009C039A">
        <w:t xml:space="preserve">precedent </w:t>
      </w:r>
      <w:r w:rsidR="00DE5D55">
        <w:t>f</w:t>
      </w:r>
      <w:r w:rsidR="00A75933">
        <w:t xml:space="preserve">rom </w:t>
      </w:r>
      <w:r w:rsidR="008713E2">
        <w:t>after the emergence of</w:t>
      </w:r>
      <w:r w:rsidR="00075B49">
        <w:t xml:space="preserve"> </w:t>
      </w:r>
      <w:r w:rsidRPr="005D66F7" w:rsidR="00871A51">
        <w:t>non-synchronous generat</w:t>
      </w:r>
      <w:r w:rsidR="009D3E95">
        <w:t>ing facilities</w:t>
      </w:r>
      <w:r w:rsidR="00871A51">
        <w:t>.</w:t>
      </w:r>
      <w:r>
        <w:rPr>
          <w:rStyle w:val="FootnoteReference"/>
        </w:rPr>
        <w:footnoteReference w:id="289"/>
      </w:r>
      <w:r w:rsidR="009F5D23">
        <w:t xml:space="preserve">  </w:t>
      </w:r>
      <w:r w:rsidRPr="007C7D8C" w:rsidR="00970930">
        <w:t>As demonstrated by t</w:t>
      </w:r>
      <w:r w:rsidRPr="007C7D8C" w:rsidR="009C68D5">
        <w:t xml:space="preserve">he decades of </w:t>
      </w:r>
      <w:r w:rsidRPr="007C7D8C" w:rsidR="000E3AA9">
        <w:t>Commission precedent</w:t>
      </w:r>
      <w:r w:rsidRPr="007C7D8C" w:rsidR="006057E9">
        <w:t xml:space="preserve"> cited</w:t>
      </w:r>
      <w:r w:rsidRPr="007C7D8C" w:rsidR="000E3AA9">
        <w:t xml:space="preserve"> </w:t>
      </w:r>
      <w:r w:rsidRPr="007C7D8C" w:rsidR="009C68D5">
        <w:t xml:space="preserve">in the NOPR and here, </w:t>
      </w:r>
      <w:r w:rsidRPr="007C7D8C" w:rsidR="005E3483">
        <w:t>many</w:t>
      </w:r>
      <w:r w:rsidRPr="007C7D8C" w:rsidR="00C9485E">
        <w:t xml:space="preserve"> of </w:t>
      </w:r>
      <w:r w:rsidRPr="007C7D8C" w:rsidR="005E3483">
        <w:t>the</w:t>
      </w:r>
      <w:r w:rsidRPr="007C7D8C" w:rsidR="00970930">
        <w:t xml:space="preserve"> </w:t>
      </w:r>
      <w:r w:rsidRPr="007C7D8C" w:rsidR="00F962AC">
        <w:t xml:space="preserve">findings </w:t>
      </w:r>
      <w:r w:rsidRPr="007C7D8C" w:rsidR="00100339">
        <w:t xml:space="preserve">in </w:t>
      </w:r>
      <w:r w:rsidR="00830FDD">
        <w:t>this final</w:t>
      </w:r>
      <w:r w:rsidRPr="007C7D8C" w:rsidR="00970930">
        <w:t xml:space="preserve"> </w:t>
      </w:r>
      <w:r w:rsidRPr="007C7D8C" w:rsidR="00613D8E">
        <w:t xml:space="preserve">rule </w:t>
      </w:r>
      <w:r w:rsidRPr="007C7D8C" w:rsidR="00970930">
        <w:t xml:space="preserve">are not new.  </w:t>
      </w:r>
      <w:r w:rsidRPr="007C7D8C" w:rsidR="00155A5A">
        <w:t xml:space="preserve">The Commission </w:t>
      </w:r>
      <w:r w:rsidRPr="007C7D8C" w:rsidR="00245450">
        <w:t xml:space="preserve">has reached similar </w:t>
      </w:r>
      <w:r w:rsidRPr="007C7D8C" w:rsidR="00BC7810">
        <w:t xml:space="preserve">conclusions </w:t>
      </w:r>
      <w:r w:rsidRPr="007C7D8C" w:rsidR="00745A98">
        <w:t>based on similar evidence (or lack thereof) in other proceedings</w:t>
      </w:r>
      <w:r w:rsidRPr="007C7D8C" w:rsidR="00993751">
        <w:t xml:space="preserve">, including with respect to the provision of reactive </w:t>
      </w:r>
      <w:r w:rsidRPr="007C7D8C" w:rsidR="00593330">
        <w:t xml:space="preserve">power </w:t>
      </w:r>
      <w:r w:rsidRPr="007C7D8C" w:rsidR="00E666D3">
        <w:t xml:space="preserve">within the standard power factor range by non-synchronous </w:t>
      </w:r>
      <w:r w:rsidRPr="007C7D8C" w:rsidR="00E666D3">
        <w:t>generating facilities</w:t>
      </w:r>
      <w:r w:rsidRPr="007C7D8C" w:rsidR="00745A98">
        <w:t>.</w:t>
      </w:r>
      <w:r>
        <w:rPr>
          <w:rStyle w:val="FootnoteReference"/>
        </w:rPr>
        <w:footnoteReference w:id="290"/>
      </w:r>
      <w:r w:rsidRPr="007C7D8C" w:rsidR="00745A98">
        <w:t xml:space="preserve">  </w:t>
      </w:r>
      <w:r w:rsidRPr="007C7D8C" w:rsidR="003F0F5E">
        <w:t>T</w:t>
      </w:r>
      <w:r w:rsidRPr="007C7D8C" w:rsidR="00851F6A">
        <w:t xml:space="preserve">his </w:t>
      </w:r>
      <w:r w:rsidRPr="007C7D8C" w:rsidR="007A3618">
        <w:t>precedent</w:t>
      </w:r>
      <w:r w:rsidRPr="007C7D8C" w:rsidR="005B0732">
        <w:t xml:space="preserve"> </w:t>
      </w:r>
      <w:r w:rsidR="0011563F">
        <w:t>coupled with the</w:t>
      </w:r>
      <w:r w:rsidR="00D27E71">
        <w:t xml:space="preserve"> evidence in th</w:t>
      </w:r>
      <w:r w:rsidR="0008753A">
        <w:t>is</w:t>
      </w:r>
      <w:r w:rsidR="00D27E71">
        <w:t xml:space="preserve"> </w:t>
      </w:r>
      <w:r w:rsidR="009A5F66">
        <w:t>record</w:t>
      </w:r>
      <w:r w:rsidR="009A5F66">
        <w:t>,</w:t>
      </w:r>
      <w:r w:rsidR="00813BE8">
        <w:t xml:space="preserve"> </w:t>
      </w:r>
      <w:r w:rsidR="00410529">
        <w:t>support</w:t>
      </w:r>
      <w:r w:rsidR="00DF5A40">
        <w:t>s</w:t>
      </w:r>
      <w:r w:rsidR="00410529">
        <w:t xml:space="preserve"> </w:t>
      </w:r>
      <w:r w:rsidR="004A1066">
        <w:t xml:space="preserve">this </w:t>
      </w:r>
      <w:r w:rsidR="00126E54">
        <w:t>final rule</w:t>
      </w:r>
      <w:r w:rsidR="00A36209">
        <w:t xml:space="preserve">, including with respect to non-synchronous </w:t>
      </w:r>
      <w:r w:rsidR="00330270">
        <w:t>generating facilities</w:t>
      </w:r>
      <w:r w:rsidR="00410529">
        <w:t>.</w:t>
      </w:r>
      <w:r>
        <w:rPr>
          <w:rStyle w:val="FootnoteReference"/>
        </w:rPr>
        <w:footnoteReference w:id="291"/>
      </w:r>
    </w:p>
    <w:p w:rsidR="00FF5405" w14:paraId="7A021088" w14:textId="2D3E439D">
      <w:pPr>
        <w:pStyle w:val="FERCparanumber"/>
      </w:pPr>
      <w:r>
        <w:t xml:space="preserve">Glenvale contends that </w:t>
      </w:r>
      <w:r w:rsidR="00F40123">
        <w:t>certain types of non-synchronous generating facilities incur additional costs to provide reactive power when not providing real power, such as for solar generating facilities providing reactive power at night.</w:t>
      </w:r>
      <w:r>
        <w:rPr>
          <w:rStyle w:val="FootnoteReference"/>
        </w:rPr>
        <w:footnoteReference w:id="292"/>
      </w:r>
      <w:r w:rsidR="00F40123">
        <w:t xml:space="preserve">  However, as these capabilities relate to the provision of reactive power when not providing real power, such costs necessarily are for the provision of reactive power outside the standard power factor range and </w:t>
      </w:r>
      <w:r w:rsidRPr="00F63794" w:rsidR="001A225E">
        <w:t>thus are not impacted by and</w:t>
      </w:r>
      <w:r w:rsidRPr="001A225E" w:rsidR="001A225E">
        <w:t xml:space="preserve"> </w:t>
      </w:r>
      <w:r w:rsidR="00F40123">
        <w:t xml:space="preserve">are </w:t>
      </w:r>
      <w:r w:rsidR="006063F6">
        <w:t>beyond the scope of this proceeding.</w:t>
      </w:r>
    </w:p>
    <w:p w:rsidR="00A72F6E" w:rsidP="006056E4" w14:paraId="304A8652" w14:textId="7786B072">
      <w:pPr>
        <w:pStyle w:val="FERCparanumber"/>
        <w:tabs>
          <w:tab w:val="clear" w:pos="720"/>
        </w:tabs>
      </w:pPr>
      <w:r>
        <w:t>Similarly, s</w:t>
      </w:r>
      <w:r w:rsidRPr="00705808" w:rsidR="00057A27">
        <w:t>ome</w:t>
      </w:r>
      <w:r w:rsidRPr="00057A27" w:rsidR="00057A27">
        <w:t xml:space="preserve"> commenters point to capital investments that expand </w:t>
      </w:r>
      <w:r w:rsidR="006D020C">
        <w:t>a generating facilit</w:t>
      </w:r>
      <w:r w:rsidR="000C078F">
        <w:t>y’s</w:t>
      </w:r>
      <w:r w:rsidR="006D020C">
        <w:t xml:space="preserve"> </w:t>
      </w:r>
      <w:r w:rsidRPr="00057A27" w:rsidR="00057A27">
        <w:t xml:space="preserve">reactive power </w:t>
      </w:r>
      <w:r w:rsidR="006D020C">
        <w:t>capability</w:t>
      </w:r>
      <w:r w:rsidRPr="00057A27" w:rsidR="00057A27">
        <w:t xml:space="preserve"> beyond the standard power factor range,</w:t>
      </w:r>
      <w:r>
        <w:rPr>
          <w:b/>
          <w:vertAlign w:val="superscript"/>
        </w:rPr>
        <w:footnoteReference w:id="293"/>
      </w:r>
      <w:r w:rsidRPr="00057A27" w:rsidR="00057A27">
        <w:t xml:space="preserve"> but that </w:t>
      </w:r>
      <w:r w:rsidRPr="00057A27" w:rsidR="00057A27">
        <w:t xml:space="preserve">capability, and thus that investment, does not address the relevant issue of whether </w:t>
      </w:r>
      <w:r w:rsidR="008701EE">
        <w:t>transmission charges associated with the provision of</w:t>
      </w:r>
      <w:r w:rsidRPr="00057A27" w:rsidR="00057A27">
        <w:t xml:space="preserve"> reactive power within the standard range </w:t>
      </w:r>
      <w:r w:rsidR="00820428">
        <w:t>are</w:t>
      </w:r>
      <w:r w:rsidRPr="00057A27" w:rsidR="00057A27">
        <w:t xml:space="preserve"> just and reasonable.</w:t>
      </w:r>
      <w:r>
        <w:rPr>
          <w:b/>
          <w:vertAlign w:val="superscript"/>
        </w:rPr>
        <w:footnoteReference w:id="294"/>
      </w:r>
      <w:r w:rsidR="00D1799F">
        <w:t xml:space="preserve">  </w:t>
      </w:r>
    </w:p>
    <w:p w:rsidR="004665B1" w:rsidRPr="00705808" w:rsidP="00F1713B" w14:paraId="503C02AF" w14:textId="6ED60793">
      <w:pPr>
        <w:pStyle w:val="FERCparanumber"/>
        <w:tabs>
          <w:tab w:val="clear" w:pos="720"/>
        </w:tabs>
      </w:pPr>
      <w:r w:rsidRPr="00A72F6E">
        <w:t>Eagle Creek and others argue that rates calculated using the AEP Methodology are themselves evidence of significant reactive-power-related capital investments.</w:t>
      </w:r>
      <w:r>
        <w:rPr>
          <w:b/>
          <w:vertAlign w:val="superscript"/>
        </w:rPr>
        <w:footnoteReference w:id="295"/>
      </w:r>
      <w:r w:rsidRPr="00A72F6E">
        <w:t xml:space="preserve">  </w:t>
      </w:r>
      <w:r w:rsidR="00D66AA0">
        <w:t xml:space="preserve">Putting aside that these commenters provide no support for their contentions, </w:t>
      </w:r>
      <w:r w:rsidR="006371D3">
        <w:t xml:space="preserve">the </w:t>
      </w:r>
      <w:r w:rsidRPr="006371D3" w:rsidR="006371D3">
        <w:t>AEP Methodology</w:t>
      </w:r>
      <w:r w:rsidR="006371D3">
        <w:t xml:space="preserve"> is</w:t>
      </w:r>
      <w:r w:rsidRPr="006371D3" w:rsidR="006371D3">
        <w:t xml:space="preserve"> a </w:t>
      </w:r>
      <w:r w:rsidRPr="006371D3" w:rsidR="006371D3">
        <w:rPr>
          <w:i/>
          <w:iCs/>
        </w:rPr>
        <w:t>cost allocation methodology</w:t>
      </w:r>
      <w:r w:rsidR="006371D3">
        <w:rPr>
          <w:i/>
          <w:iCs/>
        </w:rPr>
        <w:t xml:space="preserve"> </w:t>
      </w:r>
      <w:r w:rsidR="006371D3">
        <w:t>only; it is not designed to, and does not</w:t>
      </w:r>
      <w:r w:rsidRPr="006371D3" w:rsidR="006371D3">
        <w:t xml:space="preserve">, </w:t>
      </w:r>
      <w:r w:rsidR="006371D3">
        <w:t>establish “</w:t>
      </w:r>
      <w:r w:rsidRPr="006371D3" w:rsidR="006371D3">
        <w:t>evidence of significant reactive-power-related capital investments</w:t>
      </w:r>
      <w:r w:rsidR="006371D3">
        <w:t xml:space="preserve">.”  To the contrary, </w:t>
      </w:r>
      <w:r w:rsidR="005252C5">
        <w:t>were</w:t>
      </w:r>
      <w:r w:rsidR="00D1450B">
        <w:t xml:space="preserve"> </w:t>
      </w:r>
      <w:r w:rsidR="00D1450B">
        <w:t xml:space="preserve">it possible to </w:t>
      </w:r>
      <w:r w:rsidR="00CE2F36">
        <w:t>identify discrete</w:t>
      </w:r>
      <w:r w:rsidR="005252C5">
        <w:t>,</w:t>
      </w:r>
      <w:r w:rsidR="00CE2F36">
        <w:t xml:space="preserve"> </w:t>
      </w:r>
      <w:r w:rsidR="00616932">
        <w:t xml:space="preserve">incremental </w:t>
      </w:r>
      <w:r w:rsidR="00FF6D2A">
        <w:t xml:space="preserve">capital </w:t>
      </w:r>
      <w:r w:rsidR="00CE2F36">
        <w:t xml:space="preserve">investments made </w:t>
      </w:r>
      <w:r w:rsidR="00FF6D2A">
        <w:t>to provide</w:t>
      </w:r>
      <w:r w:rsidR="00D62979">
        <w:t xml:space="preserve"> reactive power</w:t>
      </w:r>
      <w:r w:rsidR="00CE2F36">
        <w:t xml:space="preserve"> </w:t>
      </w:r>
      <w:r w:rsidR="00FF6D2A">
        <w:t>within the standard</w:t>
      </w:r>
      <w:r w:rsidR="00CE2F36">
        <w:t xml:space="preserve"> power</w:t>
      </w:r>
      <w:r w:rsidR="00CE2F36">
        <w:t xml:space="preserve"> </w:t>
      </w:r>
      <w:r w:rsidR="00FF6D2A">
        <w:t>range</w:t>
      </w:r>
      <w:r w:rsidR="005252C5">
        <w:t xml:space="preserve">, </w:t>
      </w:r>
      <w:r w:rsidR="00CE2F36">
        <w:t>the AEP Methodology</w:t>
      </w:r>
      <w:r w:rsidR="005252C5">
        <w:t xml:space="preserve"> could be utilized to </w:t>
      </w:r>
      <w:r w:rsidRPr="005252C5" w:rsidR="005252C5">
        <w:t xml:space="preserve">allocate </w:t>
      </w:r>
      <w:r w:rsidR="0033286B">
        <w:t>such</w:t>
      </w:r>
      <w:r w:rsidRPr="005252C5" w:rsidR="005252C5">
        <w:t xml:space="preserve"> reactive power </w:t>
      </w:r>
      <w:r w:rsidR="005252C5">
        <w:t xml:space="preserve">costs incurred by the generator; </w:t>
      </w:r>
      <w:r w:rsidR="00231CC5">
        <w:t>however,</w:t>
      </w:r>
      <w:r w:rsidR="005252C5">
        <w:t xml:space="preserve"> no such incremental capital costs exist here, and so the AEP Methodology is inapplicable.  In </w:t>
      </w:r>
      <w:r w:rsidR="005252C5">
        <w:t>addition, a</w:t>
      </w:r>
      <w:r w:rsidRPr="00FF6D2A" w:rsidR="00FF6D2A">
        <w:t xml:space="preserve">s noted in the NOPR, the AEP Methodology originated in an era of </w:t>
      </w:r>
      <w:r w:rsidRPr="00D87A33" w:rsidR="00D87A33">
        <w:t>vertically integrated utilities that recovered both generation and transmission costs entirely through cost-based rates and classified those costs under USofA accounting requirements.</w:t>
      </w:r>
      <w:r>
        <w:rPr>
          <w:b/>
          <w:vertAlign w:val="superscript"/>
        </w:rPr>
        <w:footnoteReference w:id="296"/>
      </w:r>
      <w:r w:rsidRPr="00FF6D2A" w:rsidR="00FF6D2A">
        <w:t xml:space="preserve">  </w:t>
      </w:r>
      <w:r w:rsidRPr="00484083" w:rsidR="00484083">
        <w:t xml:space="preserve">The Commission accepted the AEP Methodology as a way to assign these costs </w:t>
      </w:r>
      <w:r w:rsidR="00A97085">
        <w:t xml:space="preserve">using </w:t>
      </w:r>
      <w:r w:rsidRPr="00FF6D2A" w:rsidR="00FF6D2A">
        <w:t xml:space="preserve">a </w:t>
      </w:r>
      <w:r w:rsidR="003428D4">
        <w:t xml:space="preserve">     </w:t>
      </w:r>
      <w:r w:rsidRPr="00FF6D2A" w:rsidR="00FF6D2A">
        <w:t xml:space="preserve">cost-of-service allocation method for assigning joint costs between the generation and transmission functions. </w:t>
      </w:r>
      <w:r w:rsidR="0006584B">
        <w:t xml:space="preserve"> </w:t>
      </w:r>
      <w:r w:rsidRPr="008D63DC" w:rsidR="006636C9">
        <w:rPr>
          <w:rFonts w:eastAsia="Times New Roman"/>
        </w:rPr>
        <w:t xml:space="preserve">As the </w:t>
      </w:r>
      <w:r w:rsidRPr="00705808" w:rsidR="006636C9">
        <w:t>PJM IMM explains “</w:t>
      </w:r>
      <w:r w:rsidR="00BF1ABC">
        <w:t>T</w:t>
      </w:r>
      <w:r w:rsidRPr="00705808" w:rsidR="006636C9">
        <w:t>he AEP Method[ology] is not about identifying incremental costs incurred to provide reactive power .</w:t>
      </w:r>
      <w:r w:rsidRPr="00131447" w:rsidR="006636C9">
        <w:t xml:space="preserve"> . . [but rather] allocates the costs of an integrated power plant between reactive power and real power.”</w:t>
      </w:r>
      <w:r>
        <w:rPr>
          <w:b/>
          <w:vertAlign w:val="superscript"/>
        </w:rPr>
        <w:footnoteReference w:id="297"/>
      </w:r>
      <w:r w:rsidR="00FB5D5F">
        <w:t xml:space="preserve">  </w:t>
      </w:r>
      <w:r w:rsidR="00A5276E">
        <w:t>As noted in the Fern Initial Decision, “</w:t>
      </w:r>
      <w:r w:rsidR="00BF1ABC">
        <w:t>T</w:t>
      </w:r>
      <w:r w:rsidRPr="00CF4C7B" w:rsidR="00A5276E">
        <w:t xml:space="preserve">he </w:t>
      </w:r>
      <w:r w:rsidRPr="00CF4C7B" w:rsidR="00CF4C7B">
        <w:t xml:space="preserve">standard techniques for addressing a facility that operates in both a monopoly market and a competitive market—cost allocation and </w:t>
      </w:r>
      <w:r w:rsidRPr="00CF4C7B" w:rsidR="00CF4C7B">
        <w:t xml:space="preserve">revenue credit—have no connection to the AEP </w:t>
      </w:r>
      <w:r w:rsidR="00A5276E">
        <w:t>[M]</w:t>
      </w:r>
      <w:r w:rsidRPr="00CF4C7B" w:rsidR="00A5276E">
        <w:t>ethod</w:t>
      </w:r>
      <w:r w:rsidR="00A5276E">
        <w:t>[ology</w:t>
      </w:r>
      <w:r w:rsidR="00A5276E">
        <w:t>]</w:t>
      </w:r>
      <w:r w:rsidR="002F7481">
        <w:t>,</w:t>
      </w:r>
      <w:r w:rsidR="00A5276E">
        <w:t>”</w:t>
      </w:r>
      <w:r w:rsidR="002F7481">
        <w:t xml:space="preserve"> and</w:t>
      </w:r>
      <w:r w:rsidR="002F7481">
        <w:t xml:space="preserve"> </w:t>
      </w:r>
      <w:r w:rsidR="003428D4">
        <w:t xml:space="preserve">                  </w:t>
      </w:r>
      <w:r w:rsidR="002F7481">
        <w:t>“[a]</w:t>
      </w:r>
      <w:r w:rsidRPr="002F7481" w:rsidR="002F7481">
        <w:t>uto-transporting a monopoly-era method into an organized-market context—which is exactly what this proceeding’s witnesses do, what dozens of settlements do and what this Initial Decision does—is not regulating based on physical facts.”</w:t>
      </w:r>
      <w:r>
        <w:rPr>
          <w:rStyle w:val="FootnoteReference"/>
        </w:rPr>
        <w:footnoteReference w:id="298"/>
      </w:r>
    </w:p>
    <w:p w:rsidR="007B6967" w14:paraId="26D1ABEE" w14:textId="55CD4A48">
      <w:pPr>
        <w:pStyle w:val="FERCparanumber"/>
        <w:tabs>
          <w:tab w:val="clear" w:pos="720"/>
        </w:tabs>
      </w:pPr>
      <w:r>
        <w:t xml:space="preserve">We </w:t>
      </w:r>
      <w:r w:rsidR="003C1B07">
        <w:t>also</w:t>
      </w:r>
      <w:r>
        <w:t xml:space="preserve"> disagree with those </w:t>
      </w:r>
      <w:r w:rsidR="000A0F25">
        <w:t xml:space="preserve">commenters </w:t>
      </w:r>
      <w:r w:rsidR="00935FF1">
        <w:t xml:space="preserve">that </w:t>
      </w:r>
      <w:r w:rsidRPr="00E441F4" w:rsidR="00E441F4">
        <w:t>suggest that the mere existence of joint products requires allocating costs to both</w:t>
      </w:r>
      <w:r w:rsidR="00F50FFD">
        <w:t xml:space="preserve"> real and reactive po</w:t>
      </w:r>
      <w:r w:rsidR="00A64A1C">
        <w:t>wer</w:t>
      </w:r>
      <w:r w:rsidR="009B7085">
        <w:t xml:space="preserve"> production</w:t>
      </w:r>
      <w:r w:rsidR="00C809AE">
        <w:t>.  These</w:t>
      </w:r>
      <w:r w:rsidRPr="00444BE3" w:rsidR="00444BE3">
        <w:t xml:space="preserve"> assertions disregard longstanding Commission precedent.</w:t>
      </w:r>
      <w:r>
        <w:rPr>
          <w:b/>
          <w:vertAlign w:val="superscript"/>
        </w:rPr>
        <w:footnoteReference w:id="299"/>
      </w:r>
      <w:r w:rsidRPr="00444BE3" w:rsidR="00444BE3">
        <w:t xml:space="preserve"> </w:t>
      </w:r>
      <w:r w:rsidRPr="00444BE3" w:rsidR="00444BE3">
        <w:t xml:space="preserve"> </w:t>
      </w:r>
      <w:r w:rsidRPr="004F3234" w:rsidR="00444BE3">
        <w:t>PSEG</w:t>
      </w:r>
      <w:r w:rsidRPr="00444BE3" w:rsidR="00444BE3">
        <w:t>, for example, relies on</w:t>
      </w:r>
      <w:r w:rsidRPr="00504C1D" w:rsidR="00444BE3">
        <w:rPr>
          <w:i/>
        </w:rPr>
        <w:t xml:space="preserve"> </w:t>
      </w:r>
      <w:r w:rsidRPr="00943CD8" w:rsidR="00444BE3">
        <w:rPr>
          <w:i/>
          <w:iCs/>
        </w:rPr>
        <w:t>Dynegy Midwest Generation, Inc. v. FER</w:t>
      </w:r>
      <w:r w:rsidRPr="00444BE3" w:rsidR="00444BE3">
        <w:rPr>
          <w:i/>
          <w:iCs/>
        </w:rPr>
        <w:t>C</w:t>
      </w:r>
      <w:r w:rsidRPr="00444BE3" w:rsidR="00444BE3">
        <w:t xml:space="preserve"> for the proposition that “the </w:t>
      </w:r>
      <w:r w:rsidR="003428D4">
        <w:t xml:space="preserve">                </w:t>
      </w:r>
      <w:r w:rsidRPr="00444BE3" w:rsidR="00444BE3">
        <w:t>NOPR . . . conflicts with Commission and judicial precedents that have long recognized that there are specific fixed costs associated with the production of reactive power.”</w:t>
      </w:r>
      <w:r>
        <w:rPr>
          <w:b/>
          <w:vertAlign w:val="superscript"/>
        </w:rPr>
        <w:footnoteReference w:id="300"/>
      </w:r>
      <w:r w:rsidRPr="00444BE3" w:rsidR="00444BE3">
        <w:t xml:space="preserve">  But the Commission explicitly rejected this same argument when Dynegy made it in the </w:t>
      </w:r>
      <w:r w:rsidRPr="00504C1D" w:rsidR="00444BE3">
        <w:rPr>
          <w:i/>
        </w:rPr>
        <w:t>MISO</w:t>
      </w:r>
      <w:r w:rsidRPr="00444BE3" w:rsidR="00444BE3">
        <w:t xml:space="preserve"> proceeding</w:t>
      </w:r>
      <w:r w:rsidRPr="00444BE3" w:rsidR="00444BE3">
        <w:t>.</w:t>
      </w:r>
      <w:r>
        <w:rPr>
          <w:b/>
          <w:vertAlign w:val="superscript"/>
        </w:rPr>
        <w:footnoteReference w:id="301"/>
      </w:r>
    </w:p>
    <w:p w:rsidR="00E1095B" w:rsidP="00E1095B" w14:paraId="3C17D8CE" w14:textId="7BF5F18C">
      <w:pPr>
        <w:pStyle w:val="FERCparanumber"/>
        <w:tabs>
          <w:tab w:val="clear" w:pos="720"/>
        </w:tabs>
      </w:pPr>
      <w:r>
        <w:t>Thus, based on</w:t>
      </w:r>
      <w:r>
        <w:t xml:space="preserve"> the </w:t>
      </w:r>
      <w:r>
        <w:t>totality of the record</w:t>
      </w:r>
      <w:r>
        <w:t>, we agree with Ameren that, f</w:t>
      </w:r>
      <w:r w:rsidRPr="007C5F33">
        <w:t xml:space="preserve">or both synchronous and non-synchronous generating facilities, </w:t>
      </w:r>
      <w:r>
        <w:t>“it is []</w:t>
      </w:r>
      <w:r w:rsidRPr="00755271">
        <w:t xml:space="preserve"> well-documented that the same equipment used to produce real power includes reactive power functions</w:t>
      </w:r>
      <w:r>
        <w:t xml:space="preserve">,” and </w:t>
      </w:r>
      <w:r w:rsidRPr="00755271">
        <w:t xml:space="preserve">thus </w:t>
      </w:r>
      <w:r>
        <w:t>“</w:t>
      </w:r>
      <w:r w:rsidRPr="00755271">
        <w:t>there is little, if any, incremental cost associated with providing reactive power</w:t>
      </w:r>
      <w:r w:rsidRPr="007C5F33">
        <w:t>”</w:t>
      </w:r>
      <w:r>
        <w:t xml:space="preserve"> beyond the investments in equipment already necessary to generate and supply real power to the transmission system.</w:t>
      </w:r>
      <w:r>
        <w:rPr>
          <w:b/>
          <w:vertAlign w:val="superscript"/>
        </w:rPr>
        <w:footnoteReference w:id="302"/>
      </w:r>
      <w:r>
        <w:t xml:space="preserve">  As discussed </w:t>
      </w:r>
      <w:r w:rsidR="00390BDD">
        <w:t>below</w:t>
      </w:r>
      <w:r>
        <w:t xml:space="preserve">, we also find that the joint costs associated with the production of real and reactive power </w:t>
      </w:r>
      <w:r w:rsidRPr="000F4438" w:rsidR="00BF5431">
        <w:t>are costs that generat</w:t>
      </w:r>
      <w:r w:rsidR="00BF5431">
        <w:t>ing facilities</w:t>
      </w:r>
      <w:r w:rsidRPr="000F4438" w:rsidR="00BF5431">
        <w:t xml:space="preserve"> must incur to provide the real power for which they are compensated</w:t>
      </w:r>
      <w:r>
        <w:t>.</w:t>
      </w:r>
      <w:r>
        <w:rPr>
          <w:rStyle w:val="FootnoteReference"/>
        </w:rPr>
        <w:footnoteReference w:id="303"/>
      </w:r>
    </w:p>
    <w:p w:rsidR="00BA2D14" w:rsidP="00830469" w14:paraId="1CAF8C99" w14:textId="0150BC4B">
      <w:pPr>
        <w:pStyle w:val="FERCparanumber"/>
        <w:tabs>
          <w:tab w:val="clear" w:pos="720"/>
        </w:tabs>
      </w:pPr>
      <w:r>
        <w:t xml:space="preserve">Reactive Service Providers </w:t>
      </w:r>
      <w:r w:rsidR="00CE5B89">
        <w:t>argue that the Commission has not supported its claim that generating facil</w:t>
      </w:r>
      <w:r w:rsidR="00650130">
        <w:t xml:space="preserve">ities </w:t>
      </w:r>
      <w:r w:rsidR="006C18AD">
        <w:t>already have an obligation to provide reactive service within the standard power factor range.</w:t>
      </w:r>
      <w:r w:rsidR="00E940C7">
        <w:t xml:space="preserve">  </w:t>
      </w:r>
      <w:r w:rsidR="00FA0B96">
        <w:t xml:space="preserve">Specifically, </w:t>
      </w:r>
      <w:r w:rsidR="00900476">
        <w:t xml:space="preserve">Reactive Service Providers assert that </w:t>
      </w:r>
      <w:r w:rsidR="00B973A2">
        <w:t>when the Commission issued Order No. 2003, it summarily stated that</w:t>
      </w:r>
      <w:r w:rsidR="00387C13">
        <w:t xml:space="preserve"> a generating facility must provide </w:t>
      </w:r>
      <w:r w:rsidR="00333926">
        <w:t>reactive service</w:t>
      </w:r>
      <w:r w:rsidR="00387C13">
        <w:t xml:space="preserve"> within the standard power factor range </w:t>
      </w:r>
      <w:r w:rsidR="00BC6823">
        <w:t>as a condition</w:t>
      </w:r>
      <w:r w:rsidR="00CF013C">
        <w:t xml:space="preserve"> to obtain interconnection service</w:t>
      </w:r>
      <w:r w:rsidR="00530857">
        <w:t xml:space="preserve">, but </w:t>
      </w:r>
      <w:r w:rsidR="00DA62D4">
        <w:t>it did not ama</w:t>
      </w:r>
      <w:r w:rsidR="00763AF1">
        <w:t>ss any</w:t>
      </w:r>
      <w:r w:rsidR="00DA62D4">
        <w:t xml:space="preserve"> evidence </w:t>
      </w:r>
      <w:r w:rsidR="000E7A55">
        <w:t>to explain why generating facilities have this obligation.</w:t>
      </w:r>
      <w:r w:rsidR="00E940C7">
        <w:t xml:space="preserve">  </w:t>
      </w:r>
      <w:r w:rsidR="000E7A55">
        <w:t xml:space="preserve">Reactive Service Providers claim that </w:t>
      </w:r>
      <w:r w:rsidR="007429D4">
        <w:t>Order No. 200</w:t>
      </w:r>
      <w:r w:rsidR="00821483">
        <w:t>3 is an outlier</w:t>
      </w:r>
      <w:r w:rsidR="0008267E">
        <w:t xml:space="preserve"> </w:t>
      </w:r>
      <w:r w:rsidR="00D3586E">
        <w:t>among Commission precedent</w:t>
      </w:r>
      <w:r w:rsidR="0008267E">
        <w:t xml:space="preserve"> and </w:t>
      </w:r>
      <w:r w:rsidRPr="0098632C" w:rsidR="0008267E">
        <w:t xml:space="preserve">that none of the transmission system operators, NERC, </w:t>
      </w:r>
      <w:r w:rsidRPr="00CE6C02" w:rsidR="00DC05F3">
        <w:t>or</w:t>
      </w:r>
      <w:r w:rsidRPr="00705808" w:rsidR="003E338F">
        <w:t xml:space="preserve"> </w:t>
      </w:r>
      <w:r w:rsidRPr="0098632C" w:rsidR="0008267E">
        <w:t xml:space="preserve">the Commission, in nearly all precedent, has ever </w:t>
      </w:r>
      <w:r w:rsidR="0008267E">
        <w:t xml:space="preserve">articulated such obligation. </w:t>
      </w:r>
      <w:r w:rsidR="001353BB">
        <w:t xml:space="preserve"> </w:t>
      </w:r>
      <w:r w:rsidRPr="00CE6C02" w:rsidR="00ED1B3E">
        <w:t>However, a</w:t>
      </w:r>
      <w:r w:rsidRPr="00705808" w:rsidR="00FB066E">
        <w:t>s</w:t>
      </w:r>
      <w:r w:rsidR="00FB066E">
        <w:t xml:space="preserve"> discussed at length abov</w:t>
      </w:r>
      <w:r w:rsidR="003D324D">
        <w:t>e</w:t>
      </w:r>
      <w:r w:rsidR="007C01D9">
        <w:t xml:space="preserve">, </w:t>
      </w:r>
      <w:r w:rsidR="00F218C3">
        <w:t>outlined</w:t>
      </w:r>
      <w:r w:rsidR="007C01D9">
        <w:t xml:space="preserve"> i</w:t>
      </w:r>
      <w:r w:rsidR="001353BB">
        <w:t xml:space="preserve">n the NOPR, </w:t>
      </w:r>
      <w:r w:rsidR="007C01D9">
        <w:t xml:space="preserve">and </w:t>
      </w:r>
      <w:r w:rsidR="00F218C3">
        <w:t xml:space="preserve">reiterated </w:t>
      </w:r>
      <w:r w:rsidR="007C01D9">
        <w:t xml:space="preserve">in recent Commission decisions, </w:t>
      </w:r>
      <w:r w:rsidR="001353BB">
        <w:t>the Commission</w:t>
      </w:r>
      <w:r w:rsidR="00157DF7">
        <w:t xml:space="preserve"> has</w:t>
      </w:r>
      <w:r w:rsidR="007C01D9">
        <w:t xml:space="preserve"> </w:t>
      </w:r>
      <w:r w:rsidR="00E5243B">
        <w:t xml:space="preserve">for decades </w:t>
      </w:r>
      <w:r w:rsidR="00EE4B61">
        <w:t>stated</w:t>
      </w:r>
      <w:r w:rsidR="00E5243B">
        <w:t xml:space="preserve"> </w:t>
      </w:r>
      <w:r w:rsidRPr="00CD2C9F" w:rsidR="007C01D9">
        <w:t xml:space="preserve">that </w:t>
      </w:r>
      <w:r w:rsidR="00CF4C62">
        <w:t>“</w:t>
      </w:r>
      <w:r w:rsidRPr="00CD2C9F" w:rsidR="007C01D9">
        <w:t>the provision of reactive power within the standard power factor range is, in the first instance, an obligation of the interconnecting generator and good utility practice</w:t>
      </w:r>
      <w:r w:rsidR="00C532A7">
        <w:t>.</w:t>
      </w:r>
      <w:r w:rsidRPr="00CD2C9F" w:rsidR="007C01D9">
        <w:t>”</w:t>
      </w:r>
      <w:r>
        <w:rPr>
          <w:rStyle w:val="FootnoteReference"/>
        </w:rPr>
        <w:footnoteReference w:id="304"/>
      </w:r>
      <w:r w:rsidRPr="00CD2C9F" w:rsidR="007C01D9">
        <w:t xml:space="preserve">  </w:t>
      </w:r>
      <w:r w:rsidR="004924A9">
        <w:t xml:space="preserve">We </w:t>
      </w:r>
      <w:r w:rsidR="004924A9">
        <w:t xml:space="preserve">find Reactive Service Providers’ </w:t>
      </w:r>
      <w:r w:rsidR="006870F7">
        <w:t>comments challenging th</w:t>
      </w:r>
      <w:r w:rsidR="00C81D86">
        <w:t>is well</w:t>
      </w:r>
      <w:r w:rsidR="00D162B8">
        <w:t>-</w:t>
      </w:r>
      <w:r w:rsidR="00C81D86">
        <w:t>established p</w:t>
      </w:r>
      <w:r w:rsidR="00D162B8">
        <w:t>olicy to be a collateral attack on Order No. 2003</w:t>
      </w:r>
      <w:r w:rsidR="005F6B99">
        <w:t>.</w:t>
      </w:r>
      <w:r>
        <w:rPr>
          <w:rStyle w:val="FootnoteReference"/>
        </w:rPr>
        <w:footnoteReference w:id="305"/>
      </w:r>
    </w:p>
    <w:p w:rsidR="0031122B" w:rsidP="007917F9" w14:paraId="583E2887" w14:textId="17FB3D47">
      <w:pPr>
        <w:pStyle w:val="FERCparanumber"/>
      </w:pPr>
      <w:r>
        <w:t>Further, a</w:t>
      </w:r>
      <w:r w:rsidRPr="00E937AC" w:rsidR="003E5112">
        <w:t xml:space="preserve">s the Commission has explained, to interconnect </w:t>
      </w:r>
      <w:r w:rsidRPr="00E937AC" w:rsidR="008725DE">
        <w:t>reliably</w:t>
      </w:r>
      <w:r w:rsidRPr="00E937AC" w:rsidR="003E5112">
        <w:t xml:space="preserve"> to the transmission system and deliver power to customers, generating facilities must be capable of maintaining voltage levels for injecting real power into the </w:t>
      </w:r>
      <w:r w:rsidR="00C00B3C">
        <w:t>transmission system</w:t>
      </w:r>
      <w:r w:rsidRPr="00E937AC" w:rsidR="003E5112">
        <w:t>.</w:t>
      </w:r>
      <w:r>
        <w:rPr>
          <w:b/>
          <w:vertAlign w:val="superscript"/>
        </w:rPr>
        <w:footnoteReference w:id="306"/>
      </w:r>
      <w:r w:rsidR="00050AE5">
        <w:t xml:space="preserve">  Said differently, </w:t>
      </w:r>
      <w:r w:rsidR="00F632E4">
        <w:t xml:space="preserve">“if a </w:t>
      </w:r>
      <w:r w:rsidRPr="00F632E4" w:rsidR="00F632E4">
        <w:t>generator is to sell (and be able to deliver) its power to a customer, reactive power is essential to the transaction</w:t>
      </w:r>
      <w:r w:rsidR="00F632E4">
        <w:t>.”</w:t>
      </w:r>
      <w:r>
        <w:rPr>
          <w:rStyle w:val="FootnoteReference"/>
        </w:rPr>
        <w:footnoteReference w:id="307"/>
      </w:r>
      <w:r w:rsidR="00285575">
        <w:t xml:space="preserve">  Thus, standalone compensation for the </w:t>
      </w:r>
      <w:r w:rsidR="00285575">
        <w:t>pr</w:t>
      </w:r>
      <w:r w:rsidR="00A41DBC">
        <w:t>ovision of reactive power within the standard power factor range</w:t>
      </w:r>
      <w:r w:rsidR="003F0959">
        <w:t xml:space="preserve"> does not result in just and reasonable transmission rates</w:t>
      </w:r>
      <w:r w:rsidR="001240CE">
        <w:t>.</w:t>
      </w:r>
    </w:p>
    <w:p w:rsidR="0035078D" w:rsidP="007917F9" w14:paraId="13CC022A" w14:textId="1D7388D2">
      <w:pPr>
        <w:pStyle w:val="FERCparanumber"/>
      </w:pPr>
      <w:r w:rsidRPr="00B42828">
        <w:t xml:space="preserve">Some commenters note that </w:t>
      </w:r>
      <w:r w:rsidR="007B22BA">
        <w:t xml:space="preserve">because </w:t>
      </w:r>
      <w:r w:rsidRPr="00B42828">
        <w:t>Order No. 888 defined voltage support as a distinct ancillary service, it must be compensated separately.</w:t>
      </w:r>
      <w:r>
        <w:rPr>
          <w:b/>
          <w:vertAlign w:val="superscript"/>
        </w:rPr>
        <w:footnoteReference w:id="308"/>
      </w:r>
      <w:r w:rsidR="00DB1448">
        <w:t xml:space="preserve">  </w:t>
      </w:r>
      <w:r w:rsidR="00CE2C9D">
        <w:t>T</w:t>
      </w:r>
      <w:r w:rsidRPr="003A24BE" w:rsidR="003A24BE">
        <w:t xml:space="preserve">he Commission’s policy on reactive power compensation has evolved since issuing Order No. 888, which </w:t>
      </w:r>
      <w:r w:rsidRPr="003A24BE" w:rsidR="003A24BE">
        <w:t xml:space="preserve">included provisions regarding reactive power from generating facilities as an ancillary service in Schedule 2 of the </w:t>
      </w:r>
      <w:r w:rsidRPr="003A24BE" w:rsidR="003A24BE">
        <w:rPr>
          <w:i/>
          <w:iCs/>
        </w:rPr>
        <w:t>pro forma</w:t>
      </w:r>
      <w:r w:rsidRPr="003A24BE" w:rsidR="003A24BE">
        <w:t xml:space="preserve"> OATT.</w:t>
      </w:r>
      <w:r>
        <w:rPr>
          <w:b/>
          <w:vertAlign w:val="superscript"/>
        </w:rPr>
        <w:footnoteReference w:id="309"/>
      </w:r>
      <w:r w:rsidRPr="003A24BE" w:rsidR="003A24BE">
        <w:t xml:space="preserve">  </w:t>
      </w:r>
      <w:r w:rsidRPr="00CE6C02" w:rsidR="003E38EF">
        <w:t>Specifically, i</w:t>
      </w:r>
      <w:r w:rsidRPr="00705808" w:rsidR="003A24BE">
        <w:t>n</w:t>
      </w:r>
      <w:r w:rsidRPr="003A24BE" w:rsidR="003A24BE">
        <w:t xml:space="preserve"> Order No. 2003, when adopting the </w:t>
      </w:r>
      <w:r w:rsidRPr="003A24BE" w:rsidR="003A24BE">
        <w:rPr>
          <w:i/>
          <w:iCs/>
        </w:rPr>
        <w:t>pro forma</w:t>
      </w:r>
      <w:r w:rsidRPr="00C05B45" w:rsidR="003A24BE">
        <w:t xml:space="preserve"> </w:t>
      </w:r>
      <w:r w:rsidRPr="003A24BE" w:rsidR="003A24BE">
        <w:t>LGIA, the Commission initially concluded that</w:t>
      </w:r>
      <w:r w:rsidRPr="003A24BE" w:rsidR="003A24BE">
        <w:t xml:space="preserve"> </w:t>
      </w:r>
      <w:r w:rsidRPr="003A24BE" w:rsidR="003A24BE">
        <w:t>the interconnection customer should not be compensated for reactive power when operating within the range established in the interconnection agreement because doing so “is only meeting [the generating facility’s] obligation.”</w:t>
      </w:r>
      <w:r>
        <w:rPr>
          <w:b/>
          <w:vertAlign w:val="superscript"/>
        </w:rPr>
        <w:footnoteReference w:id="310"/>
      </w:r>
      <w:r w:rsidRPr="003A24BE" w:rsidR="003A24BE">
        <w:t xml:space="preserve">  </w:t>
      </w:r>
      <w:r w:rsidRPr="00CE6C02" w:rsidR="00B7049B">
        <w:t>And</w:t>
      </w:r>
      <w:r w:rsidRPr="00CE6C02" w:rsidR="00D42859">
        <w:t xml:space="preserve"> i</w:t>
      </w:r>
      <w:r w:rsidRPr="003A24BE" w:rsidR="003A24BE">
        <w:t>n Order No. 2003-A, the Commission clarified that “if the Transmission Provider pays its own or its affiliated generators for reactive power within the established range, it must also pay the Interconnection Customer.”</w:t>
      </w:r>
      <w:r>
        <w:rPr>
          <w:b/>
          <w:vertAlign w:val="superscript"/>
        </w:rPr>
        <w:footnoteReference w:id="311"/>
      </w:r>
      <w:r w:rsidRPr="003A24BE" w:rsidR="003A24BE">
        <w:t xml:space="preserve">  As a result, since Order No. 2003-A, the</w:t>
      </w:r>
      <w:r w:rsidRPr="00705808" w:rsidR="003A24BE">
        <w:t xml:space="preserve"> </w:t>
      </w:r>
      <w:r w:rsidRPr="00CE6C02" w:rsidR="00F84FAC">
        <w:t>sole</w:t>
      </w:r>
      <w:r w:rsidRPr="003A24BE" w:rsidR="003A24BE">
        <w:t xml:space="preserve"> basis for reactive power capability compensation within the standard power factor range has been comparability (i.e., to ensure </w:t>
      </w:r>
      <w:r w:rsidR="00213479">
        <w:t>comparable</w:t>
      </w:r>
      <w:r w:rsidRPr="003A24BE" w:rsidR="003A24BE">
        <w:t xml:space="preserve"> treatment between affiliated and unaffiliated </w:t>
      </w:r>
      <w:r w:rsidR="00330270">
        <w:t>generating facilities</w:t>
      </w:r>
      <w:r w:rsidRPr="003A24BE" w:rsidR="003A24BE">
        <w:t xml:space="preserve">), not compensability (i.e., an independent right to receive </w:t>
      </w:r>
      <w:r w:rsidRPr="003A24BE" w:rsidR="003A24BE">
        <w:t>compensation for reactive power within the standard power factor range).</w:t>
      </w:r>
      <w:r>
        <w:rPr>
          <w:b/>
          <w:vertAlign w:val="superscript"/>
        </w:rPr>
        <w:footnoteReference w:id="312"/>
      </w:r>
      <w:r w:rsidRPr="003A24BE" w:rsidR="003A24BE">
        <w:t xml:space="preserve">  The Commission has reiterated these findings in subsequent orders permitting transmission providers to eliminate separate compensation for generating facilities providing reactive power within the standard power factor range.</w:t>
      </w:r>
      <w:r>
        <w:rPr>
          <w:b/>
          <w:vertAlign w:val="superscript"/>
        </w:rPr>
        <w:footnoteReference w:id="313"/>
      </w:r>
      <w:r w:rsidRPr="003A24BE" w:rsidR="003A24BE">
        <w:t xml:space="preserve"> </w:t>
      </w:r>
      <w:r w:rsidRPr="00B42828">
        <w:t xml:space="preserve"> </w:t>
      </w:r>
      <w:r w:rsidR="00BF61F1">
        <w:t xml:space="preserve">Accordingly, </w:t>
      </w:r>
      <w:r w:rsidRPr="00705808" w:rsidR="00BF61F1">
        <w:t>commenters</w:t>
      </w:r>
      <w:r w:rsidR="00A811B0">
        <w:t>’</w:t>
      </w:r>
      <w:r w:rsidR="00BF61F1">
        <w:t xml:space="preserve"> </w:t>
      </w:r>
      <w:r w:rsidR="003C3029">
        <w:t>arguments in this regard are without merit.</w:t>
      </w:r>
    </w:p>
    <w:p w:rsidR="00B312B0" w:rsidP="00714BB4" w14:paraId="6B236C07" w14:textId="115430F6">
      <w:pPr>
        <w:pStyle w:val="FERCparanumber"/>
      </w:pPr>
      <w:r w:rsidRPr="000F4438">
        <w:t xml:space="preserve">We also find </w:t>
      </w:r>
      <w:r w:rsidRPr="005B09F5">
        <w:t xml:space="preserve">Elevate’s and Glenvale’s </w:t>
      </w:r>
      <w:r w:rsidRPr="000F4438">
        <w:t xml:space="preserve">arguments that some resource classes incur additional costs, </w:t>
      </w:r>
      <w:r w:rsidRPr="005B09F5">
        <w:t>including Elevate’s claims</w:t>
      </w:r>
      <w:r>
        <w:t xml:space="preserve"> about battery degradation</w:t>
      </w:r>
      <w:r w:rsidRPr="000F4438">
        <w:t>, unpersuasive.</w:t>
      </w:r>
      <w:r>
        <w:rPr>
          <w:rStyle w:val="FootnoteReference"/>
        </w:rPr>
        <w:footnoteReference w:id="314"/>
      </w:r>
      <w:r w:rsidRPr="000F4438">
        <w:t xml:space="preserve"> </w:t>
      </w:r>
      <w:r w:rsidR="003E7080">
        <w:t xml:space="preserve"> </w:t>
      </w:r>
      <w:r w:rsidRPr="000F4438">
        <w:t xml:space="preserve">Elevate highlights battery degradation caused by </w:t>
      </w:r>
      <w:r w:rsidR="004E2884">
        <w:t xml:space="preserve">the provision of </w:t>
      </w:r>
      <w:r w:rsidRPr="000F4438">
        <w:t xml:space="preserve">reactive power, while Glenvale notes the operational and replacement costs associated with providing reactive power within the </w:t>
      </w:r>
      <w:r w:rsidR="00E87090">
        <w:t xml:space="preserve">standard </w:t>
      </w:r>
      <w:r w:rsidRPr="000F4438">
        <w:t xml:space="preserve">power factor range but neither explains how or why such </w:t>
      </w:r>
      <w:r w:rsidR="003E7080">
        <w:t>cost</w:t>
      </w:r>
      <w:r w:rsidR="00135B1B">
        <w:t>s</w:t>
      </w:r>
      <w:r w:rsidR="003E7080">
        <w:t xml:space="preserve"> </w:t>
      </w:r>
      <w:r w:rsidRPr="000F4438">
        <w:t xml:space="preserve">are different and separate from the costs to provide real power. </w:t>
      </w:r>
      <w:r w:rsidR="003E7080">
        <w:t xml:space="preserve"> </w:t>
      </w:r>
      <w:r w:rsidRPr="00CE6C02" w:rsidR="00193C61">
        <w:t xml:space="preserve">Degradation of components of </w:t>
      </w:r>
      <w:r w:rsidRPr="00CE6C02">
        <w:t xml:space="preserve">a </w:t>
      </w:r>
      <w:r w:rsidRPr="00CE6C02" w:rsidR="00193C61">
        <w:t xml:space="preserve">generator, including degradation of batteries, is a natural and inevitable </w:t>
      </w:r>
      <w:r w:rsidRPr="00CE6C02">
        <w:t>result</w:t>
      </w:r>
      <w:r w:rsidRPr="00CE6C02" w:rsidR="00193C61">
        <w:t xml:space="preserve"> of power plant operation.</w:t>
      </w:r>
      <w:r w:rsidRPr="00193C61" w:rsidR="00193C61">
        <w:t xml:space="preserve">  </w:t>
      </w:r>
      <w:r w:rsidRPr="00705808">
        <w:t xml:space="preserve">As a result, </w:t>
      </w:r>
      <w:r w:rsidRPr="00CE6C02" w:rsidR="00330962">
        <w:t>the</w:t>
      </w:r>
      <w:r w:rsidR="00330962">
        <w:t xml:space="preserve"> </w:t>
      </w:r>
      <w:r w:rsidRPr="000F4438">
        <w:t>costs</w:t>
      </w:r>
      <w:r w:rsidR="00176093">
        <w:t xml:space="preserve"> </w:t>
      </w:r>
      <w:r w:rsidRPr="00CE6C02" w:rsidR="00176093">
        <w:t xml:space="preserve">incurred </w:t>
      </w:r>
      <w:r w:rsidRPr="00CE6C02" w:rsidR="00DC6D52">
        <w:t xml:space="preserve">by a generator </w:t>
      </w:r>
      <w:r w:rsidRPr="00CE6C02" w:rsidR="00E83A8C">
        <w:t>to address such degradation</w:t>
      </w:r>
      <w:r w:rsidRPr="000F4438">
        <w:t>, like other costs discussed above, are costs that generat</w:t>
      </w:r>
      <w:r w:rsidR="009D3E95">
        <w:t>ing facilities</w:t>
      </w:r>
      <w:r w:rsidRPr="000F4438">
        <w:t xml:space="preserve"> must incur to provide the real power for which they </w:t>
      </w:r>
      <w:r w:rsidR="006439EA">
        <w:t xml:space="preserve">may seek </w:t>
      </w:r>
      <w:r w:rsidRPr="00705808" w:rsidR="006439EA">
        <w:t>compensat</w:t>
      </w:r>
      <w:r w:rsidR="006439EA">
        <w:t>ion</w:t>
      </w:r>
      <w:r w:rsidRPr="00CE6C02" w:rsidR="00684133">
        <w:t>; nor do</w:t>
      </w:r>
      <w:r w:rsidRPr="000F4438">
        <w:t xml:space="preserve"> transmission customers receive benefits that are commensurate with the charges for the </w:t>
      </w:r>
      <w:r w:rsidRPr="000F4438">
        <w:t>provision of reactive power within the standard power factor range.</w:t>
      </w:r>
      <w:r>
        <w:t xml:space="preserve">  </w:t>
      </w:r>
      <w:r w:rsidR="00F327A7">
        <w:t xml:space="preserve">Moreover, </w:t>
      </w:r>
      <w:r w:rsidR="001C0FE7">
        <w:t xml:space="preserve">as discussed further below, </w:t>
      </w:r>
      <w:r w:rsidR="00F327A7">
        <w:t>b</w:t>
      </w:r>
      <w:r w:rsidR="002F3738">
        <w:t xml:space="preserve">attery storage resources, like all other generating facilities, still have the opportunity to </w:t>
      </w:r>
      <w:r w:rsidR="00B14386">
        <w:t xml:space="preserve">seek to </w:t>
      </w:r>
      <w:r w:rsidR="002F3738">
        <w:t xml:space="preserve">recover </w:t>
      </w:r>
      <w:r w:rsidR="00402903">
        <w:t>their costs</w:t>
      </w:r>
      <w:r w:rsidR="00402903">
        <w:t xml:space="preserve"> through </w:t>
      </w:r>
      <w:r w:rsidR="005141A8">
        <w:t xml:space="preserve">sales of energy </w:t>
      </w:r>
      <w:r w:rsidR="002A282D">
        <w:t>and capacity</w:t>
      </w:r>
      <w:r w:rsidR="002F3738">
        <w:t>, and the Commission’s actions here do not undercut those opportunities.</w:t>
      </w:r>
      <w:r>
        <w:rPr>
          <w:rStyle w:val="FootnoteReference"/>
        </w:rPr>
        <w:footnoteReference w:id="315"/>
      </w:r>
    </w:p>
    <w:p w:rsidR="00011399" w:rsidP="00714BB4" w14:paraId="7C9F76A0" w14:textId="13840071">
      <w:pPr>
        <w:pStyle w:val="FERCparanumber"/>
      </w:pPr>
      <w:r>
        <w:t xml:space="preserve">Similarly, regarding NEI’s assertion that nuclear generating facilities incur disproportionate degradation from the provision of reactive power within the standard power factor range, we find that to the extent there are </w:t>
      </w:r>
      <w:r w:rsidRPr="00525B17">
        <w:rPr>
          <w:i/>
          <w:iCs/>
        </w:rPr>
        <w:t>de minimis</w:t>
      </w:r>
      <w:r w:rsidRPr="00525B17">
        <w:t xml:space="preserve"> variable costs</w:t>
      </w:r>
      <w:r>
        <w:t xml:space="preserve"> associated with providing reactive power within the standard power factor range, generating facilities in RTO/ISO markets could seek to recover such </w:t>
      </w:r>
      <w:r w:rsidRPr="00525B17">
        <w:t>costs</w:t>
      </w:r>
      <w:r>
        <w:t xml:space="preserve"> through energy </w:t>
      </w:r>
      <w:r>
        <w:t xml:space="preserve">and capacity </w:t>
      </w:r>
      <w:r>
        <w:t>markets.  Transmission providers are responsible for maintaining voltage levels within their regions and have authority to direct generating facilities to operate at appropriate power factors to ensure system reliability.</w:t>
      </w:r>
      <w:r>
        <w:rPr>
          <w:rStyle w:val="FootnoteReference"/>
        </w:rPr>
        <w:footnoteReference w:id="316"/>
      </w:r>
    </w:p>
    <w:p w:rsidR="004263AC" w:rsidP="00446C58" w14:paraId="4DA053A1" w14:textId="04969428">
      <w:pPr>
        <w:pStyle w:val="FERCparanumber"/>
        <w:tabs>
          <w:tab w:val="clear" w:pos="720"/>
        </w:tabs>
      </w:pPr>
      <w:r>
        <w:t>In response to</w:t>
      </w:r>
      <w:r w:rsidRPr="00446C58" w:rsidR="00606B64">
        <w:t xml:space="preserve"> </w:t>
      </w:r>
      <w:r w:rsidRPr="009555FA" w:rsidR="0033432D">
        <w:t>Clean Energy Associations</w:t>
      </w:r>
      <w:r w:rsidRPr="009555FA" w:rsidR="00606B64">
        <w:t>’</w:t>
      </w:r>
      <w:r w:rsidRPr="009555FA" w:rsidR="0033432D">
        <w:t xml:space="preserve"> asser</w:t>
      </w:r>
      <w:r w:rsidRPr="009555FA" w:rsidR="00606B64">
        <w:t>tion</w:t>
      </w:r>
      <w:r w:rsidRPr="009555FA" w:rsidR="0033432D">
        <w:t xml:space="preserve"> that reactive power is not always coupled with </w:t>
      </w:r>
      <w:r w:rsidRPr="009555FA">
        <w:t xml:space="preserve">real </w:t>
      </w:r>
      <w:r w:rsidRPr="009555FA" w:rsidR="0033432D">
        <w:t>power</w:t>
      </w:r>
      <w:r w:rsidRPr="00446C58">
        <w:t>,</w:t>
      </w:r>
      <w:r>
        <w:rPr>
          <w:b/>
          <w:vertAlign w:val="superscript"/>
        </w:rPr>
        <w:footnoteReference w:id="317"/>
      </w:r>
      <w:r w:rsidR="006917E5">
        <w:t xml:space="preserve"> </w:t>
      </w:r>
      <w:r w:rsidR="00E611BD">
        <w:t xml:space="preserve">we </w:t>
      </w:r>
      <w:r w:rsidR="00614793">
        <w:t>reiterate</w:t>
      </w:r>
      <w:r w:rsidR="00AB3EC1">
        <w:t xml:space="preserve"> that the </w:t>
      </w:r>
      <w:r w:rsidR="00126E54">
        <w:t>final rule</w:t>
      </w:r>
      <w:r w:rsidR="00AB3EC1">
        <w:t xml:space="preserve"> addresses </w:t>
      </w:r>
      <w:r w:rsidR="00614793">
        <w:t xml:space="preserve">only </w:t>
      </w:r>
      <w:r w:rsidR="00CB0CF0">
        <w:t xml:space="preserve">compensation </w:t>
      </w:r>
      <w:r w:rsidR="00614793">
        <w:t>for the provision of reactive power</w:t>
      </w:r>
      <w:r w:rsidR="00CB0CF0">
        <w:t xml:space="preserve"> within the standard power factor range and </w:t>
      </w:r>
      <w:r w:rsidR="00FD678A">
        <w:t xml:space="preserve">that producing </w:t>
      </w:r>
      <w:r w:rsidR="008C4C6E">
        <w:t>solely</w:t>
      </w:r>
      <w:r w:rsidR="004B0359">
        <w:t xml:space="preserve"> reactive power (</w:t>
      </w:r>
      <w:r w:rsidRPr="00247FFE" w:rsidR="005920F9">
        <w:t>i</w:t>
      </w:r>
      <w:r w:rsidRPr="00247FFE" w:rsidR="004B0359">
        <w:t>.</w:t>
      </w:r>
      <w:r w:rsidRPr="00247FFE" w:rsidR="005920F9">
        <w:t>e</w:t>
      </w:r>
      <w:r w:rsidRPr="00247FFE" w:rsidR="004B0359">
        <w:t>.</w:t>
      </w:r>
      <w:r w:rsidR="008C4C6E">
        <w:t>,</w:t>
      </w:r>
      <w:r w:rsidR="004B0359">
        <w:t xml:space="preserve"> a power factor of zero) entails </w:t>
      </w:r>
      <w:r w:rsidR="006C2690">
        <w:t xml:space="preserve">reactive power production outside of the standard power factor range.  As such, we find Clean Energy Associations’ concerns outside the scope of this </w:t>
      </w:r>
      <w:r w:rsidR="00126E54">
        <w:t>final rule</w:t>
      </w:r>
      <w:r w:rsidR="006C2690">
        <w:t>.</w:t>
      </w:r>
    </w:p>
    <w:p w:rsidR="0033432D" w:rsidRPr="00446C58" w:rsidP="00446C58" w14:paraId="6F8EE5DB" w14:textId="1FBE7E07">
      <w:pPr>
        <w:pStyle w:val="FERCparanumber"/>
        <w:tabs>
          <w:tab w:val="clear" w:pos="720"/>
        </w:tabs>
      </w:pPr>
      <w:r>
        <w:t xml:space="preserve">We also find that compensation for the provision of reactive power within the standard power factor range </w:t>
      </w:r>
      <w:r w:rsidR="00A14865">
        <w:t xml:space="preserve">could </w:t>
      </w:r>
      <w:r w:rsidRPr="00EF782D">
        <w:t xml:space="preserve">result in undue compensation </w:t>
      </w:r>
      <w:r>
        <w:t>and</w:t>
      </w:r>
      <w:r w:rsidRPr="002262D7">
        <w:t xml:space="preserve"> other market distortions</w:t>
      </w:r>
      <w:r>
        <w:t>.</w:t>
      </w:r>
      <w:r>
        <w:rPr>
          <w:rStyle w:val="FootnoteReference"/>
        </w:rPr>
        <w:footnoteReference w:id="318"/>
      </w:r>
      <w:r>
        <w:t xml:space="preserve">  </w:t>
      </w:r>
      <w:r w:rsidR="003F60DB">
        <w:t xml:space="preserve">In response, </w:t>
      </w:r>
      <w:r>
        <w:t>Reactive Service Providers assert that generating facilities cannot be receiving windfalls from reactive power compensation because many generating facilities across multiple regions are retiring due to economic factors.</w:t>
      </w:r>
      <w:r>
        <w:rPr>
          <w:rStyle w:val="FootnoteReference"/>
        </w:rPr>
        <w:footnoteReference w:id="319"/>
      </w:r>
      <w:r>
        <w:t xml:space="preserve">  However, these statements confuse compensation for reactive power within the standard power factor range with </w:t>
      </w:r>
      <w:r w:rsidR="000C751B">
        <w:t xml:space="preserve">general </w:t>
      </w:r>
      <w:r>
        <w:t>co</w:t>
      </w:r>
      <w:r w:rsidR="000C751B">
        <w:t>st recovery for</w:t>
      </w:r>
      <w:r>
        <w:t xml:space="preserve"> generating facilities, which involves many other revenue streams.  </w:t>
      </w:r>
      <w:r w:rsidRPr="00705808">
        <w:t xml:space="preserve">Our findings here are </w:t>
      </w:r>
      <w:r w:rsidRPr="00705808" w:rsidR="00BF0A5F">
        <w:t xml:space="preserve">that </w:t>
      </w:r>
      <w:r w:rsidRPr="00705808" w:rsidR="00525624">
        <w:t xml:space="preserve">generating facilities incur </w:t>
      </w:r>
      <w:r w:rsidR="00525624">
        <w:t xml:space="preserve">no incremental fixed costs and at most </w:t>
      </w:r>
      <w:r w:rsidRPr="00F95F32" w:rsidR="00525624">
        <w:rPr>
          <w:i/>
          <w:iCs/>
        </w:rPr>
        <w:t>de minimis</w:t>
      </w:r>
      <w:r w:rsidR="00525624">
        <w:t xml:space="preserve"> variable costs incremental to the cost of </w:t>
      </w:r>
      <w:r w:rsidR="00525624">
        <w:t>providing real power</w:t>
      </w:r>
      <w:r w:rsidR="000E59B3">
        <w:t>,</w:t>
      </w:r>
      <w:r w:rsidR="00525624">
        <w:t xml:space="preserve"> because no additional equipment is required to provide reactive power and variable costs are limited to the fuel costs (in synchronous facilities) or foregone direct current power (in non-synchronous facilities) necessary to provide the reactive power required to </w:t>
      </w:r>
      <w:r w:rsidRPr="00705808" w:rsidR="00525624">
        <w:t>safely inject real power into the transmission system and comply with reliability requirements</w:t>
      </w:r>
      <w:r w:rsidR="008F5421">
        <w:t>.</w:t>
      </w:r>
      <w:r>
        <w:t xml:space="preserve">  Similarly, Indicated Trade Associations</w:t>
      </w:r>
      <w:r>
        <w:rPr>
          <w:rStyle w:val="FootnoteReference"/>
        </w:rPr>
        <w:footnoteReference w:id="320"/>
      </w:r>
      <w:r>
        <w:t xml:space="preserve"> contend that separate reactive power compensation cannot lead to market distortions because such rates have been approved by the Commission.  But this argument ignores the </w:t>
      </w:r>
      <w:r w:rsidR="00126E54">
        <w:t>final rule</w:t>
      </w:r>
      <w:r>
        <w:t>’s central logic that such rates lack a sufficient economic basis</w:t>
      </w:r>
      <w:r w:rsidR="00E64D96">
        <w:t>, and the comments in this proceeding have not</w:t>
      </w:r>
      <w:r w:rsidR="008D10EE">
        <w:t xml:space="preserve"> refuted that central logic</w:t>
      </w:r>
      <w:r>
        <w:t>.</w:t>
      </w:r>
    </w:p>
    <w:p w:rsidR="00741969" w:rsidRPr="00446C58" w:rsidP="00446C58" w14:paraId="72D1CDF6" w14:textId="515774CC">
      <w:pPr>
        <w:pStyle w:val="FERCparanumber"/>
        <w:tabs>
          <w:tab w:val="clear" w:pos="720"/>
        </w:tabs>
      </w:pPr>
      <w:r>
        <w:t xml:space="preserve">As discussed further below, </w:t>
      </w:r>
      <w:r w:rsidR="009A296C">
        <w:t xml:space="preserve">any purported </w:t>
      </w:r>
      <w:r w:rsidR="009A296C">
        <w:rPr>
          <w:i/>
          <w:iCs/>
        </w:rPr>
        <w:t>de minimis</w:t>
      </w:r>
      <w:r w:rsidRPr="00C05B45" w:rsidR="009A296C">
        <w:t xml:space="preserve"> </w:t>
      </w:r>
      <w:r w:rsidR="00362B9D">
        <w:t xml:space="preserve">variable </w:t>
      </w:r>
      <w:r w:rsidR="009A296C">
        <w:t xml:space="preserve">costs associated with </w:t>
      </w:r>
      <w:r w:rsidR="007F4CAF">
        <w:t>providing reactive within the standard power factor range can be recovered through other means.</w:t>
      </w:r>
      <w:r>
        <w:rPr>
          <w:rStyle w:val="FootnoteReference"/>
        </w:rPr>
        <w:footnoteReference w:id="321"/>
      </w:r>
    </w:p>
    <w:p w:rsidR="001D1779" w:rsidRPr="00C06B6B" w:rsidP="004401BD" w14:paraId="42EF6CCA" w14:textId="62945C46">
      <w:pPr>
        <w:pStyle w:val="Heading2"/>
        <w:rPr>
          <w:u w:val="single"/>
        </w:rPr>
      </w:pPr>
      <w:bookmarkStart w:id="34" w:name="_bmk11"/>
      <w:r w:rsidRPr="00C06B6B">
        <w:rPr>
          <w:u w:val="single"/>
        </w:rPr>
        <w:t>C</w:t>
      </w:r>
      <w:bookmarkEnd w:id="34"/>
      <w:r w:rsidRPr="00C06B6B">
        <w:rPr>
          <w:u w:val="single"/>
        </w:rPr>
        <w:t>ost Recovery</w:t>
      </w:r>
    </w:p>
    <w:p w:rsidR="00C6765E" w:rsidRPr="0049537A" w:rsidP="00C6765E" w14:paraId="57C727D1" w14:textId="4FDA24EE">
      <w:pPr>
        <w:pStyle w:val="FERCparanumber"/>
      </w:pPr>
      <w:r w:rsidRPr="0049537A">
        <w:t xml:space="preserve">In the NOPR, the Commission preliminarily found that separate compensation for providing reactive power within the standard power factor range is not necessary for </w:t>
      </w:r>
      <w:r w:rsidR="00330270">
        <w:t>generating facilities</w:t>
      </w:r>
      <w:r w:rsidRPr="0049537A" w:rsidR="00330270">
        <w:t xml:space="preserve"> </w:t>
      </w:r>
      <w:r w:rsidRPr="0049537A">
        <w:t>to recover their costs.</w:t>
      </w:r>
      <w:r>
        <w:rPr>
          <w:rStyle w:val="FootnoteReference"/>
        </w:rPr>
        <w:footnoteReference w:id="322"/>
      </w:r>
      <w:r w:rsidRPr="0049537A">
        <w:t xml:space="preserve">  </w:t>
      </w:r>
      <w:r w:rsidR="00BF56A9">
        <w:t>The Commission noted that, a</w:t>
      </w:r>
      <w:r w:rsidRPr="0049537A">
        <w:t xml:space="preserve">lthough the </w:t>
      </w:r>
      <w:r w:rsidRPr="0049537A">
        <w:t>prospect of receiving separate, fixed reactive power payments may be beneficial for developing certain generating facilities, resource developers continue to develop new generating facilities in regions without such payments.</w:t>
      </w:r>
      <w:r>
        <w:rPr>
          <w:b/>
          <w:vertAlign w:val="superscript"/>
        </w:rPr>
        <w:footnoteReference w:id="323"/>
      </w:r>
      <w:r w:rsidRPr="0049537A">
        <w:t xml:space="preserve">  Furthermore, </w:t>
      </w:r>
      <w:r w:rsidRPr="00E8553B">
        <w:t>the NOPR explained that the basis for these payments has always been comparability rather than compensability</w:t>
      </w:r>
      <w:r w:rsidRPr="0049537A">
        <w:t>.</w:t>
      </w:r>
      <w:r>
        <w:rPr>
          <w:rStyle w:val="FootnoteReference"/>
        </w:rPr>
        <w:footnoteReference w:id="324"/>
      </w:r>
    </w:p>
    <w:p w:rsidR="00A20AAB" w14:paraId="0C403522" w14:textId="3196C6AA">
      <w:pPr>
        <w:pStyle w:val="FERCparanumber"/>
      </w:pPr>
      <w:r w:rsidRPr="00EE2692">
        <w:t xml:space="preserve">Instead, in the context of RTO/ISO markets, </w:t>
      </w:r>
      <w:r>
        <w:t xml:space="preserve">the Commission </w:t>
      </w:r>
      <w:r w:rsidRPr="00EE2692">
        <w:t xml:space="preserve">preliminarily </w:t>
      </w:r>
      <w:r w:rsidR="00CB62E4">
        <w:t>found</w:t>
      </w:r>
      <w:r w:rsidRPr="00EE2692">
        <w:t xml:space="preserve"> </w:t>
      </w:r>
      <w:r w:rsidR="0054169D">
        <w:t xml:space="preserve">it </w:t>
      </w:r>
      <w:r w:rsidR="000B69E7">
        <w:t xml:space="preserve">would be more efficient for generating facilities </w:t>
      </w:r>
      <w:r w:rsidR="000D48A5">
        <w:t xml:space="preserve">to </w:t>
      </w:r>
      <w:r w:rsidR="00B14386">
        <w:t xml:space="preserve">seek to </w:t>
      </w:r>
      <w:r w:rsidR="000D48A5">
        <w:t>recover</w:t>
      </w:r>
      <w:r w:rsidR="00FB131E">
        <w:t xml:space="preserve"> </w:t>
      </w:r>
      <w:r w:rsidR="00342EC0">
        <w:t xml:space="preserve">any identified </w:t>
      </w:r>
      <w:r w:rsidR="00ED32D6">
        <w:t xml:space="preserve">costs to provide </w:t>
      </w:r>
      <w:r w:rsidR="00342EC0">
        <w:t xml:space="preserve">reactive power </w:t>
      </w:r>
      <w:r w:rsidR="00ED32D6">
        <w:t>within the standard power factor range</w:t>
      </w:r>
      <w:r w:rsidR="00342EC0">
        <w:t>, to the extent they exist, through energy and capacity</w:t>
      </w:r>
      <w:r w:rsidR="00FB131E">
        <w:t xml:space="preserve"> </w:t>
      </w:r>
      <w:r w:rsidR="00AD14E3">
        <w:t xml:space="preserve">sales, </w:t>
      </w:r>
      <w:r w:rsidR="007C76E6">
        <w:t>because</w:t>
      </w:r>
      <w:r w:rsidR="00AD14E3">
        <w:t xml:space="preserve"> competition </w:t>
      </w:r>
      <w:r w:rsidR="00396E54">
        <w:t xml:space="preserve">between generating facilities may incentivize efficiency and </w:t>
      </w:r>
      <w:r w:rsidR="00BF512F">
        <w:t>increase transparency.</w:t>
      </w:r>
      <w:r>
        <w:rPr>
          <w:rStyle w:val="FootnoteReference"/>
        </w:rPr>
        <w:footnoteReference w:id="325"/>
      </w:r>
    </w:p>
    <w:p w:rsidR="00201E9D" w:rsidP="001D1779" w14:paraId="70899CC0" w14:textId="6CD33A18">
      <w:pPr>
        <w:pStyle w:val="FERCparanumber"/>
      </w:pPr>
      <w:r>
        <w:t xml:space="preserve">The </w:t>
      </w:r>
      <w:r w:rsidR="00675647">
        <w:t>Commission noted that it has previously and repeatedly rejected arguments that generating facilities need separate reactive power payments</w:t>
      </w:r>
      <w:r w:rsidR="001C7033">
        <w:t>,</w:t>
      </w:r>
      <w:r w:rsidR="00675647">
        <w:t xml:space="preserve"> </w:t>
      </w:r>
      <w:r w:rsidR="007C76E6">
        <w:t>because</w:t>
      </w:r>
      <w:r w:rsidR="00675647">
        <w:t xml:space="preserve"> the incremental </w:t>
      </w:r>
      <w:r w:rsidR="00675647">
        <w:t xml:space="preserve">cost of reactive power within the </w:t>
      </w:r>
      <w:r w:rsidR="00203457">
        <w:t>standard power factor range</w:t>
      </w:r>
      <w:r w:rsidR="00675647">
        <w:t xml:space="preserve"> is minimal.</w:t>
      </w:r>
      <w:r>
        <w:rPr>
          <w:rStyle w:val="FootnoteReference"/>
        </w:rPr>
        <w:footnoteReference w:id="326"/>
      </w:r>
      <w:r w:rsidR="00675647">
        <w:t xml:space="preserve">  </w:t>
      </w:r>
      <w:r>
        <w:t>The</w:t>
      </w:r>
      <w:r w:rsidR="00675647">
        <w:t xml:space="preserve">refore, </w:t>
      </w:r>
      <w:r>
        <w:t xml:space="preserve">consistent with those findings, </w:t>
      </w:r>
      <w:r w:rsidR="00675647">
        <w:t>the</w:t>
      </w:r>
      <w:r>
        <w:t xml:space="preserve"> NOPR</w:t>
      </w:r>
      <w:r w:rsidR="00294FD5">
        <w:t xml:space="preserve"> </w:t>
      </w:r>
      <w:r>
        <w:t>preliminarily found that</w:t>
      </w:r>
      <w:r>
        <w:t xml:space="preserve"> </w:t>
      </w:r>
      <w:r w:rsidR="007D0B6F">
        <w:t>eliminating compensation for reactive power within the standard power factor range would not compromi</w:t>
      </w:r>
      <w:r w:rsidR="00307C87">
        <w:t>se t</w:t>
      </w:r>
      <w:r w:rsidR="00486FCC">
        <w:t>he ability of IP</w:t>
      </w:r>
      <w:r w:rsidR="0034171A">
        <w:t>P</w:t>
      </w:r>
      <w:r w:rsidR="00605A61">
        <w:t>s in non-RTO</w:t>
      </w:r>
      <w:r w:rsidR="00884C89">
        <w:t>/ISO</w:t>
      </w:r>
      <w:r w:rsidR="00605A61">
        <w:t xml:space="preserve"> regions </w:t>
      </w:r>
      <w:r w:rsidR="001944D6">
        <w:t>to recover their costs</w:t>
      </w:r>
      <w:r w:rsidR="009877FF">
        <w:t xml:space="preserve"> </w:t>
      </w:r>
      <w:r w:rsidR="00701162">
        <w:t>associated with producing reactive power</w:t>
      </w:r>
      <w:r w:rsidR="009877FF">
        <w:t xml:space="preserve"> </w:t>
      </w:r>
      <w:r w:rsidR="001B4C4E">
        <w:t xml:space="preserve">within the range because generating facilities have the opportunity to </w:t>
      </w:r>
      <w:r w:rsidR="00B14386">
        <w:t>seek to</w:t>
      </w:r>
      <w:r w:rsidR="001B4C4E">
        <w:t xml:space="preserve"> recover </w:t>
      </w:r>
      <w:r w:rsidR="006F3D8D">
        <w:t xml:space="preserve">such costs in other ways, such as through higher power sales rates or through </w:t>
      </w:r>
      <w:r w:rsidR="00192D08">
        <w:t>p</w:t>
      </w:r>
      <w:r w:rsidR="00A742AA">
        <w:t xml:space="preserve">ower </w:t>
      </w:r>
      <w:r w:rsidR="00192D08">
        <w:t>p</w:t>
      </w:r>
      <w:r w:rsidR="00A742AA">
        <w:t xml:space="preserve">urchase </w:t>
      </w:r>
      <w:r w:rsidR="00192D08">
        <w:t>a</w:t>
      </w:r>
      <w:r w:rsidR="00A742AA">
        <w:t>greements (</w:t>
      </w:r>
      <w:r w:rsidR="006F3D8D">
        <w:t>PPA</w:t>
      </w:r>
      <w:r w:rsidR="00A742AA">
        <w:t>)</w:t>
      </w:r>
      <w:r w:rsidR="006F3D8D">
        <w:t>.</w:t>
      </w:r>
      <w:r>
        <w:rPr>
          <w:rStyle w:val="FootnoteReference"/>
        </w:rPr>
        <w:footnoteReference w:id="327"/>
      </w:r>
      <w:r w:rsidR="001B4C4E">
        <w:t xml:space="preserve"> </w:t>
      </w:r>
      <w:r w:rsidR="009877FF">
        <w:t xml:space="preserve"> </w:t>
      </w:r>
      <w:r>
        <w:t>The Commission further noted that the experiences of CAISO, SPP, MISO, and non-RTO</w:t>
      </w:r>
      <w:r w:rsidR="00884C89">
        <w:t>/ISO</w:t>
      </w:r>
      <w:r>
        <w:t xml:space="preserve"> regions </w:t>
      </w:r>
      <w:r w:rsidRPr="00201E9D">
        <w:t xml:space="preserve">where generating facilities do not receive </w:t>
      </w:r>
      <w:r w:rsidRPr="009D2598" w:rsidR="005F7956">
        <w:t>separate</w:t>
      </w:r>
      <w:r w:rsidR="005F7956">
        <w:t xml:space="preserve"> </w:t>
      </w:r>
      <w:r w:rsidRPr="00201E9D">
        <w:t xml:space="preserve">compensation for the provision of reactive power within the standard power factor range </w:t>
      </w:r>
      <w:r w:rsidR="0020422F">
        <w:t xml:space="preserve">and the evidence in the record </w:t>
      </w:r>
      <w:r w:rsidRPr="00201E9D">
        <w:t>demonstrate that:  (1)</w:t>
      </w:r>
      <w:r w:rsidR="00C05B45">
        <w:t xml:space="preserve"> </w:t>
      </w:r>
      <w:r w:rsidRPr="00201E9D">
        <w:t>eliminating compensation has not led to an insufficient supply of reactive power in those regions and that (2) generating facilities in these regions have been able to recover any purported costs associated with the production of reactive power.</w:t>
      </w:r>
      <w:r>
        <w:rPr>
          <w:rStyle w:val="FootnoteReference"/>
        </w:rPr>
        <w:footnoteReference w:id="328"/>
      </w:r>
    </w:p>
    <w:p w:rsidR="001C48EC" w:rsidP="001D1779" w14:paraId="4460BEF6" w14:textId="213C4467">
      <w:pPr>
        <w:pStyle w:val="FERCparanumber"/>
      </w:pPr>
      <w:r>
        <w:t>In the NOPR, the Commission sought comment on whether, and if so how</w:t>
      </w:r>
      <w:r w:rsidRPr="009D2598" w:rsidR="002C1A6C">
        <w:t>,</w:t>
      </w:r>
      <w:r>
        <w:t xml:space="preserve"> the elimination of separate compensation </w:t>
      </w:r>
      <w:r w:rsidR="00DA59B9">
        <w:t>for</w:t>
      </w:r>
      <w:r w:rsidR="00D61794">
        <w:t xml:space="preserve"> reactive power within the standard power </w:t>
      </w:r>
      <w:r w:rsidR="007E7A26">
        <w:t>range</w:t>
      </w:r>
      <w:r w:rsidR="001B4C4E">
        <w:t xml:space="preserve"> </w:t>
      </w:r>
      <w:r w:rsidR="003353E1">
        <w:t xml:space="preserve">would affect generating facilities’ ability to </w:t>
      </w:r>
      <w:r w:rsidR="00527F1C">
        <w:t>recover their costs</w:t>
      </w:r>
      <w:r w:rsidR="00FD31F8">
        <w:t>–if any</w:t>
      </w:r>
      <w:r w:rsidR="00A05EEB">
        <w:t>.</w:t>
      </w:r>
      <w:r>
        <w:rPr>
          <w:rStyle w:val="FootnoteReference"/>
        </w:rPr>
        <w:footnoteReference w:id="329"/>
      </w:r>
    </w:p>
    <w:p w:rsidR="001B0AE7" w:rsidRPr="00C06B6B" w:rsidP="009B5D50" w14:paraId="7FEE1F6B" w14:textId="7C52CA6C">
      <w:pPr>
        <w:pStyle w:val="Heading3"/>
        <w:rPr>
          <w:u w:val="single"/>
        </w:rPr>
      </w:pPr>
      <w:bookmarkStart w:id="35" w:name="_bmk12"/>
      <w:r w:rsidRPr="00C06B6B">
        <w:rPr>
          <w:u w:val="single"/>
        </w:rPr>
        <w:t>C</w:t>
      </w:r>
      <w:bookmarkEnd w:id="35"/>
      <w:r w:rsidRPr="00C06B6B">
        <w:rPr>
          <w:u w:val="single"/>
        </w:rPr>
        <w:t>omments</w:t>
      </w:r>
    </w:p>
    <w:p w:rsidR="00CE71FF" w:rsidP="00CE71FF" w14:paraId="29917C34" w14:textId="6A77FF8C">
      <w:pPr>
        <w:pStyle w:val="FERCparanumber"/>
      </w:pPr>
      <w:r>
        <w:t>Several Commenters</w:t>
      </w:r>
      <w:r>
        <w:t xml:space="preserve"> argue that the record supports the finding that generating facilities can recover </w:t>
      </w:r>
      <w:r w:rsidR="00BF1700">
        <w:t xml:space="preserve">any purported </w:t>
      </w:r>
      <w:r>
        <w:t xml:space="preserve">costs of providing reactive power in the standard power factor range </w:t>
      </w:r>
      <w:r w:rsidR="00F97F27">
        <w:t xml:space="preserve">through their sales of </w:t>
      </w:r>
      <w:r>
        <w:t>energy and capacity.</w:t>
      </w:r>
      <w:r>
        <w:rPr>
          <w:b/>
          <w:vertAlign w:val="superscript"/>
        </w:rPr>
        <w:footnoteReference w:id="330"/>
      </w:r>
      <w:r>
        <w:t xml:space="preserve">  </w:t>
      </w:r>
      <w:r w:rsidRPr="00327869">
        <w:t>TAPS</w:t>
      </w:r>
      <w:r w:rsidRPr="00327869">
        <w:t xml:space="preserve"> </w:t>
      </w:r>
      <w:r w:rsidR="00466FB9">
        <w:t>contends</w:t>
      </w:r>
      <w:r w:rsidRPr="00327869">
        <w:t xml:space="preserve"> that the Commission is not required to guarantee that generat</w:t>
      </w:r>
      <w:r w:rsidR="00B73624">
        <w:t>ing facilities</w:t>
      </w:r>
      <w:r w:rsidRPr="00327869">
        <w:t xml:space="preserve"> recover their incremental costs of providing </w:t>
      </w:r>
      <w:r w:rsidR="005A62E6">
        <w:t xml:space="preserve">reactive </w:t>
      </w:r>
      <w:r w:rsidRPr="00327869">
        <w:t xml:space="preserve">power in the standard power factor range (to the extent those costs exist), but rather the </w:t>
      </w:r>
      <w:r w:rsidR="005A62E6">
        <w:t>“</w:t>
      </w:r>
      <w:r w:rsidRPr="00327869">
        <w:t>opportunity to recover costs is all that is required.</w:t>
      </w:r>
      <w:r w:rsidR="005A62E6">
        <w:t>”</w:t>
      </w:r>
      <w:r>
        <w:rPr>
          <w:b/>
          <w:vertAlign w:val="superscript"/>
        </w:rPr>
        <w:footnoteReference w:id="331"/>
      </w:r>
      <w:r w:rsidRPr="00327869">
        <w:t xml:space="preserve"> </w:t>
      </w:r>
      <w:r w:rsidRPr="00600494">
        <w:t xml:space="preserve"> </w:t>
      </w:r>
      <w:r w:rsidRPr="00687786" w:rsidR="00A251B4">
        <w:t xml:space="preserve">TAPS </w:t>
      </w:r>
      <w:r w:rsidR="00466FB9">
        <w:t>explains</w:t>
      </w:r>
      <w:r w:rsidRPr="00687786" w:rsidR="00A251B4">
        <w:t xml:space="preserve"> that the Commission has never required payment of separate, cost-based reactive power compensation within the standard power factor range to all interconnecting generators in all circumstances, but </w:t>
      </w:r>
      <w:r w:rsidRPr="009D2598" w:rsidR="00D36261">
        <w:t>has</w:t>
      </w:r>
      <w:r w:rsidR="00D36261">
        <w:t xml:space="preserve"> </w:t>
      </w:r>
      <w:r w:rsidRPr="00687786" w:rsidR="00A251B4">
        <w:t xml:space="preserve">rather given </w:t>
      </w:r>
      <w:r w:rsidRPr="009D2598" w:rsidR="00346C05">
        <w:t>transmission providers</w:t>
      </w:r>
      <w:r w:rsidR="00346C05">
        <w:t xml:space="preserve"> </w:t>
      </w:r>
      <w:r w:rsidRPr="00687786" w:rsidR="00A251B4">
        <w:t xml:space="preserve">the option to provide for such reactive power compensation for its own generation, provided all generators on its system were treated comparably, and </w:t>
      </w:r>
      <w:r w:rsidR="00097693">
        <w:t>t</w:t>
      </w:r>
      <w:r w:rsidRPr="00687786" w:rsidR="00A251B4">
        <w:t xml:space="preserve">ransmission </w:t>
      </w:r>
      <w:r w:rsidR="00097693">
        <w:t>p</w:t>
      </w:r>
      <w:r w:rsidRPr="00687786" w:rsidR="00A251B4">
        <w:t>roviders could also eliminate such compensation for itself and others on a comparable basis.</w:t>
      </w:r>
      <w:r>
        <w:rPr>
          <w:b/>
          <w:vertAlign w:val="superscript"/>
        </w:rPr>
        <w:footnoteReference w:id="332"/>
      </w:r>
      <w:r w:rsidR="00A251B4">
        <w:t xml:space="preserve">  </w:t>
      </w:r>
      <w:r w:rsidRPr="00600494" w:rsidR="00600494">
        <w:t xml:space="preserve">New England Consumer Advocates states that any </w:t>
      </w:r>
      <w:r w:rsidR="00126E54">
        <w:t>final rule</w:t>
      </w:r>
      <w:r w:rsidRPr="00600494" w:rsidR="00600494">
        <w:t xml:space="preserve"> should ensure that ratepayer costs for reactive power compensation are sufficiently justified, and that ISO-NE should articulate specific benefits and compare those benefits with the cost of compensation.</w:t>
      </w:r>
      <w:r>
        <w:rPr>
          <w:b/>
          <w:vertAlign w:val="superscript"/>
        </w:rPr>
        <w:footnoteReference w:id="333"/>
      </w:r>
    </w:p>
    <w:p w:rsidR="003B348C" w:rsidP="00054878" w14:paraId="55C5F763" w14:textId="04CDA83A">
      <w:pPr>
        <w:pStyle w:val="FERCparanumber"/>
      </w:pPr>
      <w:r w:rsidRPr="00583E28">
        <w:t>Ohio FEA states that it supports prohibiting, as expeditiously as possible, the inclusion in transmission rates of charges related to the provision of reactive power within the standard power factor range because generators have an opportunity to recover all costs, including reactive power costs</w:t>
      </w:r>
      <w:r w:rsidRPr="0070178C" w:rsidR="006B7536">
        <w:t>, through PJM markets</w:t>
      </w:r>
      <w:r w:rsidRPr="00583E28">
        <w:t>.</w:t>
      </w:r>
      <w:r>
        <w:rPr>
          <w:b/>
          <w:vertAlign w:val="superscript"/>
        </w:rPr>
        <w:footnoteReference w:id="334"/>
      </w:r>
    </w:p>
    <w:p w:rsidR="00054878" w:rsidP="00054878" w14:paraId="13051685" w14:textId="0F64D1BD">
      <w:pPr>
        <w:pStyle w:val="FERCparanumber"/>
      </w:pPr>
      <w:r>
        <w:t>S</w:t>
      </w:r>
      <w:r w:rsidRPr="00666B10">
        <w:t xml:space="preserve">everal </w:t>
      </w:r>
      <w:r>
        <w:t>commenters</w:t>
      </w:r>
      <w:r w:rsidRPr="00666B10">
        <w:t xml:space="preserve"> argue that the NOPR</w:t>
      </w:r>
      <w:r>
        <w:t>’s proposal</w:t>
      </w:r>
      <w:r w:rsidRPr="00666B10">
        <w:t xml:space="preserve"> </w:t>
      </w:r>
      <w:r>
        <w:t xml:space="preserve">would </w:t>
      </w:r>
      <w:r w:rsidRPr="00666B10">
        <w:t xml:space="preserve">resolve cost causation issues that result from the current </w:t>
      </w:r>
      <w:r>
        <w:t xml:space="preserve">practice of providing separate compensation for </w:t>
      </w:r>
      <w:r w:rsidRPr="00666B10">
        <w:t xml:space="preserve">reactive power </w:t>
      </w:r>
      <w:r>
        <w:t>within the standard power factor rang</w:t>
      </w:r>
      <w:r w:rsidR="005A62E6">
        <w:t>e</w:t>
      </w:r>
      <w:r w:rsidRPr="00666B10">
        <w:t>.</w:t>
      </w:r>
      <w:r>
        <w:rPr>
          <w:b/>
          <w:vertAlign w:val="superscript"/>
        </w:rPr>
        <w:footnoteReference w:id="335"/>
      </w:r>
      <w:r w:rsidRPr="00666B10">
        <w:t xml:space="preserve">  Joint Customers, Ameren, TAPS</w:t>
      </w:r>
      <w:r>
        <w:t>, and MISO Transmission Owners</w:t>
      </w:r>
      <w:r w:rsidRPr="00666B10">
        <w:t xml:space="preserve"> argue that the current incentive to provide payment based on reactive power capability results in the building of unnecessary capabilities in locations </w:t>
      </w:r>
      <w:r w:rsidRPr="00666B10">
        <w:t>it</w:t>
      </w:r>
      <w:r w:rsidRPr="00666B10">
        <w:t xml:space="preserve"> may not be needed and does not allocate costs associated with reactive power in a manner that is roughly commensurate with the benefits received.</w:t>
      </w:r>
      <w:bookmarkStart w:id="36" w:name="_Ref177918924"/>
      <w:r>
        <w:rPr>
          <w:b/>
          <w:vertAlign w:val="superscript"/>
        </w:rPr>
        <w:footnoteReference w:id="336"/>
      </w:r>
      <w:bookmarkEnd w:id="36"/>
      <w:r w:rsidRPr="00666B10">
        <w:t xml:space="preserve">  </w:t>
      </w:r>
      <w:r>
        <w:t>T</w:t>
      </w:r>
      <w:r w:rsidRPr="00666B10">
        <w:t>hey assert that the current scheme results in a proliferation of charges for reactive power that is disconnected from the actual benefits received.</w:t>
      </w:r>
      <w:r>
        <w:rPr>
          <w:b/>
          <w:vertAlign w:val="superscript"/>
        </w:rPr>
        <w:footnoteReference w:id="337"/>
      </w:r>
    </w:p>
    <w:p w:rsidR="00135F21" w:rsidP="00054878" w14:paraId="6481F9C4" w14:textId="7209BEA5">
      <w:pPr>
        <w:pStyle w:val="FERCparanumber"/>
      </w:pPr>
      <w:r>
        <w:t>MISO Transmission Owners</w:t>
      </w:r>
      <w:r w:rsidRPr="00EF61D5">
        <w:t xml:space="preserve"> argue that</w:t>
      </w:r>
      <w:r>
        <w:t>,</w:t>
      </w:r>
      <w:r w:rsidRPr="00EF61D5">
        <w:t xml:space="preserve"> contrary to some commenters’ claims, the NOPR’s proposed changes do not violate cost causation principles because </w:t>
      </w:r>
      <w:r>
        <w:t xml:space="preserve">generating facilities </w:t>
      </w:r>
      <w:r w:rsidRPr="00EF61D5">
        <w:t xml:space="preserve">will still be compensated for the reactive power their </w:t>
      </w:r>
      <w:r>
        <w:t>generating</w:t>
      </w:r>
      <w:r w:rsidRPr="00EF61D5">
        <w:t xml:space="preserve"> facilities supply when they are required to operate outside the standard power factor range.</w:t>
      </w:r>
      <w:r>
        <w:rPr>
          <w:rStyle w:val="FootnoteReference"/>
        </w:rPr>
        <w:footnoteReference w:id="338"/>
      </w:r>
      <w:r w:rsidRPr="00EF61D5">
        <w:t xml:space="preserve"> </w:t>
      </w:r>
      <w:r>
        <w:t xml:space="preserve"> MISO Transmission Owners state</w:t>
      </w:r>
      <w:r w:rsidRPr="00EF61D5">
        <w:t xml:space="preserve"> that </w:t>
      </w:r>
      <w:r w:rsidR="009E15D7">
        <w:t>“</w:t>
      </w:r>
      <w:r w:rsidRPr="00EF61D5">
        <w:t>cost causation involves customers paying for a cost that they cause, not suppliers receiving compensation for services provided</w:t>
      </w:r>
      <w:r>
        <w:t>,</w:t>
      </w:r>
      <w:r w:rsidR="009E15D7">
        <w:t>”</w:t>
      </w:r>
      <w:r>
        <w:t xml:space="preserve"> and assert that some </w:t>
      </w:r>
      <w:r w:rsidR="009E15D7">
        <w:t>“</w:t>
      </w:r>
      <w:r>
        <w:t>commenters attempt to turn this concept on its head</w:t>
      </w:r>
      <w:r w:rsidR="009E15D7">
        <w:t>”</w:t>
      </w:r>
      <w:r>
        <w:t xml:space="preserve"> by </w:t>
      </w:r>
      <w:r w:rsidR="009E15D7">
        <w:t>“</w:t>
      </w:r>
      <w:r>
        <w:t>plac</w:t>
      </w:r>
      <w:r w:rsidR="009E15D7">
        <w:t>[</w:t>
      </w:r>
      <w:r>
        <w:t>ing</w:t>
      </w:r>
      <w:r w:rsidR="009E15D7">
        <w:t>]</w:t>
      </w:r>
      <w:r>
        <w:t xml:space="preserve"> the focus on the service provider rather than </w:t>
      </w:r>
      <w:r w:rsidR="00A67F49">
        <w:t xml:space="preserve">the </w:t>
      </w:r>
      <w:r>
        <w:t>paying</w:t>
      </w:r>
      <w:r>
        <w:t xml:space="preserve"> </w:t>
      </w:r>
      <w:r>
        <w:t>customer</w:t>
      </w:r>
      <w:r w:rsidR="009E15D7">
        <w:t xml:space="preserve"> </w:t>
      </w:r>
      <w:r w:rsidRPr="009E15D7" w:rsidR="009E15D7">
        <w:t>in an attempt to require payment for a service they are already obligated to provide as a condition of interconnection</w:t>
      </w:r>
      <w:r w:rsidRPr="00EF61D5">
        <w:t>.</w:t>
      </w:r>
      <w:r w:rsidR="009E15D7">
        <w:t>”</w:t>
      </w:r>
      <w:r>
        <w:rPr>
          <w:rStyle w:val="FootnoteReference"/>
        </w:rPr>
        <w:footnoteReference w:id="339"/>
      </w:r>
      <w:r>
        <w:t xml:space="preserve">  </w:t>
      </w:r>
      <w:r w:rsidRPr="00EF61D5">
        <w:t xml:space="preserve">MISO Transmission Owners </w:t>
      </w:r>
      <w:r>
        <w:t>argue</w:t>
      </w:r>
      <w:r w:rsidRPr="00EF61D5">
        <w:t xml:space="preserve"> that commenters’ claims that the NOPR’s proposed changes violate cost causation principles </w:t>
      </w:r>
      <w:r>
        <w:t>is</w:t>
      </w:r>
      <w:r w:rsidRPr="00EF61D5">
        <w:t xml:space="preserve"> a collateral attack on principles first promulgated in Order No. 2003 and its progeny</w:t>
      </w:r>
      <w:r w:rsidR="00C9157A">
        <w:t xml:space="preserve"> because</w:t>
      </w:r>
      <w:r w:rsidRPr="00EF61D5">
        <w:t xml:space="preserve"> that series of orders required generators to provide reactive power within the </w:t>
      </w:r>
      <w:r>
        <w:t>standard power factor range</w:t>
      </w:r>
      <w:r w:rsidRPr="00EF61D5">
        <w:t xml:space="preserve"> without </w:t>
      </w:r>
      <w:r w:rsidRPr="00EF61D5">
        <w:t>compensation, with few exceptions.</w:t>
      </w:r>
      <w:r>
        <w:rPr>
          <w:b/>
          <w:bCs/>
          <w:vertAlign w:val="superscript"/>
        </w:rPr>
        <w:footnoteReference w:id="340"/>
      </w:r>
      <w:r>
        <w:t xml:space="preserve">  MISO Transmission Owners argue that the NOPR’s proposed changes do not change generating facilities’ obligation to provide reactive power within the deadband, but rather </w:t>
      </w:r>
      <w:r w:rsidR="00B92F8F">
        <w:t xml:space="preserve">they </w:t>
      </w:r>
      <w:r>
        <w:t>remove the unnecessary costs associated with payments to generating facilities.</w:t>
      </w:r>
      <w:r>
        <w:rPr>
          <w:rStyle w:val="FootnoteReference"/>
        </w:rPr>
        <w:footnoteReference w:id="341"/>
      </w:r>
    </w:p>
    <w:p w:rsidR="00556789" w:rsidP="005471EE" w14:paraId="5BAE443E" w14:textId="7AE3BE6B">
      <w:pPr>
        <w:pStyle w:val="FERCparanumber"/>
      </w:pPr>
      <w:r>
        <w:t xml:space="preserve">Ohio FEA and </w:t>
      </w:r>
      <w:r w:rsidRPr="002D5979">
        <w:t>New England Consumer Advocates</w:t>
      </w:r>
      <w:r>
        <w:t xml:space="preserve"> state that they support the Commission’s efforts to mitigate escalating transmission costs for customers, particularly when those costs provide no incremental benefit to the customers who pay them.</w:t>
      </w:r>
      <w:r>
        <w:rPr>
          <w:b/>
          <w:vertAlign w:val="superscript"/>
        </w:rPr>
        <w:footnoteReference w:id="342"/>
      </w:r>
      <w:r>
        <w:rPr>
          <w:b/>
          <w:vertAlign w:val="superscript"/>
        </w:rPr>
        <w:t xml:space="preserve"> </w:t>
      </w:r>
      <w:r>
        <w:t xml:space="preserve"> </w:t>
      </w:r>
    </w:p>
    <w:p w:rsidR="00391842" w:rsidRPr="00114772" w:rsidP="009F54A2" w14:paraId="7B60972F" w14:textId="5F7F65E0">
      <w:pPr>
        <w:pStyle w:val="FERCparanumber"/>
      </w:pPr>
      <w:r w:rsidRPr="00EB5D75">
        <w:t>Joint Customers</w:t>
      </w:r>
      <w:r w:rsidR="00252516">
        <w:t xml:space="preserve"> </w:t>
      </w:r>
      <w:r>
        <w:t xml:space="preserve">acknowledge that the Commission </w:t>
      </w:r>
      <w:r w:rsidR="00237D3A">
        <w:t xml:space="preserve">generally </w:t>
      </w:r>
      <w:r>
        <w:t xml:space="preserve">allows </w:t>
      </w:r>
      <w:r w:rsidR="00252516">
        <w:t xml:space="preserve">for flexibility to account for regional differences.  </w:t>
      </w:r>
      <w:r w:rsidR="00237D3A">
        <w:t xml:space="preserve">However, </w:t>
      </w:r>
      <w:r w:rsidR="00E579E4">
        <w:t>Joint Customers</w:t>
      </w:r>
      <w:r w:rsidRPr="00EB5D75">
        <w:t xml:space="preserve"> </w:t>
      </w:r>
      <w:r w:rsidR="00237D3A">
        <w:t>argue</w:t>
      </w:r>
      <w:r w:rsidRPr="00EB5D75" w:rsidR="00237D3A">
        <w:t xml:space="preserve"> </w:t>
      </w:r>
      <w:r w:rsidRPr="00EB5D75">
        <w:t xml:space="preserve">that </w:t>
      </w:r>
      <w:r w:rsidR="00E579E4">
        <w:t xml:space="preserve">such </w:t>
      </w:r>
      <w:r w:rsidRPr="00EB5D75">
        <w:t>regional variations do not undermine the general rule against compensation for meeting interconnection requirements related to the standard power factor range.</w:t>
      </w:r>
      <w:r>
        <w:rPr>
          <w:b/>
          <w:vertAlign w:val="superscript"/>
        </w:rPr>
        <w:footnoteReference w:id="343"/>
      </w:r>
      <w:r w:rsidRPr="009F54A2">
        <w:rPr>
          <w:b/>
          <w:bCs/>
        </w:rPr>
        <w:t xml:space="preserve"> </w:t>
      </w:r>
      <w:r w:rsidRPr="00E315D0">
        <w:t xml:space="preserve"> </w:t>
      </w:r>
      <w:r w:rsidR="00237D3A">
        <w:t xml:space="preserve">Joint </w:t>
      </w:r>
      <w:r w:rsidR="00237D3A">
        <w:t>Customers contend that “[t]</w:t>
      </w:r>
      <w:r w:rsidRPr="00237D3A" w:rsidR="00237D3A">
        <w:t>here is a sufficient record for a determination that compensation for meeting interconnection requirements related to the standard power factor range should be prohibited as a general matter, with the understanding that generators directed to operate outside that range will continue to be compensated.</w:t>
      </w:r>
      <w:r w:rsidR="00237D3A">
        <w:t>”</w:t>
      </w:r>
      <w:r>
        <w:rPr>
          <w:rStyle w:val="FootnoteReference"/>
        </w:rPr>
        <w:footnoteReference w:id="344"/>
      </w:r>
      <w:r w:rsidRPr="00237D3A" w:rsidR="00237D3A">
        <w:t xml:space="preserve"> </w:t>
      </w:r>
      <w:r w:rsidR="003674D1">
        <w:t>Joint Customers witness Dr. Bresmer argues that a generating facility providing reactive power within the standard power factor range is simply meeting its interconnection obligations and not providing an ancillary service.</w:t>
      </w:r>
      <w:r>
        <w:rPr>
          <w:rStyle w:val="FootnoteReference"/>
        </w:rPr>
        <w:footnoteReference w:id="345"/>
      </w:r>
      <w:r w:rsidR="00B91328">
        <w:rPr>
          <w:rStyle w:val="CommentReference"/>
          <w:rFonts w:ascii="Arial" w:hAnsi="Arial" w:cs="Arial"/>
        </w:rPr>
        <w:t xml:space="preserve"> </w:t>
      </w:r>
    </w:p>
    <w:p w:rsidR="005109B8" w:rsidP="00637D77" w14:paraId="00DF9D1E" w14:textId="388B629F">
      <w:pPr>
        <w:pStyle w:val="FERCparanumber"/>
      </w:pPr>
      <w:r>
        <w:t>Several</w:t>
      </w:r>
      <w:r w:rsidR="00E90827">
        <w:t xml:space="preserve"> commenters</w:t>
      </w:r>
      <w:r>
        <w:rPr>
          <w:rStyle w:val="FootnoteReference"/>
        </w:rPr>
        <w:footnoteReference w:id="346"/>
      </w:r>
      <w:r w:rsidR="00E90827">
        <w:t xml:space="preserve"> argue that </w:t>
      </w:r>
      <w:r w:rsidR="00C47838">
        <w:t xml:space="preserve">there is not sufficient evidence to support the conclusion that energy markets or capacity markets </w:t>
      </w:r>
      <w:r w:rsidR="00E528A4">
        <w:t>could or should be used to recover the costs of providing reactive power.</w:t>
      </w:r>
      <w:r w:rsidR="00BF191A">
        <w:t xml:space="preserve">  </w:t>
      </w:r>
      <w:r w:rsidRPr="00C57F96" w:rsidR="00971490">
        <w:t>Glenvale</w:t>
      </w:r>
      <w:r>
        <w:rPr>
          <w:rStyle w:val="FootnoteReference"/>
        </w:rPr>
        <w:footnoteReference w:id="347"/>
      </w:r>
      <w:r w:rsidRPr="00C57F96" w:rsidR="00971490">
        <w:t xml:space="preserve"> and Indicated Reactive Power </w:t>
      </w:r>
      <w:r w:rsidRPr="00C57F96" w:rsidR="00971490">
        <w:t>Suppliers</w:t>
      </w:r>
      <w:r>
        <w:rPr>
          <w:rStyle w:val="FootnoteReference"/>
        </w:rPr>
        <w:footnoteReference w:id="348"/>
      </w:r>
      <w:r w:rsidRPr="00C57F96" w:rsidR="00971490">
        <w:t xml:space="preserve"> each state that reactive power and capacity are two distinct types of services and should not be combined</w:t>
      </w:r>
      <w:r w:rsidRPr="00583E28" w:rsidR="00971490">
        <w:t xml:space="preserve">.  </w:t>
      </w:r>
      <w:r w:rsidRPr="00C25E20" w:rsidR="001448BF">
        <w:t xml:space="preserve">Glenvale argues that energy markets do not necessarily provide </w:t>
      </w:r>
      <w:r w:rsidRPr="00E316B2" w:rsidR="001448BF">
        <w:t>revenue opportunities</w:t>
      </w:r>
      <w:r w:rsidRPr="00C25E20" w:rsidR="001448BF">
        <w:t xml:space="preserve"> due to </w:t>
      </w:r>
      <w:r w:rsidRPr="00E316B2" w:rsidR="001448BF">
        <w:t>competition</w:t>
      </w:r>
      <w:r w:rsidRPr="00C25E20" w:rsidR="001448BF">
        <w:t xml:space="preserve"> and long-term contracts that </w:t>
      </w:r>
      <w:r w:rsidRPr="00E316B2" w:rsidR="001448BF">
        <w:t>do not allow certain generators access to these energy markets for several years</w:t>
      </w:r>
      <w:r w:rsidRPr="00C25E20" w:rsidR="001448BF">
        <w:t>.</w:t>
      </w:r>
      <w:r w:rsidR="00B74B4D">
        <w:t xml:space="preserve"> </w:t>
      </w:r>
      <w:r w:rsidR="007A22D1">
        <w:t xml:space="preserve"> </w:t>
      </w:r>
      <w:r w:rsidRPr="00583E28" w:rsidR="00DC71C8">
        <w:t xml:space="preserve">Indicated Trade Associations </w:t>
      </w:r>
      <w:r w:rsidR="00971490">
        <w:t>note</w:t>
      </w:r>
      <w:r w:rsidR="00D6472E">
        <w:t xml:space="preserve"> </w:t>
      </w:r>
      <w:r w:rsidRPr="00583E28" w:rsidR="00DC71C8">
        <w:t xml:space="preserve">that certain types of resources may not even </w:t>
      </w:r>
      <w:r w:rsidRPr="00C57F96" w:rsidR="00DC71C8">
        <w:t>participate in the capacity market.</w:t>
      </w:r>
      <w:r>
        <w:rPr>
          <w:b/>
          <w:bCs/>
          <w:vertAlign w:val="superscript"/>
        </w:rPr>
        <w:footnoteReference w:id="349"/>
      </w:r>
      <w:r w:rsidR="00E93F6B">
        <w:t xml:space="preserve">  For example, </w:t>
      </w:r>
      <w:r w:rsidRPr="00583E28" w:rsidR="00216821">
        <w:t xml:space="preserve">Glenvale </w:t>
      </w:r>
      <w:r w:rsidR="000E61A5">
        <w:t>argues</w:t>
      </w:r>
      <w:r w:rsidRPr="00583E28" w:rsidR="00216821">
        <w:t xml:space="preserve"> that some generators </w:t>
      </w:r>
      <w:r w:rsidR="00483F1E">
        <w:t xml:space="preserve">that </w:t>
      </w:r>
      <w:r w:rsidRPr="00E316B2" w:rsidR="00483F1E">
        <w:t>provide</w:t>
      </w:r>
      <w:r w:rsidR="00483F1E">
        <w:t xml:space="preserve"> reactive power but </w:t>
      </w:r>
      <w:r w:rsidRPr="00583E28" w:rsidR="00216821">
        <w:t xml:space="preserve">choose not to participate in the capacity market will not be able to </w:t>
      </w:r>
      <w:r w:rsidRPr="00E316B2" w:rsidR="00216821">
        <w:t>recover los</w:t>
      </w:r>
      <w:r w:rsidRPr="00E316B2" w:rsidR="006F5D7B">
        <w:t>t</w:t>
      </w:r>
      <w:r w:rsidRPr="00E316B2" w:rsidR="00216821">
        <w:t xml:space="preserve"> reactive </w:t>
      </w:r>
      <w:r w:rsidRPr="00E316B2" w:rsidR="006F5D7B">
        <w:t>revenues</w:t>
      </w:r>
      <w:r w:rsidRPr="00583E28" w:rsidR="00216821">
        <w:t>.</w:t>
      </w:r>
      <w:r w:rsidR="004F7A50">
        <w:t xml:space="preserve"> </w:t>
      </w:r>
    </w:p>
    <w:p w:rsidR="00355B62" w:rsidP="00F83881" w14:paraId="42A5900F" w14:textId="72A02398">
      <w:pPr>
        <w:pStyle w:val="FERCparanumber"/>
      </w:pPr>
      <w:r>
        <w:t>Some commenters argue that generating facilities will be unable to recover reactive power costs in their PPAs.</w:t>
      </w:r>
      <w:r>
        <w:rPr>
          <w:b/>
          <w:vertAlign w:val="superscript"/>
        </w:rPr>
        <w:footnoteReference w:id="350"/>
      </w:r>
      <w:r>
        <w:t xml:space="preserve">  </w:t>
      </w:r>
      <w:r w:rsidRPr="00583E28">
        <w:t>Indicated Trade Associations argue that generators may have relied on existing reactive power compensation policies when they structured their PPAs, bilateral arrangements, and behind the meter arrangements.</w:t>
      </w:r>
      <w:r>
        <w:rPr>
          <w:b/>
          <w:bCs/>
          <w:vertAlign w:val="superscript"/>
        </w:rPr>
        <w:footnoteReference w:id="351"/>
      </w:r>
      <w:r w:rsidRPr="00EE1571">
        <w:rPr>
          <w:b/>
          <w:bCs/>
        </w:rPr>
        <w:t xml:space="preserve"> </w:t>
      </w:r>
      <w:r w:rsidRPr="00583E28">
        <w:t xml:space="preserve"> </w:t>
      </w:r>
      <w:r>
        <w:t>Indicated Trade Associations</w:t>
      </w:r>
      <w:r>
        <w:rPr>
          <w:b/>
          <w:bCs/>
          <w:vertAlign w:val="superscript"/>
        </w:rPr>
        <w:footnoteReference w:id="352"/>
      </w:r>
      <w:r>
        <w:t xml:space="preserve"> and </w:t>
      </w:r>
      <w:r w:rsidRPr="00583E28">
        <w:t>Generation Developers</w:t>
      </w:r>
      <w:r>
        <w:rPr>
          <w:b/>
          <w:bCs/>
          <w:vertAlign w:val="superscript"/>
        </w:rPr>
        <w:footnoteReference w:id="353"/>
      </w:r>
      <w:r>
        <w:t xml:space="preserve"> each</w:t>
      </w:r>
      <w:r w:rsidRPr="00583E28">
        <w:t xml:space="preserve"> </w:t>
      </w:r>
      <w:r>
        <w:t>claim</w:t>
      </w:r>
      <w:r w:rsidRPr="00583E28">
        <w:t xml:space="preserve"> that the notion that PPA </w:t>
      </w:r>
      <w:r w:rsidRPr="00583E28">
        <w:t>counterparties will be willing to renegotiate their contracts to allow them to charge a higher rate to recover the costs of a differe</w:t>
      </w:r>
      <w:r w:rsidR="00F750EC">
        <w:t>nt</w:t>
      </w:r>
      <w:r w:rsidRPr="00583E28">
        <w:t xml:space="preserve"> service belies a basic understanding of wholesale markets.</w:t>
      </w:r>
      <w:r w:rsidR="00C25E20">
        <w:t xml:space="preserve"> </w:t>
      </w:r>
      <w:r w:rsidR="003F5EFA">
        <w:t xml:space="preserve"> </w:t>
      </w:r>
    </w:p>
    <w:p w:rsidR="00F31420" w:rsidP="00F31420" w14:paraId="14DC0558" w14:textId="76B9885F">
      <w:pPr>
        <w:pStyle w:val="FERCparanumber"/>
      </w:pPr>
      <w:r>
        <w:t>Some commentators</w:t>
      </w:r>
      <w:r>
        <w:rPr>
          <w:rStyle w:val="FootnoteReference"/>
        </w:rPr>
        <w:footnoteReference w:id="354"/>
      </w:r>
      <w:r>
        <w:t xml:space="preserve"> point to </w:t>
      </w:r>
      <w:r w:rsidR="009C5582">
        <w:t>RTO/ISO market rules as potential barriers to recouping reactive power costs</w:t>
      </w:r>
      <w:r>
        <w:t xml:space="preserve">.  </w:t>
      </w:r>
      <w:r w:rsidRPr="00583E28" w:rsidR="0095420B">
        <w:t xml:space="preserve">Indicated Trade Associations assert that </w:t>
      </w:r>
      <w:r w:rsidRPr="00583E28" w:rsidR="00A61D51">
        <w:t>the Commission has required RTOs and ISOs to implement energy offer caps based on generators’ verifiable marginal costs</w:t>
      </w:r>
      <w:r w:rsidRPr="00583E28" w:rsidR="0095420B">
        <w:t>.</w:t>
      </w:r>
      <w:r>
        <w:rPr>
          <w:b/>
          <w:bCs/>
          <w:vertAlign w:val="superscript"/>
        </w:rPr>
        <w:footnoteReference w:id="355"/>
      </w:r>
      <w:r w:rsidRPr="00583E28" w:rsidR="0095420B">
        <w:t xml:space="preserve">  </w:t>
      </w:r>
      <w:r w:rsidRPr="00583E28" w:rsidR="00BD1477">
        <w:t xml:space="preserve">Generation Developers </w:t>
      </w:r>
      <w:r w:rsidR="002A5104">
        <w:t>argue</w:t>
      </w:r>
      <w:r w:rsidRPr="00583E28" w:rsidR="00BD1477">
        <w:t xml:space="preserve"> that the Commission should require RTOs/ISOs to revise their tariffs to eliminate existing barriers to the recovery of reactive power costs and permit generating facilities to accurately reflect their investment</w:t>
      </w:r>
      <w:r w:rsidR="008A55D4">
        <w:t>s</w:t>
      </w:r>
      <w:r w:rsidRPr="00583E28" w:rsidR="00BD1477">
        <w:t xml:space="preserve"> in reactive power capability in their capacity offers.</w:t>
      </w:r>
      <w:r>
        <w:rPr>
          <w:rStyle w:val="FootnoteReference"/>
        </w:rPr>
        <w:footnoteReference w:id="356"/>
      </w:r>
    </w:p>
    <w:p w:rsidR="00A86D69" w:rsidRPr="00114772" w:rsidP="00A86D69" w14:paraId="52F2F70A" w14:textId="23C93784">
      <w:pPr>
        <w:pStyle w:val="FERCparanumber"/>
      </w:pPr>
      <w:r w:rsidRPr="001E52B7">
        <w:t>Generation Developers argue that energy markets allow resources to sell energy on a day-ahead and real-time basis, with prices generally reflecting variable costs that are insufficient to allow resources to recover their fixed costs</w:t>
      </w:r>
      <w:r w:rsidRPr="00114772">
        <w:t>.</w:t>
      </w:r>
      <w:r>
        <w:rPr>
          <w:b/>
          <w:bCs/>
          <w:vertAlign w:val="superscript"/>
        </w:rPr>
        <w:footnoteReference w:id="357"/>
      </w:r>
      <w:r w:rsidRPr="00114772">
        <w:t xml:space="preserve">  Generation Developers state that RTO/ISO market mitigation rules generally prohibit generating facilities from </w:t>
      </w:r>
      <w:r w:rsidRPr="00114772">
        <w:t xml:space="preserve">reflecting fixed costs in their mitigated </w:t>
      </w:r>
      <w:r w:rsidR="00AC30A8">
        <w:t xml:space="preserve">energy </w:t>
      </w:r>
      <w:r w:rsidRPr="00114772">
        <w:t xml:space="preserve">offer costs, often referred to as the “missing money problem,” and eliminating reactive power compensation would exacerbate </w:t>
      </w:r>
      <w:r w:rsidR="00B861AE">
        <w:t>this issue</w:t>
      </w:r>
      <w:r w:rsidRPr="00114772">
        <w:t>.</w:t>
      </w:r>
      <w:r>
        <w:rPr>
          <w:b/>
          <w:bCs/>
          <w:vertAlign w:val="superscript"/>
        </w:rPr>
        <w:footnoteReference w:id="358"/>
      </w:r>
      <w:r w:rsidRPr="00114772">
        <w:t xml:space="preserve">  Generation Developers argue that relying on capacity markets for reactive power compensation would result in arbitrary differences in the ability of resources to recover their costs because they would be required to provide reactive power regardless of whether they clear the capacity market.</w:t>
      </w:r>
      <w:r>
        <w:rPr>
          <w:b/>
          <w:bCs/>
          <w:vertAlign w:val="superscript"/>
        </w:rPr>
        <w:footnoteReference w:id="359"/>
      </w:r>
      <w:r w:rsidRPr="00114772">
        <w:t xml:space="preserve">  Generation Developers also </w:t>
      </w:r>
      <w:r w:rsidR="00E568DC">
        <w:t>assert</w:t>
      </w:r>
      <w:r w:rsidRPr="00114772" w:rsidR="00E568DC">
        <w:t xml:space="preserve"> </w:t>
      </w:r>
      <w:r w:rsidRPr="00114772">
        <w:t>that there is no nexus between the capacity value assigned to a generating facility and its reactive power capability.</w:t>
      </w:r>
      <w:r>
        <w:rPr>
          <w:b/>
          <w:bCs/>
          <w:vertAlign w:val="superscript"/>
        </w:rPr>
        <w:footnoteReference w:id="360"/>
      </w:r>
      <w:r w:rsidR="00EC5444">
        <w:t xml:space="preserve">  </w:t>
      </w:r>
      <w:r w:rsidR="00E568DC">
        <w:t xml:space="preserve">In addition, </w:t>
      </w:r>
      <w:r w:rsidR="00EC5444">
        <w:t xml:space="preserve">Generation Developers state that “[t]he Commission has a statutory obligation to ensure that </w:t>
      </w:r>
      <w:r w:rsidR="00466DE7">
        <w:t>[Commission]</w:t>
      </w:r>
      <w:r w:rsidR="00EC5444">
        <w:t>-jurisdictional rates are just, reasonable, and not unduly discriminatory or preferential” and assert that this requirement “prohibits the Commission from denying utilities the opportunity to recover their costs, plus a reasonable rate of return.”</w:t>
      </w:r>
      <w:r>
        <w:rPr>
          <w:rStyle w:val="FootnoteReference"/>
        </w:rPr>
        <w:footnoteReference w:id="361"/>
      </w:r>
    </w:p>
    <w:p w:rsidR="00973660" w:rsidP="00973660" w14:paraId="79D841F3" w14:textId="0BFB1022">
      <w:pPr>
        <w:pStyle w:val="FERCparanumber"/>
      </w:pPr>
      <w:r w:rsidRPr="00114772">
        <w:t xml:space="preserve">Indicated Trade Associations argue that including reactive power costs in energy offers would increase a generator’s risk of not clearing in the energy market.  Indicated Trade Associations </w:t>
      </w:r>
      <w:r w:rsidR="00E568DC">
        <w:t>further contend</w:t>
      </w:r>
      <w:r w:rsidRPr="00114772">
        <w:t xml:space="preserve"> that capacity markets do not provide for recovery of reactive power costs because capacity offers from existing resources are limited to </w:t>
      </w:r>
      <w:r w:rsidRPr="00114772">
        <w:t>avoidable or going forward costs and do not allow for inclusion of costs that have already been incurred to provide reactive power.</w:t>
      </w:r>
      <w:r>
        <w:rPr>
          <w:b/>
          <w:bCs/>
          <w:vertAlign w:val="superscript"/>
        </w:rPr>
        <w:footnoteReference w:id="362"/>
      </w:r>
    </w:p>
    <w:p w:rsidR="00D23696" w:rsidP="00D23696" w14:paraId="169308FB" w14:textId="7B86204E">
      <w:pPr>
        <w:pStyle w:val="FERCparanumber"/>
      </w:pPr>
      <w:r w:rsidRPr="0070178C">
        <w:t>Some</w:t>
      </w:r>
      <w:r w:rsidRPr="00666B10">
        <w:t xml:space="preserve"> commenters</w:t>
      </w:r>
      <w:r>
        <w:rPr>
          <w:b/>
          <w:vertAlign w:val="superscript"/>
        </w:rPr>
        <w:footnoteReference w:id="363"/>
      </w:r>
      <w:r w:rsidRPr="00666B10">
        <w:t xml:space="preserve"> argue that the NOPR violates </w:t>
      </w:r>
      <w:r>
        <w:t xml:space="preserve">the </w:t>
      </w:r>
      <w:r w:rsidRPr="00666B10">
        <w:t>cost causation and beneficiary pays principle</w:t>
      </w:r>
      <w:r>
        <w:t>s</w:t>
      </w:r>
      <w:r w:rsidRPr="00666B10">
        <w:t xml:space="preserve"> because customers benefit from reactive power, including </w:t>
      </w:r>
      <w:r w:rsidR="00793B2C">
        <w:t>reactive power</w:t>
      </w:r>
      <w:r w:rsidRPr="00666B10">
        <w:t xml:space="preserve"> provided within the standard power factor range, </w:t>
      </w:r>
      <w:r w:rsidR="00AF5F2E">
        <w:t xml:space="preserve">and thus </w:t>
      </w:r>
      <w:r w:rsidRPr="00666B10">
        <w:t>generating facilities should be compensated for this service.</w:t>
      </w:r>
      <w:r>
        <w:rPr>
          <w:b/>
          <w:vertAlign w:val="superscript"/>
        </w:rPr>
        <w:footnoteReference w:id="364"/>
      </w:r>
      <w:r w:rsidRPr="00666B10">
        <w:t xml:space="preserve">  Generation Developers argue that while the cost causation principle does not require “exact precision,” it does require that Commission-approved rates “be based on the costs of providing the service to the utility’s customers, plus a just and fair return on equity.”</w:t>
      </w:r>
      <w:r>
        <w:rPr>
          <w:b/>
          <w:vertAlign w:val="superscript"/>
        </w:rPr>
        <w:footnoteReference w:id="365"/>
      </w:r>
      <w:r w:rsidRPr="00666B10">
        <w:t xml:space="preserve">  </w:t>
      </w:r>
      <w:r w:rsidRPr="00F21C37">
        <w:t xml:space="preserve">Generation Developers </w:t>
      </w:r>
      <w:r w:rsidRPr="00666B10">
        <w:t xml:space="preserve">and Reactive Service Providers assert that the NOPR’s proposal would insulate transmission providers and customers from any responsibility to pay for costs associated with the services they are receiving, </w:t>
      </w:r>
      <w:r>
        <w:t xml:space="preserve">which </w:t>
      </w:r>
      <w:r w:rsidRPr="00666B10">
        <w:t xml:space="preserve">is “precisely the type of free ridership that the </w:t>
      </w:r>
      <w:r w:rsidR="00466DE7">
        <w:t>[FPA]</w:t>
      </w:r>
      <w:r w:rsidRPr="00666B10">
        <w:t xml:space="preserve"> and the cost causation principle are intended to prevent.”</w:t>
      </w:r>
      <w:r>
        <w:rPr>
          <w:rStyle w:val="FootnoteReference"/>
        </w:rPr>
        <w:footnoteReference w:id="366"/>
      </w:r>
      <w:r>
        <w:t xml:space="preserve">  </w:t>
      </w:r>
      <w:r w:rsidRPr="009849C7">
        <w:t xml:space="preserve">Generation Developers argue </w:t>
      </w:r>
      <w:r w:rsidRPr="009849C7">
        <w:t>that the Commission is essentially directing generating facilities to recover the costs of reactive power from customers purchasing energy and capacity, rather than the transmission customers that benefit from the reactive service.</w:t>
      </w:r>
      <w:r>
        <w:rPr>
          <w:rStyle w:val="FootnoteReference"/>
        </w:rPr>
        <w:footnoteReference w:id="367"/>
      </w:r>
    </w:p>
    <w:p w:rsidR="00061E20" w:rsidRPr="00EF2C33" w:rsidP="00061E20" w14:paraId="245CAEFA" w14:textId="01E03641">
      <w:pPr>
        <w:pStyle w:val="FERCparanumber"/>
      </w:pPr>
      <w:r w:rsidRPr="00EF2C33">
        <w:t>Several commenters</w:t>
      </w:r>
      <w:r>
        <w:rPr>
          <w:b/>
          <w:vertAlign w:val="superscript"/>
        </w:rPr>
        <w:footnoteReference w:id="368"/>
      </w:r>
      <w:r w:rsidRPr="00EF2C33">
        <w:t xml:space="preserve"> who oppose the NOPR assert that removing compensation within the standard power factor range would result in discriminatory treatment between generating facilities and transmission owners.  These commenters argue that, under the NOPR, generating facilities would be prohibited from recovering their costs to provide reactive power under Schedule 2, yet transmission owners that install reactive power equipment and assets as part of their transmission system would be able to recover the costs of those assets through transmission rates charged to transmission service customers.  They contend that transmission owners would have guaranteed cost recovery for the very same service that generating facilities would be prohibited from collecting under this NOPR.</w:t>
      </w:r>
      <w:r>
        <w:rPr>
          <w:b/>
          <w:vertAlign w:val="superscript"/>
        </w:rPr>
        <w:footnoteReference w:id="369"/>
      </w:r>
      <w:r w:rsidRPr="00EF2C33">
        <w:t xml:space="preserve">  ACORE asserts that reactive power provides the same benefit to the system, regardless of who owns the capacitor banks.</w:t>
      </w:r>
      <w:r>
        <w:rPr>
          <w:b/>
          <w:vertAlign w:val="superscript"/>
        </w:rPr>
        <w:footnoteReference w:id="370"/>
      </w:r>
    </w:p>
    <w:p w:rsidR="00061E20" w:rsidP="00061E20" w14:paraId="12B18397" w14:textId="03ABAE10">
      <w:pPr>
        <w:pStyle w:val="FERCparanumber"/>
      </w:pPr>
      <w:r w:rsidRPr="00EF2C33">
        <w:t xml:space="preserve">NEI and </w:t>
      </w:r>
      <w:r w:rsidR="00A6442E">
        <w:t>PSEG</w:t>
      </w:r>
      <w:r w:rsidRPr="00EF2C33">
        <w:t xml:space="preserve"> both argue that the 2005 </w:t>
      </w:r>
      <w:r w:rsidR="00694974">
        <w:t>S</w:t>
      </w:r>
      <w:r w:rsidRPr="00EF2C33">
        <w:t xml:space="preserve">taff </w:t>
      </w:r>
      <w:r w:rsidR="00694974">
        <w:t>R</w:t>
      </w:r>
      <w:r w:rsidRPr="00EF2C33">
        <w:t xml:space="preserve">eport recognized this discriminatory concern and </w:t>
      </w:r>
      <w:r w:rsidR="00793B2C">
        <w:t xml:space="preserve">contend that </w:t>
      </w:r>
      <w:r>
        <w:t>the Commission</w:t>
      </w:r>
      <w:r w:rsidRPr="00EF2C33">
        <w:t xml:space="preserve"> therefore recommended that all providers of reactive power should be paid on a nondiscriminatory basis.</w:t>
      </w:r>
      <w:r>
        <w:rPr>
          <w:b/>
          <w:vertAlign w:val="superscript"/>
        </w:rPr>
        <w:footnoteReference w:id="371"/>
      </w:r>
      <w:r w:rsidRPr="00EF2C33">
        <w:t xml:space="preserve">  Reactive Service Providers add that unless and until the Commission proposes to also eliminate the opportunity for transmission providers to collect costs associated with providing reactive service, the NOPR’s proposal is </w:t>
      </w:r>
      <w:r w:rsidRPr="00EF2C33">
        <w:rPr>
          <w:i/>
          <w:iCs/>
        </w:rPr>
        <w:t>per se</w:t>
      </w:r>
      <w:r w:rsidRPr="00EF2C33">
        <w:t xml:space="preserve"> discriminatory and preferential, in violation of the FPA.</w:t>
      </w:r>
      <w:r>
        <w:rPr>
          <w:b/>
          <w:vertAlign w:val="superscript"/>
        </w:rPr>
        <w:footnoteReference w:id="372"/>
      </w:r>
      <w:r>
        <w:t xml:space="preserve">  </w:t>
      </w:r>
      <w:r w:rsidRPr="00915DB2">
        <w:t xml:space="preserve">Indicated Trade Associations suggest that by disincentivizing generators from competing to provide reactive power service, the NOPR creates a preference for </w:t>
      </w:r>
      <w:r w:rsidR="000129FB">
        <w:t xml:space="preserve">     </w:t>
      </w:r>
      <w:r w:rsidRPr="00915DB2">
        <w:t>higher-cost transmission solutions installed by transmission owners, which will harm consumers.</w:t>
      </w:r>
      <w:r>
        <w:rPr>
          <w:b/>
          <w:bCs/>
          <w:vertAlign w:val="superscript"/>
        </w:rPr>
        <w:footnoteReference w:id="373"/>
      </w:r>
    </w:p>
    <w:p w:rsidR="00BA432E" w:rsidP="0070178C" w14:paraId="27B99BCF" w14:textId="639250B0">
      <w:pPr>
        <w:pStyle w:val="FERCparanumber"/>
      </w:pPr>
      <w:r>
        <w:t xml:space="preserve">Relatedly, </w:t>
      </w:r>
      <w:r w:rsidR="00B838E2">
        <w:t xml:space="preserve">Reactive Service Providers and Indicated Trade Associations </w:t>
      </w:r>
      <w:r w:rsidR="006A6B8B">
        <w:t xml:space="preserve">assert that the NOPR </w:t>
      </w:r>
      <w:r>
        <w:t>rais</w:t>
      </w:r>
      <w:r w:rsidR="000D26A8">
        <w:t>e</w:t>
      </w:r>
      <w:r w:rsidR="006A6B8B">
        <w:t>s</w:t>
      </w:r>
      <w:r w:rsidR="000D26A8">
        <w:t xml:space="preserve"> competition concerns.</w:t>
      </w:r>
      <w:r>
        <w:rPr>
          <w:rStyle w:val="FootnoteReference"/>
        </w:rPr>
        <w:footnoteReference w:id="374"/>
      </w:r>
      <w:r w:rsidR="00D43DBB">
        <w:t xml:space="preserve"> </w:t>
      </w:r>
      <w:r w:rsidR="002B5E8B">
        <w:t xml:space="preserve"> </w:t>
      </w:r>
      <w:r w:rsidR="00CC66EB">
        <w:t xml:space="preserve">Reactive Service Providers </w:t>
      </w:r>
      <w:r w:rsidR="00183A5B">
        <w:t>argue</w:t>
      </w:r>
      <w:r w:rsidR="00CC66EB">
        <w:t xml:space="preserve"> that </w:t>
      </w:r>
      <w:r w:rsidR="00634478">
        <w:t xml:space="preserve">even </w:t>
      </w:r>
      <w:r w:rsidR="00623230">
        <w:t>if the transmission provider elects</w:t>
      </w:r>
      <w:r w:rsidR="001E7B03">
        <w:t xml:space="preserve"> to no longer pay generating facilities for </w:t>
      </w:r>
      <w:r w:rsidR="00B824B2">
        <w:t xml:space="preserve">reactive </w:t>
      </w:r>
      <w:r w:rsidR="00E930D7">
        <w:t xml:space="preserve">power </w:t>
      </w:r>
      <w:r w:rsidR="00B824B2">
        <w:t>service,</w:t>
      </w:r>
      <w:r w:rsidR="00714E69">
        <w:t xml:space="preserve"> the transmission </w:t>
      </w:r>
      <w:r w:rsidR="008C4471">
        <w:t xml:space="preserve">provider will still </w:t>
      </w:r>
      <w:r w:rsidR="009A019C">
        <w:t xml:space="preserve">be able to </w:t>
      </w:r>
      <w:r w:rsidR="008C4471">
        <w:t xml:space="preserve">collect the costs of </w:t>
      </w:r>
      <w:r w:rsidR="00445B43">
        <w:t xml:space="preserve">generation-based </w:t>
      </w:r>
      <w:r w:rsidR="00445B43">
        <w:t xml:space="preserve">reactive </w:t>
      </w:r>
      <w:r w:rsidR="00C67589">
        <w:t xml:space="preserve">power </w:t>
      </w:r>
      <w:r w:rsidR="00445B43">
        <w:t>service through retail rates.</w:t>
      </w:r>
      <w:r>
        <w:rPr>
          <w:rStyle w:val="FootnoteReference"/>
        </w:rPr>
        <w:footnoteReference w:id="375"/>
      </w:r>
      <w:r w:rsidR="00445B43">
        <w:t xml:space="preserve"> </w:t>
      </w:r>
      <w:r w:rsidR="005156E2">
        <w:t xml:space="preserve"> Reactive Service Providers assert that this </w:t>
      </w:r>
      <w:r w:rsidR="009F7E08">
        <w:t xml:space="preserve">“is a </w:t>
      </w:r>
      <w:r w:rsidRPr="001E7033" w:rsidR="001E7033">
        <w:t xml:space="preserve">sweet deal that allows the Transmission Provider to lean on the IPP to provide the service for free under the </w:t>
      </w:r>
      <w:r w:rsidR="003D4F9C">
        <w:t>[Commission]</w:t>
      </w:r>
      <w:r w:rsidRPr="001E7033" w:rsidR="001E7033">
        <w:t>’s jurisdiction, with the utility simply shifting to another forum to recover the same generation-based costs.</w:t>
      </w:r>
      <w:r w:rsidR="009F0396">
        <w:t>”</w:t>
      </w:r>
      <w:r>
        <w:rPr>
          <w:rStyle w:val="FootnoteReference"/>
        </w:rPr>
        <w:footnoteReference w:id="376"/>
      </w:r>
      <w:r w:rsidRPr="001E7033" w:rsidR="001E7033">
        <w:t xml:space="preserve"> </w:t>
      </w:r>
      <w:r w:rsidR="00A319C0">
        <w:t xml:space="preserve"> </w:t>
      </w:r>
      <w:r w:rsidR="00BB6ED6">
        <w:t xml:space="preserve">Reactive Service Providers </w:t>
      </w:r>
      <w:r w:rsidR="00A319C0">
        <w:t>argue</w:t>
      </w:r>
      <w:r w:rsidR="00BB6ED6">
        <w:t xml:space="preserve"> that t</w:t>
      </w:r>
      <w:r w:rsidR="00421BEF">
        <w:t>h</w:t>
      </w:r>
      <w:r w:rsidR="00852E5C">
        <w:t xml:space="preserve">e NOPR undermines the </w:t>
      </w:r>
      <w:r w:rsidR="00E01947">
        <w:t xml:space="preserve">competition that the </w:t>
      </w:r>
      <w:r w:rsidR="0008239E">
        <w:t>Commission</w:t>
      </w:r>
      <w:r w:rsidR="008E2E1B">
        <w:t xml:space="preserve"> sought to </w:t>
      </w:r>
      <w:r w:rsidR="00917C7B">
        <w:t>facilitate in Order No. 2003</w:t>
      </w:r>
      <w:r w:rsidR="00052CAB">
        <w:t xml:space="preserve">, and </w:t>
      </w:r>
      <w:r w:rsidR="00A5442F">
        <w:t xml:space="preserve">while IPPs </w:t>
      </w:r>
      <w:r w:rsidR="00E2787E">
        <w:t>are</w:t>
      </w:r>
      <w:r w:rsidR="00A5442F">
        <w:t xml:space="preserve"> disadvantaged by losing a revenue stream</w:t>
      </w:r>
      <w:r w:rsidR="00A54686">
        <w:t>, utility-generation is able to make that revenue stream up through retail rates</w:t>
      </w:r>
      <w:r w:rsidR="00015DFF">
        <w:t xml:space="preserve">, </w:t>
      </w:r>
      <w:r w:rsidR="00A54686">
        <w:t xml:space="preserve">thereby </w:t>
      </w:r>
      <w:r w:rsidR="00015DFF">
        <w:t>putting</w:t>
      </w:r>
      <w:r w:rsidR="00A54686">
        <w:t xml:space="preserve"> utility generation in a stronger position to compete.</w:t>
      </w:r>
      <w:r>
        <w:rPr>
          <w:rStyle w:val="FootnoteReference"/>
        </w:rPr>
        <w:footnoteReference w:id="377"/>
      </w:r>
      <w:r w:rsidR="00300717">
        <w:t xml:space="preserve"> </w:t>
      </w:r>
      <w:r w:rsidR="008E0561">
        <w:t xml:space="preserve"> To the extent that</w:t>
      </w:r>
      <w:r w:rsidR="00FD2B0A">
        <w:t xml:space="preserve"> reactive power service </w:t>
      </w:r>
      <w:r w:rsidR="00785781">
        <w:t>costs are recoverable by</w:t>
      </w:r>
      <w:r w:rsidR="00275ACA">
        <w:t xml:space="preserve"> transmission owners through </w:t>
      </w:r>
      <w:r w:rsidR="00C62C2E">
        <w:t>state retail rates, NEI reco</w:t>
      </w:r>
      <w:r w:rsidR="00196E7A">
        <w:t xml:space="preserve">gnizes that such </w:t>
      </w:r>
      <w:r w:rsidR="005E6BFB">
        <w:t xml:space="preserve">rates are </w:t>
      </w:r>
      <w:r w:rsidR="00AF0E64">
        <w:t>outside the Commission’s jurisdiction.</w:t>
      </w:r>
      <w:r>
        <w:rPr>
          <w:rStyle w:val="FootnoteReference"/>
        </w:rPr>
        <w:footnoteReference w:id="378"/>
      </w:r>
      <w:r w:rsidR="00213168">
        <w:t xml:space="preserve">  NEI asserts, however, that this does not excuse the Commission from considering </w:t>
      </w:r>
      <w:r w:rsidRPr="004E198B" w:rsidR="004E198B">
        <w:t>transmission owners’ ability to recover their reactive power costs at the state level when the Commission is setting its own jurisdictional wholesale rates</w:t>
      </w:r>
      <w:r w:rsidR="004E198B">
        <w:t>.</w:t>
      </w:r>
      <w:r>
        <w:rPr>
          <w:rStyle w:val="FootnoteReference"/>
        </w:rPr>
        <w:footnoteReference w:id="379"/>
      </w:r>
    </w:p>
    <w:p w:rsidR="000917DB" w:rsidP="000917DB" w14:paraId="62CCE2B2" w14:textId="5E2F39F1">
      <w:pPr>
        <w:pStyle w:val="FERCparanumber"/>
      </w:pPr>
      <w:r w:rsidRPr="00012776">
        <w:t>NEI contends that the proposed replacement rate would result in undue discrimination against nuclear generators by imposing disproportionate burdens on them without fair compensation.</w:t>
      </w:r>
      <w:r>
        <w:rPr>
          <w:b/>
          <w:bCs/>
          <w:vertAlign w:val="superscript"/>
        </w:rPr>
        <w:footnoteReference w:id="380"/>
      </w:r>
      <w:r w:rsidRPr="00012776">
        <w:t xml:space="preserve">  </w:t>
      </w:r>
      <w:r w:rsidRPr="004A1A32">
        <w:t>NEI states that the Commission has an obligation to consider whether the proposed rates are unduly discriminatory, meaning that the Commission must consider transmission owners’ ability to recover their reactive power costs at the state level.</w:t>
      </w:r>
      <w:r>
        <w:rPr>
          <w:b/>
          <w:bCs/>
          <w:vertAlign w:val="superscript"/>
        </w:rPr>
        <w:footnoteReference w:id="381"/>
      </w:r>
      <w:r w:rsidR="0070178C">
        <w:t xml:space="preserve">  </w:t>
      </w:r>
      <w:r w:rsidRPr="00654855">
        <w:t>Elevate argues that the NOPR is inconsistent with the spirit of Order No. 841, which required that energy storage resources “be eligible to provide services that the RTOs/ISOs do not procure through an organized market mechanism (such as blackstart service, primary frequency response service, and reactive power service) if they are technically capable of providing those services.”</w:t>
      </w:r>
      <w:r>
        <w:rPr>
          <w:b/>
          <w:vertAlign w:val="superscript"/>
        </w:rPr>
        <w:footnoteReference w:id="382"/>
      </w:r>
      <w:r w:rsidRPr="00654855">
        <w:t xml:space="preserve">  Elevate argues that the unique physical and operational characteristics of energy storage resources correspond with the unique revenue profile of energy storage resources.</w:t>
      </w:r>
    </w:p>
    <w:p w:rsidR="005E6CA6" w:rsidP="00435DC9" w14:paraId="394C7944" w14:textId="1BFF78BB">
      <w:pPr>
        <w:pStyle w:val="FERCparanumber"/>
      </w:pPr>
      <w:r w:rsidRPr="00692634">
        <w:t xml:space="preserve">Indicated Trade Associations argue that the Commission must ensure that it adopts comprehensive transition plans that account for the specific market design and rules of </w:t>
      </w:r>
      <w:r w:rsidRPr="00692634">
        <w:t>each RTO/ISO and direct each RTO/ISO to make filings identifying modifications to be made to existing market rules to implement the NOPR.</w:t>
      </w:r>
      <w:r>
        <w:rPr>
          <w:b/>
          <w:bCs/>
          <w:vertAlign w:val="superscript"/>
        </w:rPr>
        <w:footnoteReference w:id="383"/>
      </w:r>
      <w:r>
        <w:t xml:space="preserve">  </w:t>
      </w:r>
      <w:r w:rsidR="00E9679E">
        <w:t>Indicated Trade Associations contend that the Commission must clarify how generating facilities will be compensated for reactive power dispatch outside the standard power factor range</w:t>
      </w:r>
      <w:r w:rsidR="001A5AEB">
        <w:t xml:space="preserve"> and note that </w:t>
      </w:r>
      <w:r w:rsidRPr="001A5AEB" w:rsidR="001A5AEB">
        <w:t>Consolidated Edison Company of New York, Inc.</w:t>
      </w:r>
      <w:r w:rsidR="001A5AEB">
        <w:t xml:space="preserve"> requires newly connecting generating facilities to be able to provide reactive power 0.85 lagging to 0.95 leading.</w:t>
      </w:r>
      <w:r>
        <w:rPr>
          <w:rStyle w:val="FootnoteReference"/>
        </w:rPr>
        <w:footnoteReference w:id="384"/>
      </w:r>
      <w:r w:rsidR="001A5AEB">
        <w:t xml:space="preserve">  </w:t>
      </w:r>
      <w:r w:rsidR="00712283">
        <w:t xml:space="preserve">The </w:t>
      </w:r>
      <w:r>
        <w:t xml:space="preserve">NHA further </w:t>
      </w:r>
      <w:r w:rsidR="000917DB">
        <w:t>argues</w:t>
      </w:r>
      <w:r>
        <w:t xml:space="preserve"> that </w:t>
      </w:r>
      <w:r w:rsidRPr="00EB21C6">
        <w:t>the Commission should allow individual RTOs</w:t>
      </w:r>
      <w:r w:rsidR="00AC1EDC">
        <w:t>/ISOs</w:t>
      </w:r>
      <w:r w:rsidRPr="00EB21C6">
        <w:t xml:space="preserve"> to retain their reactive power compensation frameworks, as they are better suited to address regional reliability needs</w:t>
      </w:r>
      <w:r w:rsidR="00A62DCE">
        <w:t>, and to develop compensation mechanisms to reflect locational needs</w:t>
      </w:r>
      <w:r w:rsidRPr="00EB21C6">
        <w:t>.</w:t>
      </w:r>
      <w:r>
        <w:rPr>
          <w:b/>
          <w:vertAlign w:val="superscript"/>
        </w:rPr>
        <w:footnoteReference w:id="385"/>
      </w:r>
      <w:r>
        <w:t xml:space="preserve"> </w:t>
      </w:r>
      <w:r w:rsidR="00435DC9">
        <w:t xml:space="preserve"> </w:t>
      </w:r>
      <w:r w:rsidRPr="00B76465" w:rsidR="00435DC9">
        <w:t>Reactive Service Providers contend that there is no evidence that generating facilities are being sited without respect to whether there is a geographic need for reactive power, or that costs are no longer commensurate with benefits</w:t>
      </w:r>
      <w:r w:rsidRPr="009D0E3F" w:rsidR="00435DC9">
        <w:t>.</w:t>
      </w:r>
      <w:r>
        <w:rPr>
          <w:b/>
          <w:vertAlign w:val="superscript"/>
        </w:rPr>
        <w:footnoteReference w:id="386"/>
      </w:r>
    </w:p>
    <w:p w:rsidR="001D1779" w:rsidP="0050621E" w14:paraId="5A0B61D8" w14:textId="32C753BC">
      <w:pPr>
        <w:pStyle w:val="FERCparanumber"/>
      </w:pPr>
      <w:r>
        <w:t>Several commenters also su</w:t>
      </w:r>
      <w:r w:rsidR="00495EA8">
        <w:t xml:space="preserve">bmitted </w:t>
      </w:r>
      <w:r w:rsidR="003B0CF8">
        <w:t xml:space="preserve">RTO/ISO-specific comments </w:t>
      </w:r>
      <w:r w:rsidR="00D31D95">
        <w:t xml:space="preserve">addressing </w:t>
      </w:r>
      <w:r w:rsidR="00533F33">
        <w:t>cost recovery</w:t>
      </w:r>
      <w:r w:rsidR="003B0CF8">
        <w:t>.</w:t>
      </w:r>
      <w:r w:rsidR="00171E3A">
        <w:t xml:space="preserve">  </w:t>
      </w:r>
      <w:r w:rsidR="00817403">
        <w:t xml:space="preserve">As discussed above, ISO-NE, </w:t>
      </w:r>
      <w:r>
        <w:t xml:space="preserve">NESCOE, NEPGA, and NEPOOL </w:t>
      </w:r>
      <w:r w:rsidR="008F25EF">
        <w:t>argue</w:t>
      </w:r>
      <w:r>
        <w:t xml:space="preserve"> that ISO-NE’s Schedule 2 VAR compensation program should not be disturbed.</w:t>
      </w:r>
      <w:r>
        <w:rPr>
          <w:rStyle w:val="FootnoteReference"/>
        </w:rPr>
        <w:footnoteReference w:id="387"/>
      </w:r>
      <w:r>
        <w:t xml:space="preserve">  </w:t>
      </w:r>
      <w:r w:rsidRPr="00B46344">
        <w:t>ISO-NE</w:t>
      </w:r>
      <w:r>
        <w:t xml:space="preserve"> </w:t>
      </w:r>
      <w:r>
        <w:t>notes</w:t>
      </w:r>
      <w:r w:rsidRPr="00B46344">
        <w:t xml:space="preserve"> that the Commission denied Maine Public Utilities Commission’s complaint to only allow reactive power compensation </w:t>
      </w:r>
      <w:r w:rsidRPr="0050621E">
        <w:rPr>
          <w:i/>
          <w:iCs/>
        </w:rPr>
        <w:t>outside</w:t>
      </w:r>
      <w:r w:rsidRPr="00B46344">
        <w:t xml:space="preserve"> the power factor range, as VAR payments were a “negotiated value and is not equal to, nor is it intended to recover, the cost of service of any particular generating Resource.”</w:t>
      </w:r>
      <w:r>
        <w:rPr>
          <w:rStyle w:val="FootnoteReference"/>
        </w:rPr>
        <w:footnoteReference w:id="388"/>
      </w:r>
    </w:p>
    <w:p w:rsidR="00B04966" w:rsidP="00B04966" w14:paraId="43F78EEF" w14:textId="00D67DF1">
      <w:pPr>
        <w:pStyle w:val="FERCparanumber"/>
      </w:pPr>
      <w:r w:rsidRPr="00A53329">
        <w:t>NEPOOL explains that three factors specific to Schedule 2 contribute to the reliability benefits of reactive service in New England:</w:t>
      </w:r>
      <w:r w:rsidR="000129FB">
        <w:t xml:space="preserve">  </w:t>
      </w:r>
      <w:r w:rsidRPr="00A53329">
        <w:t xml:space="preserve">(1) the generator must be dispatchable and ready to respond to the ISO’s instruction to produce or absorb reactive power; (2) </w:t>
      </w:r>
      <w:r w:rsidR="00990DB7">
        <w:t xml:space="preserve">to be </w:t>
      </w:r>
      <w:r w:rsidR="0018213C">
        <w:t xml:space="preserve">designated as a </w:t>
      </w:r>
      <w:r w:rsidRPr="002850D8" w:rsidR="002850D8">
        <w:t>Qualified Reactive Resource</w:t>
      </w:r>
      <w:bookmarkStart w:id="37" w:name="_Ref177843092"/>
      <w:r w:rsidR="006C4E6D">
        <w:t>,</w:t>
      </w:r>
      <w:r>
        <w:rPr>
          <w:rStyle w:val="FootnoteReference"/>
        </w:rPr>
        <w:footnoteReference w:id="389"/>
      </w:r>
      <w:bookmarkEnd w:id="37"/>
      <w:r w:rsidRPr="00A53329">
        <w:t xml:space="preserve"> </w:t>
      </w:r>
      <w:r w:rsidR="00285D37">
        <w:t>a generator must</w:t>
      </w:r>
      <w:r w:rsidRPr="00A53329">
        <w:t xml:space="preserve"> have automatic voltage regulation equipment and telemetry in place to enable the ISO to determine that </w:t>
      </w:r>
      <w:r w:rsidR="007D6655">
        <w:t xml:space="preserve">it </w:t>
      </w:r>
      <w:r w:rsidRPr="00A53329">
        <w:t xml:space="preserve">is providing “measurable dynamic reactive power voltage support to the New England Transmission System”; and (3) Schedule 2 requires reactive power testing of </w:t>
      </w:r>
      <w:r w:rsidRPr="002850D8" w:rsidR="00C65066">
        <w:t>Qualified Reactive Resource</w:t>
      </w:r>
      <w:r w:rsidR="00C65066">
        <w:t>s</w:t>
      </w:r>
      <w:r w:rsidRPr="00A53329" w:rsidR="00C65066">
        <w:t xml:space="preserve"> </w:t>
      </w:r>
      <w:r w:rsidRPr="00A53329">
        <w:t>in accordance with the applicable ISO-NE Operating Procedures.</w:t>
      </w:r>
      <w:r>
        <w:rPr>
          <w:b/>
          <w:vertAlign w:val="superscript"/>
        </w:rPr>
        <w:footnoteReference w:id="390"/>
      </w:r>
      <w:r w:rsidRPr="00A53329">
        <w:t xml:space="preserve">  NEPOOL argues that these three factors show that any </w:t>
      </w:r>
      <w:r w:rsidR="00126E54">
        <w:t>final rule</w:t>
      </w:r>
      <w:r w:rsidRPr="00A53329">
        <w:t xml:space="preserve"> should allow flexibility for transmission providers, such as ISO-NE, to maintain compensation mechanisms that pay for reactive power across the full power factor range when payment </w:t>
      </w:r>
      <w:r w:rsidRPr="00A53329">
        <w:t xml:space="preserve">is contingent on the reactive power resource meeting enhanced reliability-related </w:t>
      </w:r>
      <w:r w:rsidRPr="00FF4C28">
        <w:t>requirements.</w:t>
      </w:r>
    </w:p>
    <w:p w:rsidR="00771C51" w:rsidRPr="006B332B" w:rsidP="00771C51" w14:paraId="794C7810" w14:textId="550B9161">
      <w:pPr>
        <w:pStyle w:val="FERCparanumber"/>
      </w:pPr>
      <w:r w:rsidRPr="006B332B">
        <w:t xml:space="preserve">NEPGA states that ISO-NE’s wholesale </w:t>
      </w:r>
      <w:r w:rsidR="00061945">
        <w:t>energy</w:t>
      </w:r>
      <w:r w:rsidRPr="006B332B">
        <w:t xml:space="preserve"> and </w:t>
      </w:r>
      <w:r w:rsidR="00061945">
        <w:t>capacity</w:t>
      </w:r>
      <w:r w:rsidRPr="006B332B">
        <w:t xml:space="preserve"> markets do not compensate for reactive power capability or cost</w:t>
      </w:r>
      <w:r w:rsidR="00AC1EDC">
        <w:t>s</w:t>
      </w:r>
      <w:r w:rsidRPr="006B332B">
        <w:t>, but rather transmission rates compensate for reactive power capability through ISO-NE’s Schedule 2 rate design.</w:t>
      </w:r>
      <w:r>
        <w:rPr>
          <w:b/>
          <w:vertAlign w:val="superscript"/>
        </w:rPr>
        <w:footnoteReference w:id="391"/>
      </w:r>
      <w:r w:rsidRPr="006B332B">
        <w:t xml:space="preserve">  NEPGA argues</w:t>
      </w:r>
      <w:r w:rsidRPr="00F33BDE" w:rsidR="00F33BDE">
        <w:t xml:space="preserve"> that the Tariff provisions governing capacity market offers in ISO-NE do not allow a generator to include the costs for providing reactive power in its offer prices nor does the capacity market value reactive power capability.  Further, NEPGA states that ISO-NE’s energy market offer-price rules (both day-ahead and in real-time) likewise limit costs to those necessary to produce real power versus reactive power.  Therefore, </w:t>
      </w:r>
      <w:r w:rsidRPr="006B332B">
        <w:t>NEPGA</w:t>
      </w:r>
      <w:r w:rsidRPr="006B332B">
        <w:t xml:space="preserve"> </w:t>
      </w:r>
      <w:r w:rsidR="00EF5640">
        <w:t>contends</w:t>
      </w:r>
      <w:r w:rsidRPr="006B332B">
        <w:t xml:space="preserve"> that ISO-NE’s wholesale markets do not, as the Commission suggests, provide an opportunity to recover the costs of the capability to provide reactive power and the actual costs to deliver reactive power.</w:t>
      </w:r>
    </w:p>
    <w:p w:rsidR="001D1779" w:rsidP="009721C6" w14:paraId="23CAEC0D" w14:textId="37D522BC">
      <w:pPr>
        <w:pStyle w:val="FERCparanumber"/>
      </w:pPr>
      <w:r w:rsidRPr="00D236F7">
        <w:t>NYISO states that it supports the NOPR’s objective to avoid administratively burdensome processes and procedures to determine individualized cost-of-service reactive power rates for generation facilities.</w:t>
      </w:r>
      <w:r>
        <w:rPr>
          <w:b/>
          <w:vertAlign w:val="superscript"/>
        </w:rPr>
        <w:footnoteReference w:id="392"/>
      </w:r>
      <w:r w:rsidR="009721C6">
        <w:t xml:space="preserve">  </w:t>
      </w:r>
      <w:r w:rsidR="00D05482">
        <w:t xml:space="preserve">As discussed above, </w:t>
      </w:r>
      <w:r w:rsidRPr="00D236F7">
        <w:t xml:space="preserve">NYISO </w:t>
      </w:r>
      <w:r>
        <w:t>and IPPNY</w:t>
      </w:r>
      <w:r w:rsidRPr="00D236F7">
        <w:t xml:space="preserve"> </w:t>
      </w:r>
      <w:r w:rsidR="00D05482">
        <w:t>argue</w:t>
      </w:r>
      <w:r w:rsidRPr="00D236F7">
        <w:t xml:space="preserve"> that </w:t>
      </w:r>
      <w:r>
        <w:t>NYISO’s</w:t>
      </w:r>
      <w:r w:rsidRPr="00D236F7">
        <w:t xml:space="preserve"> existing reactive power and VSS compensation structure</w:t>
      </w:r>
      <w:r>
        <w:t xml:space="preserve">, which uses a flat dollars per </w:t>
      </w:r>
      <w:r w:rsidR="006E260E">
        <w:t>M</w:t>
      </w:r>
      <w:r w:rsidR="006F540B">
        <w:t>VA</w:t>
      </w:r>
      <w:r w:rsidR="006E260E">
        <w:t>r</w:t>
      </w:r>
      <w:r>
        <w:t>-year structure,</w:t>
      </w:r>
      <w:r w:rsidRPr="00D236F7">
        <w:t xml:space="preserve"> is just and reasonable.</w:t>
      </w:r>
      <w:r>
        <w:rPr>
          <w:b/>
          <w:vertAlign w:val="superscript"/>
        </w:rPr>
        <w:footnoteReference w:id="393"/>
      </w:r>
      <w:r w:rsidRPr="00D236F7">
        <w:t xml:space="preserve">  NYISO </w:t>
      </w:r>
      <w:r>
        <w:t xml:space="preserve">and IPPNY </w:t>
      </w:r>
      <w:r>
        <w:t xml:space="preserve">each </w:t>
      </w:r>
      <w:r w:rsidRPr="00D236F7">
        <w:t xml:space="preserve">assert that </w:t>
      </w:r>
      <w:r>
        <w:t>NYISO’s</w:t>
      </w:r>
      <w:r w:rsidRPr="00D236F7">
        <w:t xml:space="preserve"> flat rate compensation structure for VSS has been effective for over 20 years, ensuring adequate reactive power capability and system reliability in the New York Control Area at a reasonable cost to consumers.</w:t>
      </w:r>
      <w:r>
        <w:rPr>
          <w:b/>
          <w:vertAlign w:val="superscript"/>
        </w:rPr>
        <w:footnoteReference w:id="394"/>
      </w:r>
      <w:r w:rsidRPr="00D236F7">
        <w:t xml:space="preserve">  NYISO explains that the structure, accepted by the Commission since 1999, was developed with stakeholder input and Commission approval, with significant revisions in 2016 to include leading and lagging reactive power capabilities.</w:t>
      </w:r>
      <w:r>
        <w:rPr>
          <w:b/>
          <w:vertAlign w:val="superscript"/>
        </w:rPr>
        <w:footnoteReference w:id="395"/>
      </w:r>
      <w:r w:rsidRPr="00D236F7">
        <w:t xml:space="preserve">  NYISO maintains that this structure aligns costs directly with services provided, ensuring reliability benefits commensurate with expenses.</w:t>
      </w:r>
      <w:r>
        <w:rPr>
          <w:b/>
          <w:vertAlign w:val="superscript"/>
        </w:rPr>
        <w:footnoteReference w:id="396"/>
      </w:r>
    </w:p>
    <w:p w:rsidR="001D1779" w:rsidRPr="00BA7885" w:rsidP="001D1779" w14:paraId="3ACE699E" w14:textId="77777777">
      <w:pPr>
        <w:pStyle w:val="FERCparanumber"/>
      </w:pPr>
      <w:r w:rsidRPr="00BA7885">
        <w:t>NYISO states that its flat rate compensation provides market-like incentives, encouraging resources to offer reactive power cost-effectively by rewarding increased capability and maintaining necessary equipment.</w:t>
      </w:r>
      <w:r>
        <w:rPr>
          <w:b/>
          <w:vertAlign w:val="superscript"/>
        </w:rPr>
        <w:footnoteReference w:id="397"/>
      </w:r>
      <w:r w:rsidRPr="00BA7885">
        <w:t xml:space="preserve">  NYISO explains that this approach reduces the need for complex, individualized cost-based payments and integrates reactive power support efficiently into the broader market framework, promoting economic efficiency and reliability.</w:t>
      </w:r>
      <w:r>
        <w:rPr>
          <w:b/>
          <w:vertAlign w:val="superscript"/>
        </w:rPr>
        <w:footnoteReference w:id="398"/>
      </w:r>
    </w:p>
    <w:p w:rsidR="001D1779" w:rsidRPr="00BA7885" w:rsidP="001D1779" w14:paraId="1BB6A366" w14:textId="479C2E7B">
      <w:pPr>
        <w:pStyle w:val="FERCparanumber"/>
      </w:pPr>
      <w:r w:rsidRPr="00BA7885">
        <w:t xml:space="preserve">NYISO </w:t>
      </w:r>
      <w:r w:rsidR="00D477BB">
        <w:t>contends</w:t>
      </w:r>
      <w:r w:rsidRPr="00BA7885" w:rsidR="00D477BB">
        <w:t xml:space="preserve"> </w:t>
      </w:r>
      <w:r w:rsidRPr="00BA7885">
        <w:t xml:space="preserve">that </w:t>
      </w:r>
      <w:r w:rsidR="00421E7A">
        <w:t>as</w:t>
      </w:r>
      <w:r w:rsidRPr="00BA7885" w:rsidR="00421E7A">
        <w:t xml:space="preserve"> </w:t>
      </w:r>
      <w:r w:rsidRPr="00BA7885">
        <w:t>the current system ensures direct compensation for reactive power</w:t>
      </w:r>
      <w:r w:rsidR="00F1155A">
        <w:t xml:space="preserve"> that is</w:t>
      </w:r>
      <w:r w:rsidRPr="00BA7885">
        <w:t xml:space="preserve"> critical for maintaining system </w:t>
      </w:r>
      <w:r w:rsidRPr="00BA7885" w:rsidR="00F1155A">
        <w:t>reliability</w:t>
      </w:r>
      <w:r w:rsidR="00F1155A">
        <w:t>,</w:t>
      </w:r>
      <w:r w:rsidRPr="00BA7885" w:rsidR="00F1155A">
        <w:t xml:space="preserve"> altering</w:t>
      </w:r>
      <w:r w:rsidRPr="00BA7885">
        <w:t xml:space="preserve"> the </w:t>
      </w:r>
      <w:r w:rsidRPr="00BA7885">
        <w:t>compensation mechanism could lead to increased costs and complicate market operations</w:t>
      </w:r>
      <w:r w:rsidR="00C02D82">
        <w:t>,</w:t>
      </w:r>
      <w:r w:rsidRPr="00BA7885">
        <w:t xml:space="preserve"> undermining the efficiency and effectiveness of its existing framework.</w:t>
      </w:r>
      <w:r>
        <w:rPr>
          <w:b/>
          <w:vertAlign w:val="superscript"/>
        </w:rPr>
        <w:footnoteReference w:id="399"/>
      </w:r>
    </w:p>
    <w:p w:rsidR="001D1779" w:rsidRPr="00BA7885" w:rsidP="001D1779" w14:paraId="48A74118" w14:textId="7DC13454">
      <w:pPr>
        <w:pStyle w:val="FERCparanumber"/>
      </w:pPr>
      <w:bookmarkStart w:id="38" w:name="_Ref177882772"/>
      <w:r w:rsidRPr="00BA7885">
        <w:t xml:space="preserve">NYISO </w:t>
      </w:r>
      <w:r w:rsidR="00C02D82">
        <w:t>emphasizes</w:t>
      </w:r>
      <w:r w:rsidRPr="00BA7885">
        <w:t xml:space="preserve"> that as the resource mix evolves with more asynchronous and renewable resources, its flexible compensation structure is crucial for maintaining and enhancing reactive power support.</w:t>
      </w:r>
      <w:r>
        <w:rPr>
          <w:b/>
          <w:vertAlign w:val="superscript"/>
        </w:rPr>
        <w:footnoteReference w:id="400"/>
      </w:r>
      <w:r w:rsidRPr="00BA7885">
        <w:t xml:space="preserve">  NYISO argues that this adaptability will ensure ongoing system reliability amidst changing resource dynamics.</w:t>
      </w:r>
      <w:bookmarkEnd w:id="38"/>
    </w:p>
    <w:p w:rsidR="001D1779" w:rsidP="001D1779" w14:paraId="537902AB" w14:textId="3CD1FA60">
      <w:pPr>
        <w:pStyle w:val="FERCparanumber"/>
      </w:pPr>
      <w:r w:rsidRPr="00BA7885">
        <w:t xml:space="preserve">Lastly, NYISO </w:t>
      </w:r>
      <w:r>
        <w:t xml:space="preserve">and IPPNY each </w:t>
      </w:r>
      <w:r w:rsidR="00F5372E">
        <w:t>highlight</w:t>
      </w:r>
      <w:r w:rsidRPr="00BA7885" w:rsidR="00F5372E">
        <w:t xml:space="preserve"> </w:t>
      </w:r>
      <w:r w:rsidRPr="00BA7885">
        <w:t xml:space="preserve">the need for continued flexibility </w:t>
      </w:r>
      <w:r w:rsidR="0091494A">
        <w:t>in adjusting</w:t>
      </w:r>
      <w:r w:rsidRPr="00BA7885">
        <w:t xml:space="preserve"> compensation rules</w:t>
      </w:r>
      <w:r w:rsidR="0091494A">
        <w:t xml:space="preserve"> to</w:t>
      </w:r>
      <w:r w:rsidRPr="00BA7885">
        <w:t xml:space="preserve"> </w:t>
      </w:r>
      <w:r w:rsidR="0091494A">
        <w:t>incentivize</w:t>
      </w:r>
      <w:r w:rsidRPr="00BA7885" w:rsidR="0091494A">
        <w:t xml:space="preserve"> </w:t>
      </w:r>
      <w:r w:rsidRPr="00BA7885">
        <w:t xml:space="preserve">maximum reactive power capability and </w:t>
      </w:r>
      <w:r w:rsidR="0091494A">
        <w:t>minimize</w:t>
      </w:r>
      <w:r w:rsidRPr="00BA7885" w:rsidR="0091494A">
        <w:t xml:space="preserve"> </w:t>
      </w:r>
      <w:r w:rsidRPr="00BA7885">
        <w:t>out-of-market commitments.</w:t>
      </w:r>
      <w:r>
        <w:rPr>
          <w:b/>
          <w:vertAlign w:val="superscript"/>
        </w:rPr>
        <w:footnoteReference w:id="401"/>
      </w:r>
      <w:r w:rsidRPr="00BA7885">
        <w:t xml:space="preserve">  NYISO contends that a uniform implementation approach is not suitable given the varying regional needs and existing effective compensation frameworks.</w:t>
      </w:r>
      <w:r>
        <w:rPr>
          <w:b/>
          <w:vertAlign w:val="superscript"/>
        </w:rPr>
        <w:footnoteReference w:id="402"/>
      </w:r>
    </w:p>
    <w:p w:rsidR="00337AAA" w:rsidP="001D1779" w14:paraId="5A7A701A" w14:textId="3F03048E">
      <w:pPr>
        <w:pStyle w:val="FERCparanumber"/>
      </w:pPr>
      <w:r w:rsidRPr="00236930">
        <w:t>PJM states that the NOPR would largely eliminate a number of problems that PJM and its stakeholder processes have identified</w:t>
      </w:r>
      <w:r w:rsidR="00AE3D28">
        <w:t>.</w:t>
      </w:r>
      <w:r w:rsidRPr="00236930">
        <w:t xml:space="preserve"> </w:t>
      </w:r>
      <w:r w:rsidR="00DD7D11">
        <w:t xml:space="preserve"> </w:t>
      </w:r>
      <w:r w:rsidR="00AE3D28">
        <w:t xml:space="preserve">PJM </w:t>
      </w:r>
      <w:r w:rsidR="00A97381">
        <w:t xml:space="preserve">explains that </w:t>
      </w:r>
      <w:r w:rsidRPr="00236930">
        <w:t xml:space="preserve">given that PJM stakeholders have been unable to reach consensus on a new rate paradigm after two years of work, PJM supports the proposed </w:t>
      </w:r>
      <w:r w:rsidRPr="001E22C0">
        <w:t>reforms</w:t>
      </w:r>
      <w:r w:rsidRPr="00236930">
        <w:t xml:space="preserve"> identified in the NOPR and encourages the Commission to adopt them as proposed.</w:t>
      </w:r>
      <w:r>
        <w:rPr>
          <w:b/>
          <w:vertAlign w:val="superscript"/>
        </w:rPr>
        <w:footnoteReference w:id="403"/>
      </w:r>
      <w:r>
        <w:t xml:space="preserve">  </w:t>
      </w:r>
      <w:r w:rsidR="0038399E">
        <w:t xml:space="preserve">As discussed further below, </w:t>
      </w:r>
      <w:r w:rsidR="00A62DCE">
        <w:t xml:space="preserve">PJM also </w:t>
      </w:r>
      <w:r w:rsidR="00A62DCE">
        <w:t>proposes that RTOs/ISOs be allowed to implement any needed conforming changes to their market rules as part of the compliance process.</w:t>
      </w:r>
      <w:r>
        <w:rPr>
          <w:rStyle w:val="FootnoteReference"/>
        </w:rPr>
        <w:footnoteReference w:id="404"/>
      </w:r>
    </w:p>
    <w:p w:rsidR="002E5B0C" w:rsidP="001D1779" w14:paraId="643B877C" w14:textId="77777777">
      <w:pPr>
        <w:pStyle w:val="FERCparanumber"/>
      </w:pPr>
      <w:r>
        <w:t xml:space="preserve">The </w:t>
      </w:r>
      <w:r w:rsidRPr="00982836">
        <w:t>PJM IMM states</w:t>
      </w:r>
      <w:r>
        <w:t xml:space="preserve"> </w:t>
      </w:r>
      <w:r w:rsidRPr="00982836">
        <w:t>that the NOPR would extend a just and reasonable, pro competition policy to all jurisdictional markets and public utilities while protecting PJM customers from unjust and unreasonable charges for reactive capability that generation owners are already required to provide.</w:t>
      </w:r>
      <w:r>
        <w:rPr>
          <w:rStyle w:val="FootnoteReference"/>
        </w:rPr>
        <w:footnoteReference w:id="405"/>
      </w:r>
      <w:r w:rsidR="009F7E5A">
        <w:t xml:space="preserve">  The PJM IMM also argues that power suppliers, not customers, are responsible for </w:t>
      </w:r>
      <w:r w:rsidRPr="0070178C" w:rsidR="00037CE7">
        <w:t>the</w:t>
      </w:r>
      <w:r w:rsidRPr="00705808" w:rsidR="009F7E5A">
        <w:t xml:space="preserve"> </w:t>
      </w:r>
      <w:r w:rsidR="009F7E5A">
        <w:t>regulatory risk related to their PPAs.</w:t>
      </w:r>
      <w:r>
        <w:rPr>
          <w:rStyle w:val="FootnoteReference"/>
        </w:rPr>
        <w:footnoteReference w:id="406"/>
      </w:r>
      <w:r w:rsidR="00337AAA">
        <w:t xml:space="preserve">  </w:t>
      </w:r>
    </w:p>
    <w:p w:rsidR="00EC25F1" w:rsidP="001D1779" w14:paraId="032F6A91" w14:textId="7099D87C">
      <w:pPr>
        <w:pStyle w:val="FERCparanumber"/>
      </w:pPr>
      <w:r>
        <w:t>The PJM IMM adds that generating facilities in PJM incur other obligations, such as primary frequency response, as a condition of interconnection without separate compensation for such obligations.</w:t>
      </w:r>
      <w:bookmarkStart w:id="39" w:name="_Ref179918068"/>
      <w:r>
        <w:rPr>
          <w:rStyle w:val="FootnoteReference"/>
        </w:rPr>
        <w:footnoteReference w:id="407"/>
      </w:r>
      <w:bookmarkEnd w:id="39"/>
      <w:r w:rsidR="00A64CD7">
        <w:t xml:space="preserve">  The PJM IMM maintains that</w:t>
      </w:r>
      <w:r w:rsidR="00D817F3">
        <w:t>:</w:t>
      </w:r>
      <w:r w:rsidR="00A64CD7">
        <w:t xml:space="preserve"> </w:t>
      </w:r>
    </w:p>
    <w:p w:rsidR="001D1779" w:rsidRPr="001C1607" w:rsidP="00AA796A" w14:paraId="0FC031F6" w14:textId="72799B39">
      <w:pPr>
        <w:pStyle w:val="FERCparanumber"/>
        <w:numPr>
          <w:ilvl w:val="0"/>
          <w:numId w:val="0"/>
        </w:numPr>
        <w:spacing w:line="240" w:lineRule="auto"/>
        <w:ind w:left="1440" w:right="1440"/>
      </w:pPr>
      <w:r>
        <w:t>T</w:t>
      </w:r>
      <w:r w:rsidRPr="00F26E70" w:rsidR="00A64CD7">
        <w:t xml:space="preserve">here is no evidence that units are built as a result of reactive </w:t>
      </w:r>
      <w:r w:rsidR="00A64CD7">
        <w:t xml:space="preserve">[power] </w:t>
      </w:r>
      <w:r w:rsidRPr="00F26E70" w:rsidR="00A64CD7">
        <w:t xml:space="preserve">revenue.  There is no evidence that sources of revenue are not fungible and that a decrease in reactive </w:t>
      </w:r>
      <w:r w:rsidR="00A64CD7">
        <w:t xml:space="preserve">[power] </w:t>
      </w:r>
      <w:r w:rsidRPr="00F26E70" w:rsidR="00A64CD7">
        <w:t xml:space="preserve">revenues could be not replaced with other sources of revenue. </w:t>
      </w:r>
      <w:r w:rsidR="00A64CD7">
        <w:t xml:space="preserve"> </w:t>
      </w:r>
      <w:r w:rsidRPr="00F26E70" w:rsidR="00A64CD7">
        <w:t>There is no basis for adding new resources to the already very crowded interconnection queue solely based on out of market</w:t>
      </w:r>
      <w:r w:rsidRPr="00E87D43" w:rsidR="00A64CD7">
        <w:t xml:space="preserve"> subsidies from reactive revenues</w:t>
      </w:r>
      <w:r w:rsidR="00A64CD7">
        <w:t>.</w:t>
      </w:r>
      <w:r>
        <w:rPr>
          <w:rStyle w:val="FootnoteReference"/>
        </w:rPr>
        <w:footnoteReference w:id="408"/>
      </w:r>
    </w:p>
    <w:p w:rsidR="001A5979" w:rsidRPr="001C1607" w:rsidP="00C06B6B" w14:paraId="62F5413A" w14:textId="77777777">
      <w:pPr>
        <w:pStyle w:val="FERCparanumber"/>
        <w:numPr>
          <w:ilvl w:val="0"/>
          <w:numId w:val="0"/>
        </w:numPr>
        <w:spacing w:line="240" w:lineRule="auto"/>
        <w:ind w:left="1440" w:right="1440"/>
      </w:pPr>
    </w:p>
    <w:p w:rsidR="00AE5841" w:rsidRPr="00C06B6B" w:rsidP="00AE5841" w14:paraId="220D9C9A" w14:textId="4E7D703D">
      <w:pPr>
        <w:pStyle w:val="Heading3"/>
        <w:rPr>
          <w:u w:val="single"/>
        </w:rPr>
      </w:pPr>
      <w:bookmarkStart w:id="40" w:name="_bmk13"/>
      <w:bookmarkStart w:id="41" w:name="_Ref178234064"/>
      <w:r w:rsidRPr="00C06B6B">
        <w:rPr>
          <w:u w:val="single"/>
        </w:rPr>
        <w:t>C</w:t>
      </w:r>
      <w:bookmarkEnd w:id="40"/>
      <w:r w:rsidRPr="00C06B6B">
        <w:rPr>
          <w:u w:val="single"/>
        </w:rPr>
        <w:t>ommission Determination</w:t>
      </w:r>
      <w:bookmarkEnd w:id="41"/>
    </w:p>
    <w:p w:rsidR="00E169EB" w:rsidRPr="00E169EB" w14:paraId="67DFC592" w14:textId="1172F700">
      <w:pPr>
        <w:pStyle w:val="FERCparanumber"/>
        <w:tabs>
          <w:tab w:val="clear" w:pos="720"/>
        </w:tabs>
      </w:pPr>
      <w:r>
        <w:t>B</w:t>
      </w:r>
      <w:r w:rsidR="00A41426">
        <w:t>ased on the record here</w:t>
      </w:r>
      <w:r w:rsidRPr="00CD2C9F" w:rsidR="00A26A23">
        <w:t xml:space="preserve">, </w:t>
      </w:r>
      <w:r w:rsidR="00931415">
        <w:t>w</w:t>
      </w:r>
      <w:r w:rsidR="00CD1FC4">
        <w:t xml:space="preserve">e adopt </w:t>
      </w:r>
      <w:r w:rsidRPr="003164F4" w:rsidR="00AA19EE">
        <w:t>the</w:t>
      </w:r>
      <w:r w:rsidRPr="003164F4" w:rsidR="00AA19EE">
        <w:t xml:space="preserve"> </w:t>
      </w:r>
      <w:r w:rsidR="00DB701F">
        <w:t>NOPR’s</w:t>
      </w:r>
      <w:r w:rsidRPr="003164F4" w:rsidR="00AA19EE">
        <w:t xml:space="preserve"> preliminar</w:t>
      </w:r>
      <w:r w:rsidR="002E3B8A">
        <w:t>y</w:t>
      </w:r>
      <w:r w:rsidRPr="003164F4" w:rsidR="00AA19EE">
        <w:t xml:space="preserve"> f</w:t>
      </w:r>
      <w:r w:rsidR="00CD1FC4">
        <w:t>inding</w:t>
      </w:r>
      <w:r>
        <w:t>s</w:t>
      </w:r>
      <w:r w:rsidRPr="003164F4" w:rsidR="00AA19EE">
        <w:t xml:space="preserve"> </w:t>
      </w:r>
      <w:r w:rsidR="007D0510">
        <w:t xml:space="preserve">and </w:t>
      </w:r>
      <w:r w:rsidR="00567BC8">
        <w:t>con</w:t>
      </w:r>
      <w:r w:rsidR="00562AA1">
        <w:t xml:space="preserve">clude </w:t>
      </w:r>
      <w:r w:rsidRPr="003164F4" w:rsidR="00AA19EE">
        <w:t xml:space="preserve">that </w:t>
      </w:r>
      <w:r w:rsidRPr="006A5D87" w:rsidR="006A5D87">
        <w:t xml:space="preserve">separate compensation for providing reactive power within the standard power factor range is not necessary for </w:t>
      </w:r>
      <w:r w:rsidR="0020184F">
        <w:t>generating facilities</w:t>
      </w:r>
      <w:r w:rsidRPr="006A5D87" w:rsidR="006A5D87">
        <w:t xml:space="preserve"> </w:t>
      </w:r>
      <w:r w:rsidRPr="007C1148" w:rsidR="006A5D87">
        <w:t xml:space="preserve">to </w:t>
      </w:r>
      <w:r w:rsidRPr="007C1148" w:rsidR="008D79B9">
        <w:t xml:space="preserve">have the opportunity </w:t>
      </w:r>
      <w:r w:rsidRPr="007C1148" w:rsidR="006A5D87">
        <w:t>to</w:t>
      </w:r>
      <w:r w:rsidRPr="006A5D87" w:rsidR="006A5D87">
        <w:t xml:space="preserve"> recover their costs</w:t>
      </w:r>
      <w:r w:rsidR="00415614">
        <w:t xml:space="preserve">.  </w:t>
      </w:r>
      <w:r w:rsidR="008F50D2">
        <w:t xml:space="preserve">As explained </w:t>
      </w:r>
      <w:r w:rsidR="00297506">
        <w:t>above</w:t>
      </w:r>
      <w:r w:rsidR="00702837">
        <w:t xml:space="preserve">, </w:t>
      </w:r>
      <w:r w:rsidRPr="00702837" w:rsidR="00702837">
        <w:t xml:space="preserve">for both synchronous and non-synchronous generating facilities, </w:t>
      </w:r>
      <w:r w:rsidRPr="007B236E" w:rsidR="007B236E">
        <w:t xml:space="preserve">real and reactive power </w:t>
      </w:r>
      <w:r w:rsidR="007B236E">
        <w:t>are</w:t>
      </w:r>
      <w:r w:rsidRPr="007B236E" w:rsidR="007B236E">
        <w:t xml:space="preserve"> joint products, with joint costs </w:t>
      </w:r>
      <w:r w:rsidR="007B236E">
        <w:t xml:space="preserve">and </w:t>
      </w:r>
      <w:r w:rsidR="00EA6308">
        <w:t>t</w:t>
      </w:r>
      <w:r w:rsidRPr="00702837" w:rsidR="00702837">
        <w:t xml:space="preserve">here are </w:t>
      </w:r>
      <w:r w:rsidR="00477043">
        <w:t xml:space="preserve">no </w:t>
      </w:r>
      <w:r w:rsidRPr="00702837" w:rsidR="00702837">
        <w:t xml:space="preserve">identifiable </w:t>
      </w:r>
      <w:r w:rsidR="00410B9B">
        <w:t xml:space="preserve">fixed </w:t>
      </w:r>
      <w:r w:rsidRPr="00702837" w:rsidR="00702837">
        <w:t>costs incurred by generat</w:t>
      </w:r>
      <w:r w:rsidR="003D43C4">
        <w:t>ing facilities</w:t>
      </w:r>
      <w:r w:rsidRPr="00702837" w:rsidR="00702837">
        <w:t xml:space="preserve"> to provide reactive power</w:t>
      </w:r>
      <w:r w:rsidR="0033763A">
        <w:t xml:space="preserve"> </w:t>
      </w:r>
      <w:r w:rsidR="00682033">
        <w:t>withi</w:t>
      </w:r>
      <w:r w:rsidR="004F3B0B">
        <w:t>n the standard power factor range</w:t>
      </w:r>
      <w:r w:rsidRPr="00702837" w:rsidR="00702837">
        <w:t xml:space="preserve"> beyond the investments in equipment already necessary to generate and supply real power to the transmission system.</w:t>
      </w:r>
      <w:r w:rsidR="00233382">
        <w:t xml:space="preserve"> </w:t>
      </w:r>
      <w:r w:rsidR="00B03815">
        <w:t xml:space="preserve"> </w:t>
      </w:r>
      <w:r w:rsidRPr="00C61AF9" w:rsidR="00C61AF9">
        <w:t xml:space="preserve">Further, the record </w:t>
      </w:r>
      <w:r w:rsidRPr="00C61AF9" w:rsidR="00C61AF9">
        <w:t xml:space="preserve">demonstrates that there are at most </w:t>
      </w:r>
      <w:r w:rsidRPr="00C61AF9" w:rsidR="00C61AF9">
        <w:rPr>
          <w:i/>
          <w:iCs/>
        </w:rPr>
        <w:t xml:space="preserve">de minimis </w:t>
      </w:r>
      <w:r w:rsidRPr="00C61AF9" w:rsidR="00C61AF9">
        <w:t xml:space="preserve">variable costs, </w:t>
      </w:r>
      <w:r w:rsidRPr="00C61AF9" w:rsidR="00C61AF9">
        <w:rPr>
          <w:bCs/>
        </w:rPr>
        <w:t>such as fuel and maintenance costs,</w:t>
      </w:r>
      <w:r w:rsidRPr="00C61AF9" w:rsidR="00C61AF9">
        <w:t xml:space="preserve"> associated with providing reactive power within the standard power factor range.  </w:t>
      </w:r>
      <w:r w:rsidR="000B33F4">
        <w:t xml:space="preserve">Given that </w:t>
      </w:r>
      <w:r w:rsidRPr="00573DCA" w:rsidR="000B33F4">
        <w:t xml:space="preserve">the primary function of a generating </w:t>
      </w:r>
      <w:r w:rsidR="000B33F4">
        <w:t>facility</w:t>
      </w:r>
      <w:r w:rsidRPr="00573DCA" w:rsidR="000B33F4">
        <w:t xml:space="preserve"> is to produce real power</w:t>
      </w:r>
      <w:r w:rsidR="009133E6">
        <w:t>,</w:t>
      </w:r>
      <w:r w:rsidR="000B33F4">
        <w:t xml:space="preserve"> and that the provision of reactive power within the standard power factor range is necessary to the provision of real power</w:t>
      </w:r>
      <w:r w:rsidRPr="00795AA3" w:rsidR="00795AA3">
        <w:t>, we find that a generating facility’s fixed and variable costs are appropriately recovered through payments for real power, such as energy and/or capacity sales, whether in organized or bilateral markets.</w:t>
      </w:r>
      <w:r>
        <w:rPr>
          <w:b/>
          <w:vertAlign w:val="superscript"/>
        </w:rPr>
        <w:footnoteReference w:id="409"/>
      </w:r>
      <w:r w:rsidRPr="00795AA3" w:rsidR="00795AA3">
        <w:t xml:space="preserve">  </w:t>
      </w:r>
      <w:r w:rsidRPr="0094696B" w:rsidR="0094696B">
        <w:t xml:space="preserve">Accordingly, we find that this final rule does not prevent a generating facility </w:t>
      </w:r>
      <w:r w:rsidRPr="00B01A30" w:rsidR="0094696B">
        <w:t xml:space="preserve">from </w:t>
      </w:r>
      <w:r w:rsidRPr="00B01A30" w:rsidR="00172BBE">
        <w:t>seeking</w:t>
      </w:r>
      <w:r w:rsidRPr="00B01A30" w:rsidR="00B6677D">
        <w:t xml:space="preserve"> to </w:t>
      </w:r>
      <w:r w:rsidRPr="00B01A30" w:rsidR="0094696B">
        <w:t>recover its</w:t>
      </w:r>
      <w:r w:rsidRPr="0094696B" w:rsidR="0094696B">
        <w:t xml:space="preserve"> costs because resource owners have the opportunity to recover </w:t>
      </w:r>
      <w:r w:rsidR="00A87AEC">
        <w:t xml:space="preserve">any of </w:t>
      </w:r>
      <w:r w:rsidRPr="0094696B" w:rsidR="0094696B">
        <w:t xml:space="preserve">their </w:t>
      </w:r>
      <w:r w:rsidR="00A87AEC">
        <w:t xml:space="preserve">appropriate </w:t>
      </w:r>
      <w:r w:rsidRPr="0094696B" w:rsidR="0094696B">
        <w:t>fixed and variable costs through other revenue streams, including the opportunity to make up for lost revenues</w:t>
      </w:r>
      <w:r w:rsidR="004426D7">
        <w:t>, if any,</w:t>
      </w:r>
      <w:r w:rsidRPr="0094696B" w:rsidR="0094696B">
        <w:t xml:space="preserve"> from the cessation of reactive power compensation.</w:t>
      </w:r>
      <w:r>
        <w:rPr>
          <w:b/>
          <w:vertAlign w:val="superscript"/>
        </w:rPr>
        <w:footnoteReference w:id="410"/>
      </w:r>
      <w:r w:rsidRPr="0094696B" w:rsidR="0094696B">
        <w:t xml:space="preserve">  We </w:t>
      </w:r>
      <w:r w:rsidRPr="0094696B" w:rsidR="0094696B">
        <w:t>find that such an outcome is not only appropriate given the nature of the costs but also more efficient because competition between generating facilities may incentivize efficiency.</w:t>
      </w:r>
      <w:r>
        <w:rPr>
          <w:b/>
          <w:vertAlign w:val="superscript"/>
        </w:rPr>
        <w:footnoteReference w:id="411"/>
      </w:r>
      <w:r w:rsidR="0094696B">
        <w:t xml:space="preserve"> </w:t>
      </w:r>
    </w:p>
    <w:p w:rsidR="00C3561F" w:rsidRPr="00561063" w:rsidP="00C3561F" w14:paraId="0AC29BDF" w14:textId="4AC2E5B2">
      <w:pPr>
        <w:pStyle w:val="FERCparanumber"/>
        <w:tabs>
          <w:tab w:val="clear" w:pos="720"/>
        </w:tabs>
        <w:rPr>
          <w:bCs/>
        </w:rPr>
      </w:pPr>
      <w:r>
        <w:t>W</w:t>
      </w:r>
      <w:r w:rsidR="00A178C8">
        <w:t>e recognize</w:t>
      </w:r>
      <w:r>
        <w:t>, however,</w:t>
      </w:r>
      <w:r w:rsidR="00A178C8">
        <w:t xml:space="preserve"> the current interplay between </w:t>
      </w:r>
      <w:r w:rsidRPr="00A335DD" w:rsidR="00A178C8">
        <w:rPr>
          <w:bCs/>
        </w:rPr>
        <w:t xml:space="preserve">existing reactive power revenue compensation mechanisms and </w:t>
      </w:r>
      <w:r w:rsidR="00A178C8">
        <w:t xml:space="preserve">energy and capacity market rules in </w:t>
      </w:r>
      <w:r w:rsidRPr="00746825" w:rsidR="00A178C8">
        <w:t>ISO-NE, NYISO, and PJM</w:t>
      </w:r>
      <w:r w:rsidR="00412030">
        <w:t>,</w:t>
      </w:r>
      <w:r>
        <w:rPr>
          <w:rStyle w:val="FootnoteReference"/>
        </w:rPr>
        <w:footnoteReference w:id="412"/>
      </w:r>
      <w:r w:rsidR="00DC0D80">
        <w:t xml:space="preserve"> and</w:t>
      </w:r>
      <w:r w:rsidR="00412030">
        <w:t>, a</w:t>
      </w:r>
      <w:r w:rsidR="00A178C8">
        <w:t xml:space="preserve">s a result, </w:t>
      </w:r>
      <w:r w:rsidR="004E7C69">
        <w:t>the RTOs/ISOs may</w:t>
      </w:r>
      <w:r w:rsidR="00A178C8">
        <w:t xml:space="preserve"> </w:t>
      </w:r>
      <w:r w:rsidR="009576BF">
        <w:t>re</w:t>
      </w:r>
      <w:r w:rsidR="00A423DD">
        <w:t>quest, by setting forth the specific bases and reasoning therefore</w:t>
      </w:r>
      <w:r w:rsidRPr="00EE158F" w:rsidR="00A178C8">
        <w:t xml:space="preserve"> </w:t>
      </w:r>
      <w:r w:rsidR="00A423DD">
        <w:t xml:space="preserve">for the Commission’s consideration </w:t>
      </w:r>
      <w:r w:rsidRPr="00EE158F" w:rsidR="00A178C8">
        <w:t>an</w:t>
      </w:r>
      <w:r w:rsidR="00A178C8">
        <w:t xml:space="preserve"> </w:t>
      </w:r>
      <w:r w:rsidRPr="00EE158F" w:rsidR="00A178C8">
        <w:t xml:space="preserve">effective date </w:t>
      </w:r>
      <w:r w:rsidR="006C7951">
        <w:t xml:space="preserve">for their compliance filings </w:t>
      </w:r>
      <w:r w:rsidR="00A178C8">
        <w:t>that allows them</w:t>
      </w:r>
      <w:r w:rsidRPr="00A30A7E" w:rsidR="00A178C8">
        <w:t xml:space="preserve"> to develop </w:t>
      </w:r>
      <w:r w:rsidR="00A178C8">
        <w:t xml:space="preserve">and propose </w:t>
      </w:r>
      <w:r w:rsidRPr="00A30A7E" w:rsidR="00A178C8">
        <w:t xml:space="preserve">changes to their markets that </w:t>
      </w:r>
      <w:r w:rsidR="00A178C8">
        <w:t>are</w:t>
      </w:r>
      <w:r w:rsidRPr="00A30A7E" w:rsidR="00A178C8">
        <w:t xml:space="preserve"> </w:t>
      </w:r>
      <w:r w:rsidRPr="00687E98" w:rsidR="00A178C8">
        <w:t>necessary</w:t>
      </w:r>
      <w:r w:rsidRPr="00A30A7E" w:rsidR="00A178C8">
        <w:t xml:space="preserve"> in order to </w:t>
      </w:r>
      <w:r w:rsidR="00A178C8">
        <w:t xml:space="preserve">accommodate </w:t>
      </w:r>
      <w:r w:rsidRPr="00A30A7E" w:rsidR="00A178C8">
        <w:t xml:space="preserve">this </w:t>
      </w:r>
      <w:r w:rsidR="00A178C8">
        <w:t>final rule’s elimination of compensation for the provision of reactive power within the standard power factor range.</w:t>
      </w:r>
      <w:r w:rsidR="00A335DD">
        <w:t xml:space="preserve">  </w:t>
      </w:r>
      <w:r w:rsidRPr="00A335DD" w:rsidR="00A87DE5">
        <w:rPr>
          <w:bCs/>
        </w:rPr>
        <w:t xml:space="preserve">As recognized in the NOPR and </w:t>
      </w:r>
      <w:r w:rsidRPr="00A335DD" w:rsidR="007965A9">
        <w:rPr>
          <w:bCs/>
        </w:rPr>
        <w:t xml:space="preserve">affirmed </w:t>
      </w:r>
      <w:r w:rsidRPr="00A335DD" w:rsidR="00C16223">
        <w:rPr>
          <w:bCs/>
        </w:rPr>
        <w:t xml:space="preserve">in the comments, </w:t>
      </w:r>
      <w:r w:rsidRPr="00A335DD" w:rsidR="00391BE1">
        <w:rPr>
          <w:bCs/>
        </w:rPr>
        <w:t xml:space="preserve">the existing capacity market rules in </w:t>
      </w:r>
      <w:r w:rsidRPr="00A335DD" w:rsidR="00E80C5A">
        <w:rPr>
          <w:bCs/>
        </w:rPr>
        <w:t xml:space="preserve">PJM, ISO-NE and </w:t>
      </w:r>
      <w:r w:rsidRPr="00A335DD" w:rsidR="00046428">
        <w:rPr>
          <w:bCs/>
        </w:rPr>
        <w:t xml:space="preserve">NYISO </w:t>
      </w:r>
      <w:r w:rsidRPr="00A335DD" w:rsidR="008E3E1C">
        <w:rPr>
          <w:bCs/>
        </w:rPr>
        <w:t xml:space="preserve">reflect </w:t>
      </w:r>
      <w:r w:rsidRPr="00A335DD" w:rsidR="00CD3F75">
        <w:rPr>
          <w:bCs/>
        </w:rPr>
        <w:t>the</w:t>
      </w:r>
      <w:r w:rsidRPr="00A335DD" w:rsidR="0044092F">
        <w:rPr>
          <w:bCs/>
        </w:rPr>
        <w:t xml:space="preserve"> existence of</w:t>
      </w:r>
      <w:r w:rsidRPr="00A335DD" w:rsidR="00CD7FAE">
        <w:rPr>
          <w:bCs/>
        </w:rPr>
        <w:t xml:space="preserve"> generator</w:t>
      </w:r>
      <w:r w:rsidRPr="00A335DD" w:rsidR="0044092F">
        <w:rPr>
          <w:bCs/>
        </w:rPr>
        <w:t xml:space="preserve"> </w:t>
      </w:r>
      <w:r w:rsidRPr="00A335DD" w:rsidR="00A62C89">
        <w:rPr>
          <w:bCs/>
        </w:rPr>
        <w:t xml:space="preserve">payments </w:t>
      </w:r>
      <w:r w:rsidRPr="00A335DD" w:rsidR="00CD7FAE">
        <w:rPr>
          <w:bCs/>
        </w:rPr>
        <w:t xml:space="preserve">under Schedule 2 </w:t>
      </w:r>
      <w:r w:rsidR="00652F8F">
        <w:rPr>
          <w:bCs/>
        </w:rPr>
        <w:t xml:space="preserve">through a revenue offset </w:t>
      </w:r>
      <w:r w:rsidR="00C16223">
        <w:t xml:space="preserve">and reduce capacity market revenues accordingly.  </w:t>
      </w:r>
      <w:r w:rsidR="005A2C6F">
        <w:t xml:space="preserve">For example, </w:t>
      </w:r>
      <w:r w:rsidR="00ED14DC">
        <w:t>as</w:t>
      </w:r>
      <w:r w:rsidRPr="0012111F" w:rsidR="0012111F">
        <w:t xml:space="preserve"> </w:t>
      </w:r>
      <w:r w:rsidRPr="00A335DD" w:rsidR="000534AE">
        <w:rPr>
          <w:bCs/>
        </w:rPr>
        <w:t>PJM and the PJM IMM explain</w:t>
      </w:r>
      <w:r w:rsidRPr="00A335DD" w:rsidR="005F6D4D">
        <w:rPr>
          <w:bCs/>
        </w:rPr>
        <w:t>,</w:t>
      </w:r>
      <w:r w:rsidRPr="00A335DD" w:rsidR="000534AE">
        <w:rPr>
          <w:bCs/>
        </w:rPr>
        <w:t xml:space="preserve"> the </w:t>
      </w:r>
      <w:r w:rsidR="00B309A9">
        <w:rPr>
          <w:bCs/>
        </w:rPr>
        <w:t xml:space="preserve">PJM </w:t>
      </w:r>
      <w:r w:rsidRPr="00A335DD" w:rsidR="000534AE">
        <w:rPr>
          <w:bCs/>
        </w:rPr>
        <w:t xml:space="preserve">capacity market </w:t>
      </w:r>
      <w:r w:rsidR="003B196F">
        <w:rPr>
          <w:bCs/>
        </w:rPr>
        <w:t xml:space="preserve">rules currently </w:t>
      </w:r>
      <w:r w:rsidR="00901D18">
        <w:rPr>
          <w:bCs/>
        </w:rPr>
        <w:t xml:space="preserve">reflect a reactive power </w:t>
      </w:r>
      <w:r w:rsidR="0053529F">
        <w:rPr>
          <w:bCs/>
        </w:rPr>
        <w:t xml:space="preserve">revenue offset </w:t>
      </w:r>
      <w:r w:rsidR="006536F1">
        <w:rPr>
          <w:bCs/>
        </w:rPr>
        <w:t xml:space="preserve">in both </w:t>
      </w:r>
      <w:r w:rsidR="00CB799B">
        <w:rPr>
          <w:bCs/>
        </w:rPr>
        <w:t xml:space="preserve">the market </w:t>
      </w:r>
      <w:r w:rsidRPr="00A335DD" w:rsidR="000534AE">
        <w:rPr>
          <w:bCs/>
        </w:rPr>
        <w:t>seller offer caps and the Net C</w:t>
      </w:r>
      <w:r w:rsidRPr="00A335DD" w:rsidR="005F6D4D">
        <w:rPr>
          <w:bCs/>
        </w:rPr>
        <w:t xml:space="preserve">ost of </w:t>
      </w:r>
      <w:r w:rsidRPr="00A335DD" w:rsidR="000534AE">
        <w:rPr>
          <w:bCs/>
        </w:rPr>
        <w:t>N</w:t>
      </w:r>
      <w:r w:rsidRPr="00A335DD" w:rsidR="005F6D4D">
        <w:rPr>
          <w:bCs/>
        </w:rPr>
        <w:t xml:space="preserve">ew </w:t>
      </w:r>
      <w:r w:rsidRPr="00A335DD" w:rsidR="000534AE">
        <w:rPr>
          <w:bCs/>
        </w:rPr>
        <w:t>E</w:t>
      </w:r>
      <w:r w:rsidRPr="00A335DD" w:rsidR="005F6D4D">
        <w:rPr>
          <w:bCs/>
        </w:rPr>
        <w:t>ntry (</w:t>
      </w:r>
      <w:r w:rsidRPr="00A335DD" w:rsidR="000534AE">
        <w:rPr>
          <w:bCs/>
        </w:rPr>
        <w:t>CONE</w:t>
      </w:r>
      <w:r w:rsidRPr="00A335DD" w:rsidR="005F6D4D">
        <w:rPr>
          <w:bCs/>
        </w:rPr>
        <w:t>)</w:t>
      </w:r>
      <w:r w:rsidR="000A4E6A">
        <w:rPr>
          <w:bCs/>
        </w:rPr>
        <w:t xml:space="preserve"> for the reference resource</w:t>
      </w:r>
      <w:r w:rsidR="00940E66">
        <w:rPr>
          <w:bCs/>
        </w:rPr>
        <w:t xml:space="preserve">, which affects the shape of </w:t>
      </w:r>
      <w:r w:rsidR="00B54F21">
        <w:rPr>
          <w:bCs/>
        </w:rPr>
        <w:t xml:space="preserve">PJM’s capacity market </w:t>
      </w:r>
      <w:r w:rsidR="007B62C3">
        <w:rPr>
          <w:bCs/>
        </w:rPr>
        <w:t xml:space="preserve">demand </w:t>
      </w:r>
      <w:r w:rsidR="00B54F21">
        <w:rPr>
          <w:bCs/>
        </w:rPr>
        <w:t>curve</w:t>
      </w:r>
      <w:r w:rsidR="0074054A">
        <w:rPr>
          <w:bCs/>
        </w:rPr>
        <w:t xml:space="preserve">.  Therefore, both </w:t>
      </w:r>
      <w:r w:rsidR="00AC03ED">
        <w:rPr>
          <w:bCs/>
        </w:rPr>
        <w:t xml:space="preserve">PJM and the PJM IMM argue </w:t>
      </w:r>
      <w:r w:rsidR="003912DB">
        <w:rPr>
          <w:bCs/>
        </w:rPr>
        <w:t xml:space="preserve">that the market </w:t>
      </w:r>
      <w:r w:rsidR="00555E0F">
        <w:rPr>
          <w:bCs/>
        </w:rPr>
        <w:t xml:space="preserve">rules </w:t>
      </w:r>
      <w:r w:rsidR="00406909">
        <w:rPr>
          <w:bCs/>
        </w:rPr>
        <w:t xml:space="preserve">will have to be revised </w:t>
      </w:r>
      <w:r w:rsidRPr="00A335DD" w:rsidR="000534AE">
        <w:rPr>
          <w:bCs/>
        </w:rPr>
        <w:t xml:space="preserve">to reflect the impacts of this </w:t>
      </w:r>
      <w:r w:rsidRPr="00A335DD" w:rsidR="00126E54">
        <w:rPr>
          <w:bCs/>
        </w:rPr>
        <w:t>final rule</w:t>
      </w:r>
      <w:r w:rsidRPr="00A335DD" w:rsidR="000534AE">
        <w:rPr>
          <w:bCs/>
        </w:rPr>
        <w:t>.</w:t>
      </w:r>
      <w:r>
        <w:rPr>
          <w:rStyle w:val="FootnoteReference"/>
          <w:bCs/>
        </w:rPr>
        <w:footnoteReference w:id="413"/>
      </w:r>
      <w:r w:rsidR="009E6242">
        <w:t xml:space="preserve"> </w:t>
      </w:r>
      <w:r w:rsidRPr="00A335DD" w:rsidR="005F6D4D">
        <w:rPr>
          <w:bCs/>
        </w:rPr>
        <w:t xml:space="preserve"> Similarly, </w:t>
      </w:r>
      <w:r w:rsidRPr="00A335DD" w:rsidR="0003373B">
        <w:rPr>
          <w:bCs/>
        </w:rPr>
        <w:t>NYISO and ISO-NE may need to propose changes to</w:t>
      </w:r>
      <w:r w:rsidRPr="00A335DD" w:rsidR="005F6D4D">
        <w:rPr>
          <w:bCs/>
        </w:rPr>
        <w:t xml:space="preserve"> market </w:t>
      </w:r>
      <w:r w:rsidRPr="00A335DD" w:rsidR="0003373B">
        <w:rPr>
          <w:bCs/>
        </w:rPr>
        <w:t>rules to reflect</w:t>
      </w:r>
      <w:r w:rsidR="00961947">
        <w:t xml:space="preserve"> the </w:t>
      </w:r>
      <w:r w:rsidR="00681449">
        <w:t xml:space="preserve">elimination of </w:t>
      </w:r>
      <w:r w:rsidR="00961947">
        <w:t>reactive power revenues</w:t>
      </w:r>
      <w:r w:rsidR="002057DE">
        <w:t xml:space="preserve"> </w:t>
      </w:r>
      <w:r w:rsidR="00093D84">
        <w:t xml:space="preserve">resulting from this </w:t>
      </w:r>
      <w:r w:rsidR="00292DF9">
        <w:t xml:space="preserve">final </w:t>
      </w:r>
      <w:r w:rsidR="00093D84">
        <w:t>rule</w:t>
      </w:r>
      <w:r w:rsidR="00961947">
        <w:t xml:space="preserve">.  Therefore, as discussed below, </w:t>
      </w:r>
      <w:r w:rsidR="0003373B">
        <w:t>we recognize that ISO-NE, NYISO, and PJM may need</w:t>
      </w:r>
      <w:r w:rsidRPr="00A30A7E" w:rsidR="0003373B">
        <w:t xml:space="preserve"> to develop </w:t>
      </w:r>
      <w:r w:rsidR="0003373B">
        <w:t xml:space="preserve">and propose </w:t>
      </w:r>
      <w:r w:rsidRPr="00A30A7E" w:rsidR="0003373B">
        <w:t xml:space="preserve">changes to their markets that may be </w:t>
      </w:r>
      <w:r w:rsidRPr="00687E98" w:rsidR="0003373B">
        <w:t>necessary</w:t>
      </w:r>
      <w:r w:rsidRPr="00A30A7E" w:rsidR="0003373B">
        <w:t xml:space="preserve"> to </w:t>
      </w:r>
      <w:r w:rsidR="0003373B">
        <w:t xml:space="preserve">accommodate </w:t>
      </w:r>
      <w:r w:rsidRPr="00A30A7E" w:rsidR="0003373B">
        <w:t xml:space="preserve">this </w:t>
      </w:r>
      <w:r w:rsidR="00126E54">
        <w:t>final rule</w:t>
      </w:r>
      <w:r w:rsidR="0003373B">
        <w:t>’s elimination of compensation for the provision of reactive power within the standard power factor range.</w:t>
      </w:r>
      <w:r>
        <w:rPr>
          <w:rStyle w:val="FootnoteReference"/>
        </w:rPr>
        <w:footnoteReference w:id="414"/>
      </w:r>
      <w:r w:rsidR="00A44F7E">
        <w:t xml:space="preserve">  </w:t>
      </w:r>
      <w:r w:rsidR="008165C6">
        <w:t>For the reasons</w:t>
      </w:r>
      <w:r w:rsidR="00243271">
        <w:t xml:space="preserve"> explained above</w:t>
      </w:r>
      <w:r w:rsidR="00DC6EFB">
        <w:t>,</w:t>
      </w:r>
      <w:r w:rsidR="008165C6">
        <w:t xml:space="preserve"> w</w:t>
      </w:r>
      <w:r w:rsidRPr="00561063" w:rsidR="004C6A7D">
        <w:t>e</w:t>
      </w:r>
      <w:r w:rsidRPr="00561063" w:rsidR="006A0504">
        <w:t xml:space="preserve"> </w:t>
      </w:r>
      <w:r w:rsidR="00E937B3">
        <w:t xml:space="preserve">also </w:t>
      </w:r>
      <w:r w:rsidRPr="00561063" w:rsidR="004C6A7D">
        <w:t xml:space="preserve">disagree </w:t>
      </w:r>
      <w:r w:rsidRPr="00561063" w:rsidR="009944BE">
        <w:t>with</w:t>
      </w:r>
      <w:r w:rsidRPr="00561063" w:rsidR="0009416C">
        <w:t xml:space="preserve"> </w:t>
      </w:r>
      <w:r w:rsidRPr="00561063" w:rsidR="00554223">
        <w:t xml:space="preserve">those </w:t>
      </w:r>
      <w:r w:rsidRPr="00561063" w:rsidR="0009416C">
        <w:t>commenters</w:t>
      </w:r>
      <w:r w:rsidRPr="00561063" w:rsidR="005F4F11">
        <w:t xml:space="preserve"> </w:t>
      </w:r>
      <w:r w:rsidRPr="00561063" w:rsidR="005A5C56">
        <w:t xml:space="preserve">who </w:t>
      </w:r>
      <w:r w:rsidRPr="00561063" w:rsidR="005F4F11">
        <w:t xml:space="preserve">argue that there is not sufficient evidence to support the conclusion that energy markets </w:t>
      </w:r>
      <w:r w:rsidRPr="00561063" w:rsidR="005F4F11">
        <w:t xml:space="preserve">or capacity markets </w:t>
      </w:r>
      <w:r w:rsidRPr="00561063" w:rsidR="005F4F11">
        <w:t xml:space="preserve">could or should be used to </w:t>
      </w:r>
      <w:r w:rsidRPr="00561063" w:rsidR="00B14386">
        <w:t xml:space="preserve">seek to </w:t>
      </w:r>
      <w:r w:rsidRPr="00561063" w:rsidR="005F4F11">
        <w:t xml:space="preserve">recover the </w:t>
      </w:r>
      <w:r w:rsidRPr="00A53FD1" w:rsidR="005F4F11">
        <w:t>costs</w:t>
      </w:r>
      <w:r w:rsidRPr="00561063" w:rsidR="005F4F11">
        <w:t xml:space="preserve"> </w:t>
      </w:r>
      <w:r w:rsidR="00E20FD6">
        <w:t>currently recovered through payments for</w:t>
      </w:r>
      <w:r w:rsidRPr="00561063" w:rsidR="005F4F11">
        <w:t xml:space="preserve"> reactive power</w:t>
      </w:r>
      <w:r w:rsidRPr="00561063" w:rsidR="00CF24B6">
        <w:t>,</w:t>
      </w:r>
      <w:r w:rsidRPr="00561063" w:rsidR="005F4F11">
        <w:t xml:space="preserve"> as well as those commenters</w:t>
      </w:r>
      <w:r w:rsidRPr="00561063" w:rsidR="00784669">
        <w:t xml:space="preserve"> that argue </w:t>
      </w:r>
      <w:r w:rsidR="003A2F8B">
        <w:t xml:space="preserve">that </w:t>
      </w:r>
      <w:r w:rsidRPr="00561063" w:rsidR="002C4C44">
        <w:rPr>
          <w:bCs/>
        </w:rPr>
        <w:t xml:space="preserve">because </w:t>
      </w:r>
      <w:r w:rsidRPr="00561063" w:rsidR="00EB1222">
        <w:rPr>
          <w:bCs/>
        </w:rPr>
        <w:t xml:space="preserve">capacity and reactive </w:t>
      </w:r>
      <w:r w:rsidRPr="00561063" w:rsidR="00896550">
        <w:rPr>
          <w:bCs/>
        </w:rPr>
        <w:t xml:space="preserve">power </w:t>
      </w:r>
      <w:r w:rsidRPr="00561063" w:rsidR="00EB1222">
        <w:rPr>
          <w:bCs/>
        </w:rPr>
        <w:t>service are separate products, their costs should likewise be recovered separately</w:t>
      </w:r>
      <w:r w:rsidRPr="00561063" w:rsidR="00927887">
        <w:rPr>
          <w:bCs/>
        </w:rPr>
        <w:t xml:space="preserve"> under Schedule 2</w:t>
      </w:r>
      <w:r w:rsidRPr="00561063" w:rsidR="00CA4C31">
        <w:rPr>
          <w:bCs/>
        </w:rPr>
        <w:t>.</w:t>
      </w:r>
      <w:r w:rsidRPr="00561063" w:rsidR="00081F22">
        <w:rPr>
          <w:bCs/>
        </w:rPr>
        <w:t xml:space="preserve">  </w:t>
      </w:r>
      <w:r w:rsidR="00421109">
        <w:rPr>
          <w:bCs/>
        </w:rPr>
        <w:t xml:space="preserve">Given the same equipment is used </w:t>
      </w:r>
      <w:r w:rsidR="00423D42">
        <w:rPr>
          <w:bCs/>
        </w:rPr>
        <w:t xml:space="preserve">for real and reactive </w:t>
      </w:r>
      <w:r w:rsidR="009426A1">
        <w:rPr>
          <w:bCs/>
        </w:rPr>
        <w:t>power</w:t>
      </w:r>
      <w:r w:rsidR="007969C3">
        <w:rPr>
          <w:bCs/>
        </w:rPr>
        <w:t xml:space="preserve"> and</w:t>
      </w:r>
      <w:r w:rsidRPr="00561063" w:rsidR="00C201F5">
        <w:rPr>
          <w:bCs/>
        </w:rPr>
        <w:t xml:space="preserve"> the incremental </w:t>
      </w:r>
      <w:r w:rsidR="00C20E5F">
        <w:rPr>
          <w:bCs/>
        </w:rPr>
        <w:t xml:space="preserve">variable </w:t>
      </w:r>
      <w:r w:rsidRPr="00561063" w:rsidR="00C201F5">
        <w:rPr>
          <w:bCs/>
        </w:rPr>
        <w:t>cost</w:t>
      </w:r>
      <w:r w:rsidR="00C20E5F">
        <w:rPr>
          <w:bCs/>
        </w:rPr>
        <w:t>s</w:t>
      </w:r>
      <w:r w:rsidRPr="00561063" w:rsidR="00C201F5">
        <w:rPr>
          <w:bCs/>
        </w:rPr>
        <w:t xml:space="preserve"> of reactive power service within the deadband </w:t>
      </w:r>
      <w:r w:rsidR="00140A83">
        <w:rPr>
          <w:bCs/>
        </w:rPr>
        <w:t>are</w:t>
      </w:r>
      <w:r w:rsidRPr="00561063" w:rsidR="00C201F5">
        <w:rPr>
          <w:bCs/>
        </w:rPr>
        <w:t xml:space="preserve"> minimal, </w:t>
      </w:r>
      <w:r w:rsidRPr="00561063" w:rsidR="00AE7B9C">
        <w:rPr>
          <w:bCs/>
        </w:rPr>
        <w:t xml:space="preserve">as explained in the section </w:t>
      </w:r>
      <w:r w:rsidRPr="00561063" w:rsidR="00AE7B9C">
        <w:rPr>
          <w:bCs/>
        </w:rPr>
        <w:t xml:space="preserve">above, </w:t>
      </w:r>
      <w:r w:rsidRPr="006056E4" w:rsidR="00C201F5">
        <w:t xml:space="preserve">we </w:t>
      </w:r>
      <w:r w:rsidR="00802238">
        <w:t>disagree with</w:t>
      </w:r>
      <w:r w:rsidRPr="006056E4" w:rsidR="00802238">
        <w:t xml:space="preserve"> </w:t>
      </w:r>
      <w:r w:rsidRPr="006056E4" w:rsidR="00C201F5">
        <w:t>commenters’ claim</w:t>
      </w:r>
      <w:r w:rsidRPr="006056E4" w:rsidR="002F76D8">
        <w:t>s</w:t>
      </w:r>
      <w:r w:rsidRPr="006056E4" w:rsidR="00C201F5">
        <w:t xml:space="preserve"> that costs</w:t>
      </w:r>
      <w:r w:rsidR="004675BA">
        <w:t>, if any,</w:t>
      </w:r>
      <w:r w:rsidRPr="006056E4" w:rsidR="00C201F5">
        <w:t xml:space="preserve"> </w:t>
      </w:r>
      <w:r w:rsidR="007C0187">
        <w:t xml:space="preserve">currently recovered through reactive power payments </w:t>
      </w:r>
      <w:r w:rsidRPr="006056E4" w:rsidR="00C201F5">
        <w:t xml:space="preserve">cannot be recovered through </w:t>
      </w:r>
      <w:r w:rsidR="007C0187">
        <w:t>other</w:t>
      </w:r>
      <w:r w:rsidRPr="006056E4" w:rsidR="00C201F5">
        <w:t xml:space="preserve"> markets</w:t>
      </w:r>
      <w:r w:rsidRPr="006056E4" w:rsidR="00DC26C6">
        <w:t xml:space="preserve">, </w:t>
      </w:r>
      <w:r w:rsidRPr="00561063" w:rsidR="00FD0D14">
        <w:t>especially</w:t>
      </w:r>
      <w:r w:rsidRPr="006056E4" w:rsidR="00FD0D14">
        <w:t xml:space="preserve"> </w:t>
      </w:r>
      <w:r w:rsidRPr="006056E4" w:rsidR="004F37CA">
        <w:t>given</w:t>
      </w:r>
      <w:r w:rsidRPr="006056E4" w:rsidR="000C61D8">
        <w:t xml:space="preserve"> the transition period </w:t>
      </w:r>
      <w:r w:rsidR="006C5D60">
        <w:t>provided in th</w:t>
      </w:r>
      <w:r w:rsidR="00441F6A">
        <w:t>is final</w:t>
      </w:r>
      <w:r w:rsidR="006C5D60">
        <w:t xml:space="preserve"> rule</w:t>
      </w:r>
      <w:r w:rsidR="009D7B8F">
        <w:t xml:space="preserve">, </w:t>
      </w:r>
      <w:r w:rsidRPr="00561063" w:rsidR="00972B10">
        <w:t>which address</w:t>
      </w:r>
      <w:r w:rsidRPr="00561063" w:rsidR="009000A7">
        <w:t xml:space="preserve">es concerns </w:t>
      </w:r>
      <w:r w:rsidRPr="00561063" w:rsidR="00536677">
        <w:t>about existing market ru</w:t>
      </w:r>
      <w:r w:rsidRPr="00561063" w:rsidR="00E259F3">
        <w:t xml:space="preserve">les that may </w:t>
      </w:r>
      <w:r w:rsidR="00AB09E7">
        <w:t>impact cost recovery</w:t>
      </w:r>
      <w:r w:rsidRPr="00561063" w:rsidR="008345E8">
        <w:t xml:space="preserve"> from those markets</w:t>
      </w:r>
      <w:r w:rsidRPr="00561063" w:rsidR="00E10A12">
        <w:t>.</w:t>
      </w:r>
      <w:r>
        <w:rPr>
          <w:rStyle w:val="FootnoteReference"/>
        </w:rPr>
        <w:footnoteReference w:id="415"/>
      </w:r>
      <w:r w:rsidRPr="00561063" w:rsidR="00AE7B9C">
        <w:t xml:space="preserve"> </w:t>
      </w:r>
      <w:r w:rsidRPr="00561063" w:rsidR="00256F38">
        <w:t xml:space="preserve"> </w:t>
      </w:r>
      <w:r w:rsidR="00B21B3C">
        <w:t xml:space="preserve">Furthermore, </w:t>
      </w:r>
      <w:r w:rsidRPr="00561063" w:rsidR="00CC527C">
        <w:t xml:space="preserve">our finding here is supported </w:t>
      </w:r>
      <w:r w:rsidRPr="00561063" w:rsidR="00D9628B">
        <w:rPr>
          <w:bCs/>
        </w:rPr>
        <w:t>b</w:t>
      </w:r>
      <w:r w:rsidRPr="00561063">
        <w:rPr>
          <w:bCs/>
        </w:rPr>
        <w:t xml:space="preserve">oth </w:t>
      </w:r>
      <w:r w:rsidRPr="00561063" w:rsidR="00A04EB4">
        <w:rPr>
          <w:bCs/>
        </w:rPr>
        <w:t>by</w:t>
      </w:r>
      <w:r w:rsidRPr="00561063">
        <w:rPr>
          <w:bCs/>
        </w:rPr>
        <w:t xml:space="preserve"> experience in CAISO, SPP, MISO and certain non-RTO regions where generating facilities do not receive compensation for the provision of reactive power within the standard power factor range, and the evidence in the record to date</w:t>
      </w:r>
      <w:r w:rsidRPr="00561063" w:rsidR="00CC339C">
        <w:rPr>
          <w:bCs/>
        </w:rPr>
        <w:t>.</w:t>
      </w:r>
      <w:r>
        <w:rPr>
          <w:rStyle w:val="FootnoteReference"/>
          <w:bCs/>
        </w:rPr>
        <w:footnoteReference w:id="416"/>
      </w:r>
      <w:r w:rsidRPr="00561063">
        <w:rPr>
          <w:bCs/>
        </w:rPr>
        <w:t xml:space="preserve">  Specifically, experience and evidence demonstrate that:  (1) eliminating </w:t>
      </w:r>
      <w:r w:rsidRPr="00561063">
        <w:rPr>
          <w:bCs/>
        </w:rPr>
        <w:t xml:space="preserve">compensation has not led to an insufficient supply of reactive power in those regions; and (2) generating facilities in these regions have been able to recover </w:t>
      </w:r>
      <w:r w:rsidR="00B92DC3">
        <w:rPr>
          <w:bCs/>
        </w:rPr>
        <w:t>their fixed and variable costs through other means</w:t>
      </w:r>
      <w:r w:rsidRPr="00561063">
        <w:rPr>
          <w:bCs/>
        </w:rPr>
        <w:t>.</w:t>
      </w:r>
      <w:r>
        <w:rPr>
          <w:b/>
          <w:vertAlign w:val="superscript"/>
        </w:rPr>
        <w:footnoteReference w:id="417"/>
      </w:r>
      <w:r w:rsidRPr="00561063">
        <w:rPr>
          <w:bCs/>
        </w:rPr>
        <w:t xml:space="preserve">  For example, CAISO</w:t>
      </w:r>
      <w:r w:rsidRPr="00561063" w:rsidR="00813B27">
        <w:rPr>
          <w:bCs/>
        </w:rPr>
        <w:t xml:space="preserve"> </w:t>
      </w:r>
      <w:r w:rsidRPr="00561063">
        <w:rPr>
          <w:bCs/>
        </w:rPr>
        <w:t>“has seen no evidence to this point that resources cannot comply with reactive power dispatch instructions because they have insufficient funds for the equipment to meet the reactive power dispatch.”</w:t>
      </w:r>
      <w:bookmarkStart w:id="42" w:name="_Ref159404306"/>
      <w:r>
        <w:rPr>
          <w:rStyle w:val="FootnoteReference"/>
        </w:rPr>
        <w:footnoteReference w:id="418"/>
      </w:r>
      <w:bookmarkEnd w:id="42"/>
      <w:r w:rsidRPr="00561063">
        <w:rPr>
          <w:bCs/>
        </w:rPr>
        <w:t xml:space="preserve">  </w:t>
      </w:r>
      <w:r w:rsidRPr="00561063" w:rsidR="00C75D83">
        <w:rPr>
          <w:bCs/>
        </w:rPr>
        <w:t>Rather</w:t>
      </w:r>
      <w:r w:rsidRPr="00561063">
        <w:rPr>
          <w:bCs/>
        </w:rPr>
        <w:t>, “the lack of separate reactive power compensation in CAISO or SPP means that all costs have to be recovered through the applicable PPA, which also means that those PPA prices are higher, all other variables being equal, than they would otherwise be.”</w:t>
      </w:r>
      <w:r>
        <w:rPr>
          <w:b/>
          <w:bCs/>
          <w:vertAlign w:val="superscript"/>
        </w:rPr>
        <w:footnoteReference w:id="419"/>
      </w:r>
    </w:p>
    <w:p w:rsidR="00EB1222" w:rsidRPr="00561063" w:rsidP="00784669" w14:paraId="6620C3F7" w14:textId="0C6A7BB7">
      <w:pPr>
        <w:pStyle w:val="FERCparanumber"/>
      </w:pPr>
      <w:r w:rsidRPr="00561063">
        <w:t xml:space="preserve">We also find it of no consequence that a generating facility participates in </w:t>
      </w:r>
      <w:r w:rsidRPr="00561063" w:rsidR="00C079D1">
        <w:t>only the energy</w:t>
      </w:r>
      <w:r w:rsidRPr="00561063">
        <w:t xml:space="preserve"> </w:t>
      </w:r>
      <w:r w:rsidRPr="00561063" w:rsidR="0011463D">
        <w:t>market</w:t>
      </w:r>
      <w:r w:rsidRPr="00561063" w:rsidR="002C0845">
        <w:t>, as no commenter has demonstrated why</w:t>
      </w:r>
      <w:r w:rsidRPr="00561063" w:rsidR="0011463D">
        <w:t xml:space="preserve"> </w:t>
      </w:r>
      <w:r w:rsidRPr="00561063" w:rsidR="00E24092">
        <w:rPr>
          <w:bCs/>
        </w:rPr>
        <w:t xml:space="preserve">these </w:t>
      </w:r>
      <w:r w:rsidRPr="00561063">
        <w:rPr>
          <w:bCs/>
        </w:rPr>
        <w:t xml:space="preserve">joint costs </w:t>
      </w:r>
      <w:r w:rsidRPr="00561063" w:rsidR="00D30308">
        <w:rPr>
          <w:bCs/>
        </w:rPr>
        <w:t xml:space="preserve">could not be </w:t>
      </w:r>
      <w:r w:rsidRPr="00561063">
        <w:rPr>
          <w:bCs/>
        </w:rPr>
        <w:t>recovered via energy sales</w:t>
      </w:r>
      <w:r w:rsidRPr="00561063" w:rsidR="00AD46E2">
        <w:rPr>
          <w:bCs/>
        </w:rPr>
        <w:t>, as these costs are necessary for the production and delivery of real power</w:t>
      </w:r>
      <w:r w:rsidRPr="00561063">
        <w:rPr>
          <w:bCs/>
        </w:rPr>
        <w:t>.</w:t>
      </w:r>
      <w:r w:rsidRPr="00561063" w:rsidR="00525AA1">
        <w:t xml:space="preserve">  However, </w:t>
      </w:r>
      <w:r w:rsidRPr="00561063" w:rsidR="005A49A6">
        <w:t xml:space="preserve">as discussed </w:t>
      </w:r>
      <w:r w:rsidR="005C281D">
        <w:t>herein</w:t>
      </w:r>
      <w:r w:rsidRPr="00561063" w:rsidR="005A49A6">
        <w:t xml:space="preserve">, </w:t>
      </w:r>
      <w:r w:rsidRPr="00561063" w:rsidR="00525AA1">
        <w:t xml:space="preserve">to the extent that </w:t>
      </w:r>
      <w:r w:rsidRPr="00561063" w:rsidR="006208AB">
        <w:t xml:space="preserve">current </w:t>
      </w:r>
      <w:r w:rsidRPr="00561063" w:rsidR="00525AA1">
        <w:t xml:space="preserve">RTO/ISO market rules </w:t>
      </w:r>
      <w:r w:rsidR="005C281D">
        <w:t>require</w:t>
      </w:r>
      <w:r w:rsidRPr="00561063" w:rsidR="00525AA1">
        <w:t xml:space="preserve"> generating facilities </w:t>
      </w:r>
      <w:r w:rsidR="0097336F">
        <w:t>to subtract their</w:t>
      </w:r>
      <w:r w:rsidRPr="00561063" w:rsidR="00F30895">
        <w:t xml:space="preserve"> separate revenue stream</w:t>
      </w:r>
      <w:r w:rsidR="0097336F">
        <w:t>s</w:t>
      </w:r>
      <w:r w:rsidRPr="00561063" w:rsidR="00F30895">
        <w:t xml:space="preserve"> for reactive power </w:t>
      </w:r>
      <w:r w:rsidR="005906D9">
        <w:t xml:space="preserve">from </w:t>
      </w:r>
      <w:r w:rsidRPr="0008211A" w:rsidR="0008211A">
        <w:t xml:space="preserve">the avoidable costs they are permitted to reflect in their capacity market </w:t>
      </w:r>
      <w:r w:rsidRPr="0008211A" w:rsidR="0008211A">
        <w:t>offers</w:t>
      </w:r>
      <w:r w:rsidRPr="00561063" w:rsidR="00525AA1">
        <w:t xml:space="preserve">, we encourage RTOs/ISOs to propose any necessary conforming changes to their market rules in section 205 filings accompanying their compliance filings to this </w:t>
      </w:r>
      <w:r w:rsidR="00126E54">
        <w:t>final rule</w:t>
      </w:r>
      <w:r w:rsidRPr="00561063" w:rsidR="00525AA1">
        <w:t>.</w:t>
      </w:r>
      <w:r>
        <w:rPr>
          <w:rStyle w:val="FootnoteReference"/>
        </w:rPr>
        <w:footnoteReference w:id="420"/>
      </w:r>
    </w:p>
    <w:p w:rsidR="00435DC9" w:rsidRPr="00561063" w:rsidP="0031296A" w14:paraId="734D5A34" w14:textId="0A7B1BCE">
      <w:pPr>
        <w:pStyle w:val="FERCparanumber"/>
      </w:pPr>
      <w:r w:rsidRPr="00561063">
        <w:t xml:space="preserve">The </w:t>
      </w:r>
      <w:r w:rsidRPr="00561063" w:rsidR="00EB1222">
        <w:t xml:space="preserve">NHA asserts that capacity markets are unequipped to situate reactive power where it is most needed because capacity markets do not allow for granular clearing prices based on specific geographic locations.  In turn, </w:t>
      </w:r>
      <w:r w:rsidRPr="00561063">
        <w:t>the</w:t>
      </w:r>
      <w:r w:rsidRPr="00561063" w:rsidR="00EB1222">
        <w:t xml:space="preserve"> NHA argues that RTOs/ISOs should instead develop reactive power compensation rules to reflect locational requirements.</w:t>
      </w:r>
      <w:r>
        <w:rPr>
          <w:rStyle w:val="FootnoteReference"/>
        </w:rPr>
        <w:footnoteReference w:id="421"/>
      </w:r>
      <w:r w:rsidRPr="00561063" w:rsidR="00EB1222">
        <w:t xml:space="preserve">  </w:t>
      </w:r>
      <w:r w:rsidRPr="00561063" w:rsidR="00637185">
        <w:t>However, we</w:t>
      </w:r>
      <w:r w:rsidRPr="00561063" w:rsidR="00EB1222">
        <w:t xml:space="preserve"> find that generating facilities are required to provide reactive power within the standard power factor range as a matter of good utility practice and to meet the obligations under their interconnection agreements</w:t>
      </w:r>
      <w:r w:rsidRPr="00561063" w:rsidR="006415F7">
        <w:t xml:space="preserve"> under Order </w:t>
      </w:r>
      <w:r w:rsidR="003428D4">
        <w:t xml:space="preserve">          </w:t>
      </w:r>
      <w:r w:rsidRPr="00561063" w:rsidR="006415F7">
        <w:t>No. 2003</w:t>
      </w:r>
      <w:r w:rsidRPr="00561063" w:rsidR="00EB1222">
        <w:t xml:space="preserve">, </w:t>
      </w:r>
      <w:r w:rsidRPr="00561063" w:rsidR="00EB1222">
        <w:rPr>
          <w:i/>
        </w:rPr>
        <w:t>regardless of location</w:t>
      </w:r>
      <w:r w:rsidRPr="00561063" w:rsidR="00EB1222">
        <w:t>.</w:t>
      </w:r>
      <w:r>
        <w:rPr>
          <w:rStyle w:val="FootnoteReference"/>
        </w:rPr>
        <w:footnoteReference w:id="422"/>
      </w:r>
      <w:r w:rsidRPr="00561063" w:rsidR="00EB1222">
        <w:t xml:space="preserve">  </w:t>
      </w:r>
      <w:r w:rsidRPr="00561063" w:rsidR="00BD3A50">
        <w:t xml:space="preserve">For </w:t>
      </w:r>
      <w:r w:rsidRPr="00561063" w:rsidR="000444FB">
        <w:t>that</w:t>
      </w:r>
      <w:r w:rsidRPr="00561063" w:rsidR="00BD3A50">
        <w:t xml:space="preserve"> reason</w:t>
      </w:r>
      <w:r w:rsidRPr="00561063" w:rsidR="00EB1222">
        <w:t xml:space="preserve">, </w:t>
      </w:r>
      <w:r w:rsidRPr="00561063" w:rsidR="00472421">
        <w:t>Order No. 2003 does not contain a</w:t>
      </w:r>
      <w:r w:rsidRPr="00561063" w:rsidR="00EB1222">
        <w:t xml:space="preserve"> location-specific component </w:t>
      </w:r>
      <w:r w:rsidRPr="00561063" w:rsidR="006A4A2E">
        <w:t xml:space="preserve">for </w:t>
      </w:r>
      <w:r w:rsidRPr="00561063" w:rsidR="00AA7C16">
        <w:t xml:space="preserve">the provisions of </w:t>
      </w:r>
      <w:r w:rsidRPr="00561063" w:rsidR="00EB1222">
        <w:t>reactive power within the standard power factor range.  Any additional reactive power capability required to satisfy specific local reliability needs, as well as the compensation for costs incurred to provide that capability (</w:t>
      </w:r>
      <w:r w:rsidRPr="00C06B6B" w:rsidR="00EB1222">
        <w:rPr>
          <w:iCs/>
        </w:rPr>
        <w:t>e.g.</w:t>
      </w:r>
      <w:r w:rsidRPr="00561063" w:rsidR="00EB1222">
        <w:t>, capacitors, synchronous condensers), are for the transmission provider to determine and are beyond the scope</w:t>
      </w:r>
      <w:r w:rsidRPr="00561063" w:rsidR="00846F5C">
        <w:t xml:space="preserve"> </w:t>
      </w:r>
      <w:r w:rsidRPr="00561063" w:rsidR="00685C7D">
        <w:t xml:space="preserve">of </w:t>
      </w:r>
      <w:r w:rsidRPr="00561063" w:rsidR="00846F5C">
        <w:t xml:space="preserve">this </w:t>
      </w:r>
      <w:r w:rsidR="00126E54">
        <w:t>final rule</w:t>
      </w:r>
      <w:r w:rsidRPr="00561063" w:rsidR="00EB1222">
        <w:t>.</w:t>
      </w:r>
      <w:bookmarkStart w:id="43" w:name="_Ref179918577"/>
      <w:r>
        <w:rPr>
          <w:rStyle w:val="FootnoteReference"/>
        </w:rPr>
        <w:footnoteReference w:id="423"/>
      </w:r>
      <w:bookmarkEnd w:id="43"/>
    </w:p>
    <w:p w:rsidR="00176B33" w:rsidRPr="00561063" w:rsidP="005D212B" w14:paraId="4E9EE497" w14:textId="253FC810">
      <w:pPr>
        <w:pStyle w:val="FERCparanumber"/>
      </w:pPr>
      <w:r w:rsidRPr="00561063">
        <w:t>In response to commenters</w:t>
      </w:r>
      <w:r>
        <w:rPr>
          <w:b/>
          <w:vertAlign w:val="superscript"/>
        </w:rPr>
        <w:footnoteReference w:id="424"/>
      </w:r>
      <w:r w:rsidRPr="00561063">
        <w:t xml:space="preserve"> </w:t>
      </w:r>
      <w:r w:rsidRPr="00561063" w:rsidR="00CF1BB9">
        <w:t xml:space="preserve">who </w:t>
      </w:r>
      <w:r w:rsidRPr="00561063">
        <w:t>argue that generating facilities will be unable to recover</w:t>
      </w:r>
      <w:r w:rsidR="00852708">
        <w:t xml:space="preserve"> through their existing PPAs</w:t>
      </w:r>
      <w:r w:rsidRPr="00561063">
        <w:t xml:space="preserve"> costs </w:t>
      </w:r>
      <w:r w:rsidR="00356189">
        <w:t>that are currently recovered through separate reactive power payments</w:t>
      </w:r>
      <w:r w:rsidRPr="00561063" w:rsidR="005E7BF3">
        <w:t xml:space="preserve">, </w:t>
      </w:r>
      <w:r w:rsidRPr="00561063" w:rsidR="0070152E">
        <w:t>the record lacks any concrete evidence showing whether, and to what extent, generating facilities factored reactive power revenues into their PPAs.  Even if a generator were able to demonstrate that eliminating compensation under our rule might</w:t>
      </w:r>
      <w:r w:rsidRPr="00561063" w:rsidR="0070152E">
        <w:t xml:space="preserve"> </w:t>
      </w:r>
      <w:r w:rsidRPr="00561063" w:rsidR="005E7BF3">
        <w:t xml:space="preserve">impact some generating </w:t>
      </w:r>
      <w:r w:rsidR="00756532">
        <w:t>facility’s</w:t>
      </w:r>
      <w:r w:rsidRPr="00561063" w:rsidR="005E7BF3">
        <w:t xml:space="preserve"> profitability</w:t>
      </w:r>
      <w:r w:rsidRPr="00561063" w:rsidR="00284F74">
        <w:t xml:space="preserve">, </w:t>
      </w:r>
      <w:r w:rsidRPr="00561063" w:rsidR="00021086">
        <w:t>we</w:t>
      </w:r>
      <w:r w:rsidRPr="00561063" w:rsidR="005E7BF3">
        <w:t xml:space="preserve"> do not believe that </w:t>
      </w:r>
      <w:r w:rsidRPr="00561063" w:rsidR="00147ED7">
        <w:t xml:space="preserve">potential </w:t>
      </w:r>
      <w:r w:rsidRPr="00561063" w:rsidR="005E7BF3">
        <w:t xml:space="preserve">disrupted expectations weigh in favor of </w:t>
      </w:r>
      <w:r w:rsidRPr="00561063" w:rsidR="009B768F">
        <w:t>a different outcome</w:t>
      </w:r>
      <w:r w:rsidRPr="00561063" w:rsidR="005E7BF3">
        <w:t xml:space="preserve"> in this situation.  </w:t>
      </w:r>
      <w:r w:rsidRPr="00561063" w:rsidR="00000815">
        <w:t>As a general matter</w:t>
      </w:r>
      <w:r w:rsidRPr="00561063" w:rsidR="005E7BF3">
        <w:t>, the risk of regulatory change is inherent in a</w:t>
      </w:r>
      <w:r w:rsidRPr="00561063" w:rsidR="005F47D7">
        <w:t>ny</w:t>
      </w:r>
      <w:r w:rsidRPr="00561063" w:rsidR="005E7BF3">
        <w:t xml:space="preserve"> long-term PPA.</w:t>
      </w:r>
      <w:r>
        <w:rPr>
          <w:rStyle w:val="FootnoteReference"/>
        </w:rPr>
        <w:footnoteReference w:id="425"/>
      </w:r>
      <w:r w:rsidRPr="00561063" w:rsidR="005E7BF3">
        <w:t xml:space="preserve">  </w:t>
      </w:r>
      <w:r w:rsidRPr="00561063" w:rsidR="00EA275A">
        <w:t>Moreover</w:t>
      </w:r>
      <w:r w:rsidRPr="00561063" w:rsidR="005E7BF3">
        <w:t xml:space="preserve">, as explained above, because no generating facility </w:t>
      </w:r>
      <w:r w:rsidRPr="00561063" w:rsidR="009D6000">
        <w:t xml:space="preserve">could have reasonably relied on </w:t>
      </w:r>
      <w:r w:rsidRPr="00561063" w:rsidR="005E7BF3">
        <w:t xml:space="preserve">an inherent right to </w:t>
      </w:r>
      <w:r w:rsidRPr="00561063" w:rsidR="001A41CD">
        <w:t xml:space="preserve">separate </w:t>
      </w:r>
      <w:r w:rsidRPr="00561063" w:rsidR="005E7BF3">
        <w:t>compensation for reactive power capability within the standard power factor range since Order Nos. 2003 and 2003-A (</w:t>
      </w:r>
      <w:r w:rsidRPr="00C06B6B" w:rsidR="005E7BF3">
        <w:rPr>
          <w:iCs/>
        </w:rPr>
        <w:t>i.e.</w:t>
      </w:r>
      <w:r w:rsidRPr="00561063" w:rsidR="005E7BF3">
        <w:t xml:space="preserve">, </w:t>
      </w:r>
      <w:r w:rsidRPr="00561063" w:rsidR="004A1420">
        <w:t>because</w:t>
      </w:r>
      <w:r w:rsidRPr="00561063" w:rsidR="005E7BF3">
        <w:t xml:space="preserve"> such </w:t>
      </w:r>
      <w:r w:rsidRPr="00561063" w:rsidR="005E7BF3">
        <w:t xml:space="preserve">compensation is required only to ensure “comparability”), there has always been some risk in relying on compensation, because </w:t>
      </w:r>
      <w:r w:rsidRPr="00561063" w:rsidR="00D2657F">
        <w:t>market rules can change</w:t>
      </w:r>
      <w:r w:rsidRPr="00561063" w:rsidR="005E7BF3">
        <w:t>.</w:t>
      </w:r>
      <w:r>
        <w:rPr>
          <w:rStyle w:val="FootnoteReference"/>
        </w:rPr>
        <w:footnoteReference w:id="426"/>
      </w:r>
      <w:r w:rsidRPr="00561063" w:rsidR="005E7BF3">
        <w:t xml:space="preserve">  </w:t>
      </w:r>
      <w:r w:rsidRPr="00561063" w:rsidR="00470088">
        <w:t xml:space="preserve">Indeed, </w:t>
      </w:r>
      <w:r w:rsidRPr="00561063" w:rsidR="00CF1E52">
        <w:t xml:space="preserve">developers and generating facilities </w:t>
      </w:r>
      <w:r w:rsidRPr="00561063" w:rsidR="00E9428B">
        <w:t xml:space="preserve">have been on notice </w:t>
      </w:r>
      <w:r w:rsidRPr="00561063" w:rsidR="00B65F3E">
        <w:t xml:space="preserve">since at least </w:t>
      </w:r>
      <w:r w:rsidRPr="00561063" w:rsidR="00385958">
        <w:t xml:space="preserve">2003 </w:t>
      </w:r>
      <w:r w:rsidRPr="00561063" w:rsidR="00451A7F">
        <w:t xml:space="preserve">that the Commission regards </w:t>
      </w:r>
      <w:r w:rsidRPr="00561063" w:rsidR="000E16E4">
        <w:t xml:space="preserve">reactive power compensation </w:t>
      </w:r>
      <w:r w:rsidRPr="00561063" w:rsidR="00832E05">
        <w:t xml:space="preserve">within the standard power factor range </w:t>
      </w:r>
      <w:r w:rsidRPr="00561063" w:rsidR="00C8312C">
        <w:t xml:space="preserve">as non-compensable </w:t>
      </w:r>
      <w:r w:rsidRPr="00561063" w:rsidR="008E30E1">
        <w:t xml:space="preserve">(other than where the comparability </w:t>
      </w:r>
      <w:r w:rsidR="00D5655F">
        <w:t>standard</w:t>
      </w:r>
      <w:r w:rsidRPr="00561063" w:rsidR="00D5655F">
        <w:t xml:space="preserve"> </w:t>
      </w:r>
      <w:r w:rsidRPr="00561063" w:rsidR="009F2575">
        <w:t>applies)</w:t>
      </w:r>
      <w:r w:rsidRPr="0022232A" w:rsidR="0022232A">
        <w:t xml:space="preserve"> —</w:t>
      </w:r>
      <w:r w:rsidRPr="00561063" w:rsidR="005B7F06">
        <w:t xml:space="preserve">a conclusion that was patent </w:t>
      </w:r>
      <w:r w:rsidRPr="00561063" w:rsidR="00F373E1">
        <w:t>in those orders</w:t>
      </w:r>
      <w:r w:rsidRPr="00561063" w:rsidR="00631D82">
        <w:t xml:space="preserve">, and reinforced </w:t>
      </w:r>
      <w:r w:rsidRPr="00561063" w:rsidR="005248C3">
        <w:t xml:space="preserve">repeatedly </w:t>
      </w:r>
      <w:r w:rsidRPr="00561063" w:rsidR="005E3861">
        <w:t xml:space="preserve">in subsequent Commission orders </w:t>
      </w:r>
      <w:r w:rsidRPr="00561063" w:rsidR="005E7BF3">
        <w:t>accept</w:t>
      </w:r>
      <w:r w:rsidRPr="00561063" w:rsidR="007B52EC">
        <w:t>ing</w:t>
      </w:r>
      <w:r w:rsidRPr="00561063" w:rsidR="005E7BF3">
        <w:t xml:space="preserve"> transmission owner filings under section 205 that eliminate</w:t>
      </w:r>
      <w:r w:rsidRPr="00561063" w:rsidR="00B004B0">
        <w:t>d</w:t>
      </w:r>
      <w:r w:rsidRPr="00561063" w:rsidR="005E7BF3">
        <w:t xml:space="preserve"> </w:t>
      </w:r>
      <w:bookmarkStart w:id="44" w:name="_Hlk178597892"/>
      <w:r w:rsidRPr="00561063" w:rsidR="005E7BF3">
        <w:t>reactive power compensation</w:t>
      </w:r>
      <w:r w:rsidRPr="00561063" w:rsidR="00735DAE">
        <w:t xml:space="preserve"> within the standard power factor range</w:t>
      </w:r>
      <w:bookmarkEnd w:id="44"/>
      <w:r w:rsidRPr="00561063" w:rsidR="005E7BF3">
        <w:t>.</w:t>
      </w:r>
      <w:r>
        <w:rPr>
          <w:rStyle w:val="FootnoteReference"/>
        </w:rPr>
        <w:footnoteReference w:id="427"/>
      </w:r>
      <w:r w:rsidRPr="00561063" w:rsidR="005E7BF3">
        <w:t xml:space="preserve">  </w:t>
      </w:r>
      <w:r w:rsidRPr="00561063" w:rsidR="00526753">
        <w:t>Additionally, th</w:t>
      </w:r>
      <w:r w:rsidRPr="00561063" w:rsidR="005E7BF3">
        <w:t>e Commission rejected reliance arguments in the MISO Rehearing Order</w:t>
      </w:r>
      <w:r>
        <w:rPr>
          <w:rStyle w:val="FootnoteReference"/>
        </w:rPr>
        <w:footnoteReference w:id="428"/>
      </w:r>
      <w:r w:rsidRPr="00561063" w:rsidR="005E7BF3">
        <w:t xml:space="preserve"> and </w:t>
      </w:r>
      <w:r w:rsidRPr="00561063" w:rsidR="005E7BF3">
        <w:rPr>
          <w:i/>
          <w:iCs/>
        </w:rPr>
        <w:t>PNM</w:t>
      </w:r>
      <w:r w:rsidRPr="00561063" w:rsidR="005E7BF3">
        <w:t>.</w:t>
      </w:r>
      <w:r>
        <w:rPr>
          <w:rStyle w:val="FootnoteReference"/>
        </w:rPr>
        <w:footnoteReference w:id="429"/>
      </w:r>
      <w:r w:rsidRPr="00561063" w:rsidR="005D212B">
        <w:t xml:space="preserve">  </w:t>
      </w:r>
      <w:r w:rsidRPr="00561063" w:rsidR="002B23DE">
        <w:t>We similarly find unsupported</w:t>
      </w:r>
      <w:r w:rsidRPr="00561063" w:rsidR="004736FE">
        <w:t xml:space="preserve"> </w:t>
      </w:r>
      <w:r w:rsidRPr="00561063">
        <w:t>Generation Developers</w:t>
      </w:r>
      <w:r w:rsidRPr="00561063" w:rsidR="004736FE">
        <w:t>’</w:t>
      </w:r>
      <w:r>
        <w:rPr>
          <w:b/>
          <w:bCs/>
          <w:vertAlign w:val="superscript"/>
        </w:rPr>
        <w:footnoteReference w:id="430"/>
      </w:r>
      <w:r w:rsidRPr="00561063" w:rsidR="004736FE">
        <w:t xml:space="preserve"> concerns about </w:t>
      </w:r>
      <w:r w:rsidRPr="00561063" w:rsidR="007A1292">
        <w:t xml:space="preserve">energy markets </w:t>
      </w:r>
      <w:r w:rsidRPr="00561063" w:rsidR="00202FD3">
        <w:t xml:space="preserve">being </w:t>
      </w:r>
      <w:r w:rsidRPr="00561063" w:rsidR="00202FD3">
        <w:t>insufficient to recover fixed costs</w:t>
      </w:r>
      <w:r w:rsidRPr="00561063">
        <w:t xml:space="preserve"> and Indicated Trade Associations</w:t>
      </w:r>
      <w:r w:rsidRPr="00561063" w:rsidR="00202FD3">
        <w:t>’</w:t>
      </w:r>
      <w:r>
        <w:rPr>
          <w:b/>
          <w:bCs/>
          <w:vertAlign w:val="superscript"/>
        </w:rPr>
        <w:footnoteReference w:id="431"/>
      </w:r>
      <w:r w:rsidRPr="00561063">
        <w:t xml:space="preserve"> </w:t>
      </w:r>
      <w:r w:rsidRPr="00561063" w:rsidR="00202FD3">
        <w:t xml:space="preserve">concerns about </w:t>
      </w:r>
      <w:r w:rsidRPr="00561063" w:rsidR="00EF5F8D">
        <w:t>not clearing the energy market when including reactive power costs in energy market bids.</w:t>
      </w:r>
      <w:r w:rsidRPr="00561063" w:rsidR="002B23DE">
        <w:t xml:space="preserve">  The record demonstrates that, in regions such as MISO</w:t>
      </w:r>
      <w:r w:rsidR="00CA6CB3">
        <w:t>,</w:t>
      </w:r>
      <w:r w:rsidRPr="00561063" w:rsidR="002B23DE">
        <w:t xml:space="preserve"> where separate compensation for the provision of reactive power within the standard power factor range has been eliminated, generating facilities continue to be developed, indicating that such developers believe there to be sufficient opportunity to recover their costs, including any costs associated with the provision of reactive power within the standard power factor range.</w:t>
      </w:r>
      <w:bookmarkStart w:id="45" w:name="_Ref179916992"/>
      <w:r>
        <w:rPr>
          <w:rStyle w:val="FootnoteReference"/>
        </w:rPr>
        <w:footnoteReference w:id="432"/>
      </w:r>
      <w:bookmarkEnd w:id="45"/>
      <w:r w:rsidRPr="00561063" w:rsidR="002B23DE">
        <w:t xml:space="preserve">  In light of this evidence, Indicated Trade Associations</w:t>
      </w:r>
      <w:r w:rsidRPr="00561063" w:rsidR="002E235C">
        <w:t>’</w:t>
      </w:r>
      <w:r w:rsidRPr="00561063" w:rsidR="002B23DE">
        <w:t xml:space="preserve"> and Generation Developers</w:t>
      </w:r>
      <w:r w:rsidRPr="00561063" w:rsidR="002E235C">
        <w:t>’</w:t>
      </w:r>
      <w:r w:rsidRPr="00561063" w:rsidR="002B23DE">
        <w:t xml:space="preserve"> </w:t>
      </w:r>
      <w:r w:rsidRPr="00561063" w:rsidR="00623F26">
        <w:t>arguments that organized markets do not provide sufficient opportunities for generating facilities to recover their costs fall flat.</w:t>
      </w:r>
    </w:p>
    <w:p w:rsidR="00EC5444" w:rsidRPr="00561063" w:rsidP="000C757B" w14:paraId="3526A3CB" w14:textId="4295861A">
      <w:pPr>
        <w:pStyle w:val="FERCparanumber"/>
      </w:pPr>
      <w:r w:rsidRPr="00561063">
        <w:t xml:space="preserve">We agree with </w:t>
      </w:r>
      <w:r w:rsidRPr="00561063" w:rsidR="002F3857">
        <w:t>Generation Developers</w:t>
      </w:r>
      <w:r w:rsidRPr="00561063" w:rsidR="0026624F">
        <w:t xml:space="preserve"> </w:t>
      </w:r>
      <w:r w:rsidRPr="00561063" w:rsidR="002F3857">
        <w:t xml:space="preserve">that “[t]he Commission has a statutory obligation to ensure that </w:t>
      </w:r>
      <w:r w:rsidR="005929A5">
        <w:t>[Commission]</w:t>
      </w:r>
      <w:r w:rsidRPr="00561063" w:rsidR="002F3857">
        <w:t>-jurisdictional rates are just, reasonable, and not unduly discriminatory or preferential</w:t>
      </w:r>
      <w:r w:rsidRPr="00561063">
        <w:t>.</w:t>
      </w:r>
      <w:r w:rsidRPr="00561063" w:rsidR="002F3857">
        <w:t>”</w:t>
      </w:r>
      <w:r>
        <w:rPr>
          <w:rStyle w:val="FootnoteReference"/>
        </w:rPr>
        <w:footnoteReference w:id="433"/>
      </w:r>
      <w:r w:rsidRPr="00561063" w:rsidR="002F3857">
        <w:t xml:space="preserve"> </w:t>
      </w:r>
      <w:r w:rsidRPr="00561063" w:rsidR="00A71B70">
        <w:t xml:space="preserve"> </w:t>
      </w:r>
      <w:r w:rsidRPr="00561063" w:rsidR="00AD526E">
        <w:t>Indeed, o</w:t>
      </w:r>
      <w:r w:rsidRPr="00561063" w:rsidR="002F3857">
        <w:t xml:space="preserve">ur actions here do nothing to deny </w:t>
      </w:r>
      <w:r w:rsidR="003B0FD0">
        <w:t xml:space="preserve"> </w:t>
      </w:r>
      <w:r w:rsidRPr="00561063" w:rsidR="003B0FD0">
        <w:t xml:space="preserve"> </w:t>
      </w:r>
      <w:r w:rsidRPr="00561063" w:rsidR="002F3857">
        <w:t xml:space="preserve">generating facilities their </w:t>
      </w:r>
      <w:r w:rsidRPr="00561063">
        <w:t xml:space="preserve">“opportunity to recover their costs, plus a reasonable rate of </w:t>
      </w:r>
      <w:r w:rsidRPr="00561063">
        <w:t>return</w:t>
      </w:r>
      <w:r w:rsidRPr="00561063" w:rsidR="00E60EB2">
        <w:t>.</w:t>
      </w:r>
      <w:r w:rsidRPr="00561063">
        <w:t>”</w:t>
      </w:r>
      <w:r>
        <w:rPr>
          <w:rStyle w:val="FootnoteReference"/>
        </w:rPr>
        <w:footnoteReference w:id="434"/>
      </w:r>
      <w:r w:rsidR="00A8722F">
        <w:t xml:space="preserve">  </w:t>
      </w:r>
      <w:r w:rsidRPr="00A8722F" w:rsidR="00A8722F">
        <w:t xml:space="preserve">As noted above, </w:t>
      </w:r>
      <w:r w:rsidR="00602929">
        <w:t>generating</w:t>
      </w:r>
      <w:r w:rsidRPr="00A8722F" w:rsidR="00A8722F">
        <w:t xml:space="preserve"> </w:t>
      </w:r>
      <w:r w:rsidR="00043623">
        <w:t>facilities</w:t>
      </w:r>
      <w:r w:rsidRPr="00A8722F" w:rsidR="00A8722F">
        <w:t xml:space="preserve"> have an opportunity to recover </w:t>
      </w:r>
      <w:r w:rsidR="0002326A">
        <w:t>appropriately recoverable</w:t>
      </w:r>
      <w:r w:rsidRPr="00A8722F" w:rsidR="00A8722F">
        <w:t xml:space="preserve"> fixed and variable costs through other markets, </w:t>
      </w:r>
      <w:r w:rsidR="00C67106">
        <w:t xml:space="preserve">including the opportunity to </w:t>
      </w:r>
      <w:r w:rsidR="00502386">
        <w:t xml:space="preserve">potentially </w:t>
      </w:r>
      <w:r w:rsidRPr="00A8722F" w:rsidR="00A8722F">
        <w:t>make up for lost revenue from the cessation of reactive power compensation</w:t>
      </w:r>
      <w:r w:rsidR="009234DC">
        <w:t xml:space="preserve"> within the standard power factor range</w:t>
      </w:r>
      <w:r w:rsidRPr="00A8722F" w:rsidR="00A8722F">
        <w:t>.</w:t>
      </w:r>
      <w:r>
        <w:rPr>
          <w:rStyle w:val="FootnoteReference"/>
        </w:rPr>
        <w:footnoteReference w:id="435"/>
      </w:r>
      <w:r w:rsidRPr="00A8722F" w:rsidR="00A8722F">
        <w:t xml:space="preserve">  And if market rules in RTOs/ISOs currently inhibit such recovery, as discussed </w:t>
      </w:r>
      <w:r w:rsidR="008E6B53">
        <w:t>herein</w:t>
      </w:r>
      <w:r w:rsidRPr="00A8722F" w:rsidR="00A8722F">
        <w:t xml:space="preserve">, we are permitting </w:t>
      </w:r>
      <w:r w:rsidR="00A13295">
        <w:t xml:space="preserve">the RTOs/ISOs to request additional </w:t>
      </w:r>
      <w:r w:rsidRPr="00A8722F" w:rsidR="00A8722F">
        <w:t xml:space="preserve">time to update those market rules, as may be appropriate and consistent with this </w:t>
      </w:r>
      <w:r w:rsidR="003A607C">
        <w:t>f</w:t>
      </w:r>
      <w:r w:rsidRPr="00A8722F" w:rsidR="00A8722F">
        <w:t xml:space="preserve">inal </w:t>
      </w:r>
      <w:r w:rsidR="003A607C">
        <w:t>r</w:t>
      </w:r>
      <w:r w:rsidRPr="00A8722F" w:rsidR="00A8722F">
        <w:t>ule.</w:t>
      </w:r>
    </w:p>
    <w:p w:rsidR="0069651C" w14:paraId="0DA21AFD" w14:textId="2E588ECF">
      <w:pPr>
        <w:pStyle w:val="FERCparanumber"/>
        <w:tabs>
          <w:tab w:val="clear" w:pos="720"/>
        </w:tabs>
      </w:pPr>
      <w:r>
        <w:t>Regarding ISO-NE’s</w:t>
      </w:r>
      <w:r>
        <w:rPr>
          <w:rStyle w:val="FootnoteReference"/>
        </w:rPr>
        <w:footnoteReference w:id="436"/>
      </w:r>
      <w:r>
        <w:t xml:space="preserve"> </w:t>
      </w:r>
      <w:r w:rsidR="00EA7F99">
        <w:t>reliance on the Commission</w:t>
      </w:r>
      <w:r w:rsidR="00F07216">
        <w:t xml:space="preserve">’s </w:t>
      </w:r>
      <w:r w:rsidR="00706784">
        <w:t>denial</w:t>
      </w:r>
      <w:r w:rsidR="00FE5C2B">
        <w:t xml:space="preserve"> of the </w:t>
      </w:r>
      <w:r w:rsidR="0043395D">
        <w:t xml:space="preserve">Maine Public Utilities </w:t>
      </w:r>
      <w:r w:rsidR="00FE5C2B">
        <w:t>Commission’s complaint</w:t>
      </w:r>
      <w:r w:rsidR="0043395D">
        <w:t xml:space="preserve"> </w:t>
      </w:r>
      <w:r w:rsidR="003F3440">
        <w:t xml:space="preserve">to support its assertion that </w:t>
      </w:r>
      <w:r w:rsidR="00582CF9">
        <w:t>ISO-NE’s reactive power scheme was, and continues to be</w:t>
      </w:r>
      <w:r w:rsidR="0091666E">
        <w:t>,</w:t>
      </w:r>
      <w:r w:rsidR="00582CF9">
        <w:t xml:space="preserve"> just and reasonable</w:t>
      </w:r>
      <w:r>
        <w:t xml:space="preserve">, we acknowledge that our findings in this final rule represent a change in policy </w:t>
      </w:r>
      <w:r w:rsidR="00E075ED">
        <w:t>from</w:t>
      </w:r>
      <w:r>
        <w:t xml:space="preserve"> prior Commission findings on compensation for the provision of reactive power</w:t>
      </w:r>
      <w:r w:rsidR="00251248">
        <w:t xml:space="preserve"> within the standard power factor range</w:t>
      </w:r>
      <w:r>
        <w:t xml:space="preserve">.  </w:t>
      </w:r>
      <w:r>
        <w:t>However, as discussed above, we find that the record in this proceeding demonstrates that such a change is appropriate.</w:t>
      </w:r>
    </w:p>
    <w:p w:rsidR="00FB3F50" w:rsidRPr="00561063" w14:paraId="411C1586" w14:textId="778F01D6">
      <w:pPr>
        <w:pStyle w:val="FERCparanumber"/>
        <w:tabs>
          <w:tab w:val="clear" w:pos="720"/>
        </w:tabs>
      </w:pPr>
      <w:r w:rsidRPr="00561063">
        <w:t>We disagree with commenters’</w:t>
      </w:r>
      <w:r>
        <w:rPr>
          <w:b/>
          <w:vertAlign w:val="superscript"/>
        </w:rPr>
        <w:footnoteReference w:id="437"/>
      </w:r>
      <w:r w:rsidRPr="00561063">
        <w:t xml:space="preserve"> contention that eliminating compensation for reactive power within the standard power factor range would violate the cost causation principle.  As discussed above, real and reactive power are provided as joint products, with joint costs, and are produced using the same equipment</w:t>
      </w:r>
      <w:r w:rsidRPr="00561063" w:rsidR="00CD5249">
        <w:t>; therefore</w:t>
      </w:r>
      <w:r w:rsidR="00EC316E">
        <w:t>,</w:t>
      </w:r>
      <w:r w:rsidRPr="00561063" w:rsidR="005D1F79">
        <w:t xml:space="preserve"> a separate co</w:t>
      </w:r>
      <w:r w:rsidRPr="00561063" w:rsidR="00887953">
        <w:t xml:space="preserve">st compensation mechanism </w:t>
      </w:r>
      <w:r w:rsidRPr="00561063" w:rsidR="00B35014">
        <w:t xml:space="preserve">for </w:t>
      </w:r>
      <w:r w:rsidRPr="00561063" w:rsidR="00DF4FDE">
        <w:t xml:space="preserve">the provision of </w:t>
      </w:r>
      <w:r w:rsidRPr="00561063" w:rsidR="00B35014">
        <w:t>reactive power within the standard power factor range is not necessary</w:t>
      </w:r>
      <w:r w:rsidRPr="00561063">
        <w:t>.</w:t>
      </w:r>
      <w:r>
        <w:rPr>
          <w:rStyle w:val="FootnoteReference"/>
        </w:rPr>
        <w:footnoteReference w:id="438"/>
      </w:r>
      <w:r w:rsidRPr="00561063">
        <w:t xml:space="preserve">  </w:t>
      </w:r>
      <w:r w:rsidRPr="00561063" w:rsidR="00CA61B2">
        <w:t>W</w:t>
      </w:r>
      <w:r w:rsidRPr="00561063">
        <w:t>e are not persuaded that eliminating compensation for reactive power within the standard power factor range violates cost causation</w:t>
      </w:r>
      <w:r w:rsidRPr="00561063" w:rsidR="00C2452B">
        <w:t>.</w:t>
      </w:r>
    </w:p>
    <w:p w:rsidR="002C7220" w:rsidRPr="00561063" w14:paraId="0FC8A5E4" w14:textId="7D4662CA">
      <w:pPr>
        <w:pStyle w:val="FERCparanumber"/>
      </w:pPr>
      <w:r w:rsidRPr="00561063">
        <w:t xml:space="preserve">Additionally, </w:t>
      </w:r>
      <w:r w:rsidRPr="00561063" w:rsidR="0083299E">
        <w:t xml:space="preserve">we disagree with </w:t>
      </w:r>
      <w:r w:rsidRPr="00561063">
        <w:t>claims that transmission customers are the sole beneficiaries and cost-causers</w:t>
      </w:r>
      <w:r w:rsidRPr="00561063" w:rsidR="007F51EE">
        <w:t>,</w:t>
      </w:r>
      <w:r w:rsidRPr="00561063">
        <w:t xml:space="preserve"> </w:t>
      </w:r>
      <w:r w:rsidRPr="00561063" w:rsidR="0083299E">
        <w:t>a</w:t>
      </w:r>
      <w:r w:rsidRPr="00561063" w:rsidR="00857F4C">
        <w:t>s well as</w:t>
      </w:r>
      <w:r w:rsidRPr="00561063" w:rsidR="0083299E">
        <w:t xml:space="preserve"> </w:t>
      </w:r>
      <w:r w:rsidRPr="00561063" w:rsidR="00120004">
        <w:t>assertions</w:t>
      </w:r>
      <w:r>
        <w:rPr>
          <w:b/>
          <w:bCs/>
          <w:vertAlign w:val="superscript"/>
        </w:rPr>
        <w:footnoteReference w:id="439"/>
      </w:r>
      <w:r w:rsidRPr="00561063" w:rsidR="00120004">
        <w:t xml:space="preserve"> that eliminating compensation for reactive power within the standard power factor range would insulate transmission providers and customers from paying for any costs associated with the services they are receiving</w:t>
      </w:r>
      <w:r w:rsidRPr="00C845ED" w:rsidR="00C845ED">
        <w:t>—</w:t>
      </w:r>
      <w:r w:rsidRPr="00561063" w:rsidR="00120004">
        <w:t xml:space="preserve">essentially requiring generating facilities to recover the costs of reactive power from energy and capacity market customers, rather than the transmission customers that benefit from the reactive </w:t>
      </w:r>
      <w:r w:rsidRPr="00561063" w:rsidR="001866AB">
        <w:t xml:space="preserve">power </w:t>
      </w:r>
      <w:r w:rsidRPr="00561063" w:rsidR="00120004">
        <w:t xml:space="preserve">service.  These arguments fail because </w:t>
      </w:r>
      <w:r w:rsidRPr="00561063" w:rsidR="00120004">
        <w:t>they are</w:t>
      </w:r>
      <w:r w:rsidRPr="00561063" w:rsidR="0083299E">
        <w:t xml:space="preserve"> </w:t>
      </w:r>
      <w:r w:rsidRPr="00561063">
        <w:t xml:space="preserve">inconsistent with Commission precedent that explains that providing reactive power within the standard power factor range enables generating facilities to reliably deliver real power to the </w:t>
      </w:r>
      <w:r w:rsidRPr="00561063" w:rsidR="00C00B3C">
        <w:t>transmission system</w:t>
      </w:r>
      <w:r w:rsidRPr="00561063">
        <w:t xml:space="preserve"> (</w:t>
      </w:r>
      <w:r w:rsidRPr="00C06B6B">
        <w:t>i.e.</w:t>
      </w:r>
      <w:r w:rsidRPr="00561063">
        <w:t>, make real power sales)</w:t>
      </w:r>
      <w:r w:rsidRPr="00561063" w:rsidR="00824A9D">
        <w:t>.</w:t>
      </w:r>
      <w:r>
        <w:rPr>
          <w:b/>
          <w:vertAlign w:val="superscript"/>
        </w:rPr>
        <w:footnoteReference w:id="440"/>
      </w:r>
      <w:r w:rsidRPr="00561063" w:rsidR="001418E0">
        <w:t xml:space="preserve">  In effect, these costs are “caused” by the operating requirements of the generat</w:t>
      </w:r>
      <w:r w:rsidRPr="00561063" w:rsidR="00F51C65">
        <w:t>ing facilitie</w:t>
      </w:r>
      <w:r w:rsidRPr="00561063" w:rsidR="001418E0">
        <w:t>s to deliver real power, not by the separate needs of the transmission customers.</w:t>
      </w:r>
    </w:p>
    <w:p w:rsidR="00D00677" w:rsidRPr="00561063" w:rsidP="00D00677" w14:paraId="535A2CCC" w14:textId="0E7BF49D">
      <w:pPr>
        <w:pStyle w:val="FERCparanumber"/>
      </w:pPr>
      <w:r w:rsidRPr="00561063">
        <w:t xml:space="preserve">We </w:t>
      </w:r>
      <w:r w:rsidRPr="00561063" w:rsidR="006E20EF">
        <w:t>similarly</w:t>
      </w:r>
      <w:r w:rsidRPr="00561063">
        <w:t xml:space="preserve"> disagree with commenters’</w:t>
      </w:r>
      <w:r>
        <w:rPr>
          <w:rStyle w:val="FootnoteReference"/>
        </w:rPr>
        <w:footnoteReference w:id="441"/>
      </w:r>
      <w:r w:rsidRPr="00561063">
        <w:t xml:space="preserve"> assertions that eliminating compensation for reactive power within the standard power factor </w:t>
      </w:r>
      <w:r w:rsidRPr="00561063" w:rsidR="007558E1">
        <w:t>range</w:t>
      </w:r>
      <w:r w:rsidRPr="00561063">
        <w:t xml:space="preserve"> would result in undue discrimination between generating facilities and transmission assets, where owners of the latter would still </w:t>
      </w:r>
      <w:r w:rsidR="00DC2519">
        <w:t>have guaranteed</w:t>
      </w:r>
      <w:r w:rsidRPr="00561063" w:rsidR="00DC2519">
        <w:t xml:space="preserve"> </w:t>
      </w:r>
      <w:r w:rsidRPr="00561063">
        <w:t>recover</w:t>
      </w:r>
      <w:r w:rsidR="00DC2519">
        <w:t>y</w:t>
      </w:r>
      <w:r w:rsidRPr="00561063">
        <w:t xml:space="preserve"> of their </w:t>
      </w:r>
      <w:r w:rsidRPr="00E17A74">
        <w:t>costs</w:t>
      </w:r>
      <w:r w:rsidRPr="00561063">
        <w:t xml:space="preserve"> of reactive power assets through transmission rates.  The Commission has long held that reactive power supply from transmission facilities is distinct from reactive power supply from generating facilities, with the former constituting a basic part of transmission service.</w:t>
      </w:r>
      <w:r>
        <w:rPr>
          <w:rStyle w:val="FootnoteReference"/>
        </w:rPr>
        <w:footnoteReference w:id="442"/>
      </w:r>
      <w:r w:rsidRPr="00561063">
        <w:t xml:space="preserve">  This is </w:t>
      </w:r>
      <w:r w:rsidRPr="00561063">
        <w:t xml:space="preserve">because generating facilities must produce reactive power within the standard power factor range to allow the generating facilities’ real power to reliably flow </w:t>
      </w:r>
      <w:r w:rsidR="00B31FE3">
        <w:t>onto the transmission system</w:t>
      </w:r>
      <w:r w:rsidRPr="00561063">
        <w:t xml:space="preserve">, while transmission provider investment </w:t>
      </w:r>
      <w:r w:rsidRPr="00561063" w:rsidR="004961CB">
        <w:t>in capacitor banks</w:t>
      </w:r>
      <w:r w:rsidRPr="00561063">
        <w:t xml:space="preserve"> is to control transmission system voltage levels to provide reliable transmission service.</w:t>
      </w:r>
      <w:r>
        <w:rPr>
          <w:rStyle w:val="FootnoteReference"/>
        </w:rPr>
        <w:footnoteReference w:id="443"/>
      </w:r>
      <w:r w:rsidRPr="00561063">
        <w:t xml:space="preserve"> </w:t>
      </w:r>
      <w:r w:rsidRPr="00561063" w:rsidR="005E6E6C">
        <w:t xml:space="preserve"> These </w:t>
      </w:r>
      <w:r w:rsidRPr="00561063" w:rsidR="003C6CB4">
        <w:t xml:space="preserve">findings </w:t>
      </w:r>
      <w:r w:rsidRPr="00561063" w:rsidR="005E6E6C">
        <w:t xml:space="preserve">also address </w:t>
      </w:r>
      <w:r w:rsidRPr="00561063" w:rsidR="005031E3">
        <w:t xml:space="preserve">similar arguments </w:t>
      </w:r>
      <w:r w:rsidRPr="00561063" w:rsidR="00265F58">
        <w:t xml:space="preserve">raised by </w:t>
      </w:r>
      <w:r w:rsidRPr="00561063" w:rsidR="005E6E6C">
        <w:t xml:space="preserve">NEI and </w:t>
      </w:r>
      <w:r w:rsidRPr="00561063" w:rsidR="00A6442E">
        <w:t>PSEG</w:t>
      </w:r>
      <w:r w:rsidRPr="00561063" w:rsidR="00265F58">
        <w:t>.</w:t>
      </w:r>
      <w:r>
        <w:rPr>
          <w:rStyle w:val="FootnoteReference"/>
        </w:rPr>
        <w:footnoteReference w:id="444"/>
      </w:r>
    </w:p>
    <w:p w:rsidR="00C6410D" w:rsidRPr="00C6410D" w:rsidP="00C17924" w14:paraId="0E216915" w14:textId="1B59E6A6">
      <w:pPr>
        <w:pStyle w:val="FERCparanumber"/>
      </w:pPr>
      <w:r>
        <w:t xml:space="preserve">Similarly, we </w:t>
      </w:r>
      <w:r w:rsidR="00E14CAF">
        <w:t xml:space="preserve">find </w:t>
      </w:r>
      <w:r w:rsidR="00AA27B2">
        <w:t xml:space="preserve">without merit </w:t>
      </w:r>
      <w:r w:rsidR="00E14CAF">
        <w:t xml:space="preserve">Reactive Service </w:t>
      </w:r>
      <w:r w:rsidR="00383528">
        <w:t>Providers’</w:t>
      </w:r>
      <w:r w:rsidR="00E14CAF">
        <w:t xml:space="preserve"> and Indicated Trade </w:t>
      </w:r>
      <w:r w:rsidR="00383528">
        <w:t>Associations’</w:t>
      </w:r>
      <w:r w:rsidR="00E14CAF">
        <w:t xml:space="preserve"> </w:t>
      </w:r>
      <w:r w:rsidR="00FE47A7">
        <w:t xml:space="preserve">argument that transmission owners </w:t>
      </w:r>
      <w:r w:rsidR="00F40471">
        <w:t xml:space="preserve">that own generation will have a competitive advantage over IPPs </w:t>
      </w:r>
      <w:r w:rsidR="00E55955">
        <w:t xml:space="preserve">by virtue of their </w:t>
      </w:r>
      <w:r w:rsidR="001A5D47">
        <w:t xml:space="preserve">ability to </w:t>
      </w:r>
      <w:r w:rsidR="008B0C5B">
        <w:t>recover</w:t>
      </w:r>
      <w:r w:rsidR="001A5D47">
        <w:t xml:space="preserve"> their</w:t>
      </w:r>
      <w:r w:rsidR="00F40471">
        <w:t xml:space="preserve"> </w:t>
      </w:r>
      <w:r w:rsidRPr="00E17A74" w:rsidR="00EF06EE">
        <w:t>costs</w:t>
      </w:r>
      <w:r w:rsidR="008B0C5B">
        <w:t xml:space="preserve"> through retail rates</w:t>
      </w:r>
      <w:r w:rsidR="005853E7">
        <w:t>.</w:t>
      </w:r>
      <w:r w:rsidR="00377452">
        <w:t xml:space="preserve">  </w:t>
      </w:r>
      <w:r w:rsidR="00D019FD">
        <w:t>Putting aside that c</w:t>
      </w:r>
      <w:r w:rsidR="00C75D5D">
        <w:t xml:space="preserve">ommenters provide no </w:t>
      </w:r>
      <w:r w:rsidR="001A1192">
        <w:t xml:space="preserve">support </w:t>
      </w:r>
      <w:r w:rsidR="00BD779D">
        <w:t xml:space="preserve">for </w:t>
      </w:r>
      <w:r w:rsidR="001A1192">
        <w:t xml:space="preserve">their </w:t>
      </w:r>
      <w:r w:rsidR="00DF6154">
        <w:t xml:space="preserve">contention </w:t>
      </w:r>
      <w:r w:rsidR="00A840A7">
        <w:t xml:space="preserve">that </w:t>
      </w:r>
      <w:r w:rsidR="00681982">
        <w:t xml:space="preserve">transmission owners that own generation </w:t>
      </w:r>
      <w:r w:rsidR="005A0086">
        <w:t xml:space="preserve">will be able to recover their </w:t>
      </w:r>
      <w:r w:rsidR="00CB45F3">
        <w:t xml:space="preserve">reactive power </w:t>
      </w:r>
      <w:r w:rsidR="005A0086">
        <w:t>costs through retail rates</w:t>
      </w:r>
      <w:r w:rsidR="00D019FD">
        <w:t>,</w:t>
      </w:r>
      <w:r>
        <w:rPr>
          <w:rStyle w:val="FootnoteReference"/>
        </w:rPr>
        <w:footnoteReference w:id="445"/>
      </w:r>
      <w:r w:rsidR="00D019FD">
        <w:t xml:space="preserve"> </w:t>
      </w:r>
      <w:r w:rsidR="00F72F96">
        <w:t xml:space="preserve">the Commission </w:t>
      </w:r>
      <w:r w:rsidR="00220727">
        <w:t>h</w:t>
      </w:r>
      <w:r w:rsidR="00D019FD">
        <w:t xml:space="preserve">as </w:t>
      </w:r>
      <w:r w:rsidR="00220727">
        <w:t>rejected</w:t>
      </w:r>
      <w:r w:rsidR="00D019FD">
        <w:t xml:space="preserve"> similar arguments </w:t>
      </w:r>
      <w:r w:rsidR="00D844C6">
        <w:t xml:space="preserve">on multiple </w:t>
      </w:r>
      <w:r w:rsidR="007978DA">
        <w:t>occasions</w:t>
      </w:r>
      <w:r w:rsidR="00D019FD">
        <w:t xml:space="preserve">.  </w:t>
      </w:r>
      <w:r w:rsidRPr="007A6D5C" w:rsidR="00D019FD">
        <w:t>In </w:t>
      </w:r>
      <w:r w:rsidRPr="007A6D5C" w:rsidR="00D019FD">
        <w:rPr>
          <w:i/>
          <w:iCs/>
        </w:rPr>
        <w:t>SPP</w:t>
      </w:r>
      <w:r w:rsidR="00D019FD">
        <w:rPr>
          <w:i/>
          <w:iCs/>
        </w:rPr>
        <w:t xml:space="preserve"> </w:t>
      </w:r>
      <w:r w:rsidR="00D019FD">
        <w:t xml:space="preserve">and </w:t>
      </w:r>
      <w:r w:rsidRPr="00212438" w:rsidR="00D019FD">
        <w:rPr>
          <w:i/>
        </w:rPr>
        <w:t>BPA</w:t>
      </w:r>
      <w:r w:rsidRPr="007A6D5C" w:rsidR="00D019FD">
        <w:t xml:space="preserve">, </w:t>
      </w:r>
      <w:r w:rsidR="00586DAE">
        <w:t>the Commission</w:t>
      </w:r>
      <w:r w:rsidRPr="007A6D5C" w:rsidR="00D019FD">
        <w:t xml:space="preserve"> </w:t>
      </w:r>
      <w:r w:rsidR="0001321F">
        <w:t>explained</w:t>
      </w:r>
      <w:r w:rsidRPr="007A6D5C" w:rsidR="00D019FD">
        <w:t xml:space="preserve"> “that merchant generators are free to</w:t>
      </w:r>
      <w:r w:rsidR="00D019FD">
        <w:t xml:space="preserve"> </w:t>
      </w:r>
      <w:r w:rsidRPr="007A6D5C" w:rsidR="00D019FD">
        <w:t xml:space="preserve">negotiate rates that they charge their customers for real power that are sufficient to </w:t>
      </w:r>
      <w:r w:rsidRPr="007A6D5C" w:rsidR="00D019FD">
        <w:t>compensate them for any costs that they may incur in producing reactive power within their deadbands, just as affiliated generators may seek to negotiate rates that they charge their customers that are sufficient to compensate them for the costs of any reactive power that they provide within their deadbands.”</w:t>
      </w:r>
      <w:r>
        <w:rPr>
          <w:rStyle w:val="FootnoteReference"/>
        </w:rPr>
        <w:footnoteReference w:id="446"/>
      </w:r>
      <w:r w:rsidR="0000565B">
        <w:t xml:space="preserve"> </w:t>
      </w:r>
      <w:r w:rsidRPr="007A6D5C" w:rsidR="00D019FD">
        <w:t xml:space="preserve"> </w:t>
      </w:r>
      <w:r w:rsidR="0001321F">
        <w:t>The Commission</w:t>
      </w:r>
      <w:r w:rsidRPr="007A6D5C" w:rsidR="00D019FD">
        <w:t xml:space="preserve"> </w:t>
      </w:r>
      <w:r w:rsidR="00D019FD">
        <w:t>also</w:t>
      </w:r>
      <w:r w:rsidRPr="007A6D5C" w:rsidR="00D019FD">
        <w:t xml:space="preserve"> observed that “[i]n this regard, all that the protestors have done is to note that an incumbent utility</w:t>
      </w:r>
      <w:r w:rsidR="00B1793F">
        <w:t>’</w:t>
      </w:r>
      <w:r w:rsidRPr="007A6D5C" w:rsidR="00D019FD">
        <w:t xml:space="preserve">s generators may be able to make up the revenue that they previously might have earned through a separate charge for reactive power within the deadband in other ways—such as through higher power sales rates. </w:t>
      </w:r>
      <w:r w:rsidR="00D019FD">
        <w:t xml:space="preserve"> </w:t>
      </w:r>
      <w:r w:rsidRPr="007A6D5C" w:rsidR="00D019FD">
        <w:t xml:space="preserve">But merchant generators are no differently situated and their ability to recover such costs has not been compromised. </w:t>
      </w:r>
      <w:r w:rsidR="0025024B">
        <w:t xml:space="preserve"> </w:t>
      </w:r>
      <w:r w:rsidRPr="007A6D5C" w:rsidR="00D019FD">
        <w:t>They, equally, may be able to recover the costs for reactive power within the deadband in other ways—such as through higher power sales rates of their own.”</w:t>
      </w:r>
      <w:r>
        <w:rPr>
          <w:rStyle w:val="FootnoteReference"/>
        </w:rPr>
        <w:footnoteReference w:id="447"/>
      </w:r>
      <w:r w:rsidR="0057199F">
        <w:t xml:space="preserve">  </w:t>
      </w:r>
      <w:r w:rsidR="00903FE2">
        <w:t>As in those other cases</w:t>
      </w:r>
      <w:r w:rsidR="009B734C">
        <w:t>, w</w:t>
      </w:r>
      <w:r w:rsidR="00051115">
        <w:t>e believe that o</w:t>
      </w:r>
      <w:r w:rsidR="007263E2">
        <w:t>ur action here “</w:t>
      </w:r>
      <w:r w:rsidRPr="002A6F91" w:rsidR="002A6F91">
        <w:t>maintains a level playing field for all generators subject to Commission jurisdiction, such that compensation for reactive power support is separately paid when reactive power outside the deadband is dispatched to the point on the transmission system where it is needed, and in the magnitude required to ensure a stable grid</w:t>
      </w:r>
      <w:r w:rsidR="006B301E">
        <w:t>.”</w:t>
      </w:r>
      <w:r>
        <w:rPr>
          <w:rStyle w:val="FootnoteReference"/>
        </w:rPr>
        <w:footnoteReference w:id="448"/>
      </w:r>
    </w:p>
    <w:p w:rsidR="006E20EF" w:rsidP="00EF5F8D" w14:paraId="656B0083" w14:textId="4AC55811">
      <w:pPr>
        <w:pStyle w:val="FERCparanumber"/>
      </w:pPr>
      <w:r>
        <w:t xml:space="preserve">Regarding Elevate’s assertion that Commission precedent, including Order </w:t>
      </w:r>
      <w:r w:rsidR="00314797">
        <w:t xml:space="preserve">        </w:t>
      </w:r>
      <w:r>
        <w:t>No. 841, require</w:t>
      </w:r>
      <w:r w:rsidR="00C31FAD">
        <w:t>s</w:t>
      </w:r>
      <w:r>
        <w:t xml:space="preserve"> compensation for any service that a </w:t>
      </w:r>
      <w:r w:rsidR="00E90E42">
        <w:t>generating facility</w:t>
      </w:r>
      <w:r>
        <w:t xml:space="preserve"> is technically capable of providing, we note that many regions do not provide separate compensation for each obligation of interconnection.  For example, as the PJM IMM notes, </w:t>
      </w:r>
      <w:r w:rsidR="00553368">
        <w:t>generating facilities in PJM are required to provide primary frequency response</w:t>
      </w:r>
      <w:r>
        <w:t xml:space="preserve"> </w:t>
      </w:r>
      <w:r w:rsidR="005319FB">
        <w:t xml:space="preserve">and </w:t>
      </w:r>
      <w:r>
        <w:t xml:space="preserve">other essential </w:t>
      </w:r>
      <w:r w:rsidR="00C00B3C">
        <w:t>transmission system</w:t>
      </w:r>
      <w:r>
        <w:t xml:space="preserve"> services as a condition of interconnection</w:t>
      </w:r>
      <w:r w:rsidR="00553368">
        <w:t xml:space="preserve"> without a separate, dedicated </w:t>
      </w:r>
      <w:r w:rsidRPr="00D50787" w:rsidR="00553368">
        <w:t>revenue</w:t>
      </w:r>
      <w:r w:rsidR="00553368">
        <w:t xml:space="preserve"> stream</w:t>
      </w:r>
      <w:r>
        <w:t>.</w:t>
      </w:r>
      <w:r>
        <w:rPr>
          <w:rStyle w:val="FootnoteReference"/>
        </w:rPr>
        <w:footnoteReference w:id="449"/>
      </w:r>
      <w:r w:rsidR="000B5579">
        <w:t xml:space="preserve">  </w:t>
      </w:r>
      <w:r w:rsidR="00DE4AFA">
        <w:t>Furthermore</w:t>
      </w:r>
      <w:r w:rsidR="005859E3">
        <w:t xml:space="preserve">, </w:t>
      </w:r>
      <w:r w:rsidR="00555BFB">
        <w:t xml:space="preserve">as explained above, </w:t>
      </w:r>
      <w:r w:rsidRPr="00A8722F" w:rsidR="00C31113">
        <w:t>generati</w:t>
      </w:r>
      <w:r w:rsidR="00C31113">
        <w:t>ng</w:t>
      </w:r>
      <w:r w:rsidRPr="00A8722F" w:rsidR="00C31113">
        <w:t xml:space="preserve"> </w:t>
      </w:r>
      <w:r w:rsidR="00C31113">
        <w:t>facilities</w:t>
      </w:r>
      <w:r w:rsidRPr="00A8722F" w:rsidR="00C31113">
        <w:t xml:space="preserve"> have an opportunity to recover their </w:t>
      </w:r>
      <w:r w:rsidR="00E40CA7">
        <w:t xml:space="preserve">appropriate </w:t>
      </w:r>
      <w:r w:rsidRPr="00A8722F" w:rsidR="00C31113">
        <w:t xml:space="preserve">fixed and variable costs through other markets, </w:t>
      </w:r>
      <w:r w:rsidR="00BA70D8">
        <w:t xml:space="preserve">including the opportunity to </w:t>
      </w:r>
      <w:r w:rsidRPr="00A8722F" w:rsidR="00C31113">
        <w:t>make up for lost revenue from the cessation of reactive power compensation</w:t>
      </w:r>
      <w:r w:rsidR="00DD49AA">
        <w:t xml:space="preserve"> within the standard power factor range</w:t>
      </w:r>
      <w:r w:rsidR="00581141">
        <w:t>.</w:t>
      </w:r>
    </w:p>
    <w:p w:rsidR="00FE1EA6" w:rsidP="004078A8" w14:paraId="1C91893B" w14:textId="0CADCB68">
      <w:pPr>
        <w:pStyle w:val="FERCparanumber"/>
      </w:pPr>
      <w:r>
        <w:t>Although ISO-NE</w:t>
      </w:r>
      <w:r w:rsidR="004058FA">
        <w:t xml:space="preserve"> and NYISO argue to maintain their existing </w:t>
      </w:r>
      <w:r w:rsidR="00BE7FB4">
        <w:t>reactive power</w:t>
      </w:r>
      <w:r w:rsidR="004058FA">
        <w:t xml:space="preserve"> compensation schemes, </w:t>
      </w:r>
      <w:r w:rsidR="00A55B2D">
        <w:t xml:space="preserve">as discussed above, </w:t>
      </w:r>
      <w:r w:rsidR="0086716E">
        <w:t xml:space="preserve">these arguments ignore </w:t>
      </w:r>
      <w:r w:rsidR="0098159A">
        <w:t>the findings in this</w:t>
      </w:r>
      <w:r w:rsidR="0086716E">
        <w:t xml:space="preserve"> </w:t>
      </w:r>
      <w:r w:rsidR="00126E54">
        <w:t>final rule</w:t>
      </w:r>
      <w:r w:rsidR="00C94705">
        <w:t xml:space="preserve">, which </w:t>
      </w:r>
      <w:r w:rsidRPr="008855CE" w:rsidR="00C94705">
        <w:t xml:space="preserve">apply equally </w:t>
      </w:r>
      <w:r w:rsidR="00C94705">
        <w:t>to</w:t>
      </w:r>
      <w:r w:rsidRPr="008855CE" w:rsidR="00C94705">
        <w:t xml:space="preserve"> </w:t>
      </w:r>
      <w:r w:rsidR="00C94705">
        <w:t>flat-rate compensation regimes like</w:t>
      </w:r>
      <w:r w:rsidRPr="008855CE" w:rsidR="00C94705">
        <w:t xml:space="preserve"> ISO-NE’s and NYISO’s, as</w:t>
      </w:r>
      <w:r w:rsidR="00047E12">
        <w:t xml:space="preserve"> to</w:t>
      </w:r>
      <w:r w:rsidRPr="008855CE" w:rsidR="00C94705">
        <w:t xml:space="preserve"> the compensation regimes of PJM and </w:t>
      </w:r>
      <w:r w:rsidR="00AC7A2E">
        <w:t>certain</w:t>
      </w:r>
      <w:r w:rsidRPr="008855CE" w:rsidR="00AC7A2E">
        <w:t xml:space="preserve"> </w:t>
      </w:r>
      <w:r w:rsidRPr="008855CE" w:rsidR="00C94705">
        <w:t>non-RTO regions</w:t>
      </w:r>
      <w:r w:rsidR="002D19A4">
        <w:t xml:space="preserve">.  </w:t>
      </w:r>
      <w:r w:rsidRPr="00705808" w:rsidR="002D19A4">
        <w:t>That is</w:t>
      </w:r>
      <w:r w:rsidRPr="009901CA" w:rsidR="00CF195E">
        <w:t>,</w:t>
      </w:r>
      <w:r w:rsidRPr="00705808" w:rsidR="0086716E">
        <w:t xml:space="preserve"> </w:t>
      </w:r>
      <w:r w:rsidRPr="00705808" w:rsidR="00D00B77">
        <w:t xml:space="preserve">generating facilities incur </w:t>
      </w:r>
      <w:r w:rsidR="00D00B77">
        <w:t xml:space="preserve">no incremental fixed costs and at most </w:t>
      </w:r>
      <w:r w:rsidRPr="00F95F32" w:rsidR="00D00B77">
        <w:rPr>
          <w:i/>
          <w:iCs/>
        </w:rPr>
        <w:t>de minimis</w:t>
      </w:r>
      <w:r w:rsidR="00D00B77">
        <w:t xml:space="preserve"> variable costs incremental to the cost of providing real power</w:t>
      </w:r>
      <w:r w:rsidR="00E55955">
        <w:t>,</w:t>
      </w:r>
      <w:r w:rsidR="00D00B77">
        <w:t xml:space="preserve"> because no additional equipment is required to provide reactive power and variable costs are limited to the fuel costs (in synchronous facilities) or foregone direct current power (in non-synchronous facilities) </w:t>
      </w:r>
      <w:r w:rsidR="00D00B77">
        <w:t xml:space="preserve">necessary to provide the reactive power required to </w:t>
      </w:r>
      <w:r w:rsidRPr="00705808" w:rsidR="00D00B77">
        <w:t>safely inject real power into the transmission system and comply with reliability requirements</w:t>
      </w:r>
      <w:r w:rsidR="0086716E">
        <w:t>.</w:t>
      </w:r>
      <w:r>
        <w:rPr>
          <w:rStyle w:val="FootnoteReference"/>
        </w:rPr>
        <w:footnoteReference w:id="450"/>
      </w:r>
      <w:r w:rsidR="0086716E">
        <w:t xml:space="preserve">  </w:t>
      </w:r>
    </w:p>
    <w:p w:rsidR="00CC378F" w:rsidRPr="003C6A50" w:rsidP="00FE1EA6" w14:paraId="29F72031" w14:textId="174ED95B">
      <w:pPr>
        <w:pStyle w:val="FERCparanumber"/>
        <w:tabs>
          <w:tab w:val="clear" w:pos="720"/>
        </w:tabs>
      </w:pPr>
      <w:r>
        <w:t>These</w:t>
      </w:r>
      <w:r w:rsidR="00632183">
        <w:t xml:space="preserve"> commenters argue that</w:t>
      </w:r>
      <w:r w:rsidR="0086716E">
        <w:t xml:space="preserve"> transparency, administrative burden, and preventing double recovery </w:t>
      </w:r>
      <w:r w:rsidR="004E4A4D">
        <w:t>problems are reduced or eliminated in either ISO-NE, NYISO, or both</w:t>
      </w:r>
      <w:r w:rsidR="00FB0E2A">
        <w:t>.  However,</w:t>
      </w:r>
      <w:r w:rsidR="004E4A4D">
        <w:t xml:space="preserve"> </w:t>
      </w:r>
      <w:r w:rsidR="0086716E">
        <w:t xml:space="preserve">all </w:t>
      </w:r>
      <w:r w:rsidR="004E4A4D">
        <w:t xml:space="preserve">those arguments </w:t>
      </w:r>
      <w:r w:rsidR="0086716E">
        <w:t xml:space="preserve">suppose that compensation is due, and thus that a compensation method is needed.  But, if no </w:t>
      </w:r>
      <w:r w:rsidR="00F3610D">
        <w:t>separate</w:t>
      </w:r>
      <w:r w:rsidR="0086716E">
        <w:t xml:space="preserve"> compensation is due, </w:t>
      </w:r>
      <w:r w:rsidR="00A55B2D">
        <w:t>all compensation methodologies will necessarily result in unjust and unreasonable rates</w:t>
      </w:r>
      <w:r w:rsidR="0086716E">
        <w:t>.</w:t>
      </w:r>
      <w:r>
        <w:rPr>
          <w:rStyle w:val="FootnoteReference"/>
        </w:rPr>
        <w:footnoteReference w:id="451"/>
      </w:r>
      <w:r w:rsidR="00B739E6">
        <w:t xml:space="preserve">  </w:t>
      </w:r>
      <w:r>
        <w:t>Furthermore</w:t>
      </w:r>
      <w:r w:rsidR="0086716E">
        <w:t xml:space="preserve">, </w:t>
      </w:r>
      <w:r w:rsidR="00FC1274">
        <w:t>we</w:t>
      </w:r>
      <w:r w:rsidR="0086716E">
        <w:t xml:space="preserve"> agree with New England Consumer Advocates,</w:t>
      </w:r>
      <w:r>
        <w:rPr>
          <w:rStyle w:val="FootnoteReference"/>
        </w:rPr>
        <w:footnoteReference w:id="452"/>
      </w:r>
      <w:r w:rsidR="0086716E">
        <w:t xml:space="preserve"> who argue that any payment for reactive power capability within the standard power factor range must yield some roughly commensurate incremental benefit </w:t>
      </w:r>
      <w:r w:rsidRPr="00FE1EA6" w:rsidR="0086716E">
        <w:rPr>
          <w:i/>
        </w:rPr>
        <w:t>above and beyond</w:t>
      </w:r>
      <w:r w:rsidR="0086716E">
        <w:t xml:space="preserve"> that which would accrue absent payment.</w:t>
      </w:r>
      <w:bookmarkStart w:id="46" w:name="_Ref176850649"/>
      <w:r>
        <w:rPr>
          <w:rStyle w:val="FootnoteReference"/>
        </w:rPr>
        <w:footnoteReference w:id="453"/>
      </w:r>
      <w:bookmarkEnd w:id="46"/>
      <w:r w:rsidR="00E26149">
        <w:t xml:space="preserve">  </w:t>
      </w:r>
      <w:r w:rsidR="00B72CCC">
        <w:t>Given those arguments</w:t>
      </w:r>
      <w:r>
        <w:t>, transmission customers in ISO-NE and NYISO</w:t>
      </w:r>
      <w:r w:rsidRPr="009901CA" w:rsidR="00A3694C">
        <w:t>, just like transmission customers in PJM</w:t>
      </w:r>
      <w:r w:rsidRPr="00CC6424" w:rsidR="00BC0A37">
        <w:t xml:space="preserve"> and non-RTO regions</w:t>
      </w:r>
      <w:r w:rsidRPr="009901CA" w:rsidR="00A3694C">
        <w:t>,</w:t>
      </w:r>
      <w:r w:rsidRPr="009901CA">
        <w:t xml:space="preserve"> </w:t>
      </w:r>
      <w:r w:rsidR="00A64E4B">
        <w:t>do</w:t>
      </w:r>
      <w:r w:rsidRPr="009901CA" w:rsidR="00A64E4B">
        <w:t xml:space="preserve"> </w:t>
      </w:r>
      <w:r w:rsidRPr="009901CA">
        <w:t xml:space="preserve">not receive benefits that are commensurate with the costs of reactive power charges, even if </w:t>
      </w:r>
      <w:r w:rsidRPr="009901CA">
        <w:t>the compensation methods used in these regions</w:t>
      </w:r>
      <w:r>
        <w:t xml:space="preserve"> are less administratively burdensome than the methods used in other regions.</w:t>
      </w:r>
      <w:r>
        <w:rPr>
          <w:rStyle w:val="FootnoteReference"/>
        </w:rPr>
        <w:footnoteReference w:id="454"/>
      </w:r>
    </w:p>
    <w:p w:rsidR="00EF3429" w:rsidRPr="00C06B6B" w:rsidP="00C43A33" w14:paraId="7987D04E" w14:textId="7D81DECD">
      <w:pPr>
        <w:pStyle w:val="Heading2"/>
        <w:rPr>
          <w:u w:val="single"/>
        </w:rPr>
      </w:pPr>
      <w:bookmarkStart w:id="47" w:name="_bmk14"/>
      <w:bookmarkStart w:id="48" w:name="_Toc175819941"/>
      <w:r w:rsidRPr="00C06B6B">
        <w:rPr>
          <w:u w:val="single"/>
        </w:rPr>
        <w:t>R</w:t>
      </w:r>
      <w:bookmarkEnd w:id="47"/>
      <w:r w:rsidRPr="00C06B6B">
        <w:rPr>
          <w:u w:val="single"/>
        </w:rPr>
        <w:t>eliability</w:t>
      </w:r>
      <w:bookmarkEnd w:id="48"/>
    </w:p>
    <w:p w:rsidR="00C47951" w:rsidP="00E24F1B" w14:paraId="695C0C4F" w14:textId="3928A46B">
      <w:pPr>
        <w:pStyle w:val="FERCparanumber"/>
      </w:pPr>
      <w:r>
        <w:t xml:space="preserve">The NOPR </w:t>
      </w:r>
      <w:r w:rsidR="006F01F3">
        <w:t xml:space="preserve">preliminarily found that </w:t>
      </w:r>
      <w:r w:rsidR="003530E3">
        <w:t>“</w:t>
      </w:r>
      <w:r w:rsidRPr="003530E3" w:rsidR="003530E3">
        <w:t>compensation for providing reactive power within the standard power factor range is unnecessary to maintain reliability</w:t>
      </w:r>
      <w:r w:rsidR="003530E3">
        <w:t>”</w:t>
      </w:r>
      <w:r w:rsidR="00FB5BDD">
        <w:t xml:space="preserve"> and </w:t>
      </w:r>
      <w:r w:rsidRPr="00FB5BDD" w:rsidR="00FB5BDD">
        <w:t xml:space="preserve">that </w:t>
      </w:r>
      <w:r w:rsidR="00D435EF">
        <w:t>“</w:t>
      </w:r>
      <w:r w:rsidRPr="00FB5BDD" w:rsidR="00FB5BDD">
        <w:t>requiring transmission providers to continue paying for reactive power already required by a generating facility’s interconnection agreement is not necessary to ensure that generating facilities provide reactive power when required.</w:t>
      </w:r>
      <w:r w:rsidR="00D435EF">
        <w:t>”</w:t>
      </w:r>
      <w:r>
        <w:rPr>
          <w:b/>
          <w:vertAlign w:val="superscript"/>
        </w:rPr>
        <w:footnoteReference w:id="455"/>
      </w:r>
      <w:r w:rsidR="00E71467">
        <w:t xml:space="preserve">  </w:t>
      </w:r>
      <w:r w:rsidR="00DA2ADF">
        <w:t xml:space="preserve">In addition to </w:t>
      </w:r>
      <w:r w:rsidR="004A12F9">
        <w:t xml:space="preserve">noting </w:t>
      </w:r>
      <w:r w:rsidR="00226098">
        <w:t xml:space="preserve">that multiple </w:t>
      </w:r>
      <w:r w:rsidR="002C51DE">
        <w:t xml:space="preserve">RTOs, </w:t>
      </w:r>
      <w:r w:rsidRPr="00692597" w:rsidR="00692597">
        <w:t>ISOs, and non</w:t>
      </w:r>
      <w:r w:rsidR="00A36ED5">
        <w:t>-</w:t>
      </w:r>
      <w:r w:rsidRPr="00692597" w:rsidR="00692597">
        <w:t>RTO/ISO transmission providers</w:t>
      </w:r>
      <w:r w:rsidR="00C048EA">
        <w:t xml:space="preserve"> </w:t>
      </w:r>
      <w:r w:rsidRPr="00692597" w:rsidR="00692597">
        <w:t xml:space="preserve">have elected not to compensate generating facilities for the provision of reactive power within the standard </w:t>
      </w:r>
      <w:r w:rsidRPr="00692597" w:rsidR="00692597">
        <w:t>power factor range under Schedule 2 of the OATT</w:t>
      </w:r>
      <w:r w:rsidR="002B20CD">
        <w:t>,</w:t>
      </w:r>
      <w:r>
        <w:rPr>
          <w:rStyle w:val="FootnoteReference"/>
        </w:rPr>
        <w:footnoteReference w:id="456"/>
      </w:r>
      <w:r w:rsidR="00C048EA">
        <w:t xml:space="preserve"> t</w:t>
      </w:r>
      <w:r>
        <w:t xml:space="preserve">he NOPR </w:t>
      </w:r>
      <w:r w:rsidR="00E37C51">
        <w:t>observed that CAISO has not seen major issues of concern with the level of reactive power in its region despite not providing separate compensation for reactive power within the standard power factor range</w:t>
      </w:r>
      <w:r w:rsidR="0034581B">
        <w:t>.  The Commission</w:t>
      </w:r>
      <w:r>
        <w:t xml:space="preserve"> </w:t>
      </w:r>
      <w:r w:rsidR="00E75D6C">
        <w:t>also</w:t>
      </w:r>
      <w:r>
        <w:t xml:space="preserve"> </w:t>
      </w:r>
      <w:r w:rsidR="00300749">
        <w:t xml:space="preserve">preliminarily found </w:t>
      </w:r>
      <w:r w:rsidR="0034581B">
        <w:t>in the NOPR</w:t>
      </w:r>
      <w:r>
        <w:t xml:space="preserve"> that </w:t>
      </w:r>
      <w:r w:rsidR="00E37C51">
        <w:t xml:space="preserve">requiring transmission providers to continue paying for </w:t>
      </w:r>
      <w:r w:rsidRPr="00E37C51" w:rsidR="00E37C51">
        <w:t xml:space="preserve">reactive power already required by a generating facility’s interconnection agreement is not necessary to ensure that generating facilities provide reactive power </w:t>
      </w:r>
      <w:r w:rsidR="00240779">
        <w:t>within the</w:t>
      </w:r>
      <w:r w:rsidRPr="00E37C51" w:rsidR="00E37C51">
        <w:t xml:space="preserve"> </w:t>
      </w:r>
      <w:r w:rsidR="00497149">
        <w:t>standard power factor range</w:t>
      </w:r>
      <w:r w:rsidR="00E37C51">
        <w:t>.</w:t>
      </w:r>
      <w:bookmarkStart w:id="49" w:name="_Ref177648335"/>
      <w:r>
        <w:rPr>
          <w:rStyle w:val="FootnoteReference"/>
        </w:rPr>
        <w:footnoteReference w:id="457"/>
      </w:r>
      <w:bookmarkEnd w:id="49"/>
    </w:p>
    <w:p w:rsidR="00201119" w:rsidP="00E24F1B" w14:paraId="533278F6" w14:textId="17996EA1">
      <w:pPr>
        <w:pStyle w:val="FERCparanumber"/>
      </w:pPr>
      <w:r>
        <w:t xml:space="preserve">The NOPR </w:t>
      </w:r>
      <w:r w:rsidR="00F348D4">
        <w:t xml:space="preserve">sought </w:t>
      </w:r>
      <w:r w:rsidRPr="00F348D4" w:rsidR="00F348D4">
        <w:t>comment on the reliability impact of prohibiting transmission providers from including in their transmission rates any charges associated with the</w:t>
      </w:r>
      <w:r w:rsidRPr="00F348D4" w:rsidR="00F348D4">
        <w:t xml:space="preserve"> </w:t>
      </w:r>
      <w:r w:rsidR="00B3519E">
        <w:t>provision</w:t>
      </w:r>
      <w:r w:rsidRPr="00F348D4" w:rsidR="00B3519E">
        <w:t xml:space="preserve"> </w:t>
      </w:r>
      <w:r w:rsidRPr="00F348D4" w:rsidR="00F348D4">
        <w:t>of reactive power within the standard power factor range from a generating facility in regions where generating facilities currently receive such compensation.</w:t>
      </w:r>
      <w:r>
        <w:rPr>
          <w:rStyle w:val="FootnoteReference"/>
        </w:rPr>
        <w:footnoteReference w:id="458"/>
      </w:r>
    </w:p>
    <w:p w:rsidR="00673070" w:rsidRPr="00C06B6B" w:rsidP="00C43A33" w14:paraId="224F4521" w14:textId="26212AB3">
      <w:pPr>
        <w:pStyle w:val="Heading3"/>
        <w:rPr>
          <w:u w:val="single"/>
        </w:rPr>
      </w:pPr>
      <w:bookmarkStart w:id="50" w:name="_bmk15"/>
      <w:bookmarkStart w:id="51" w:name="_Toc175819942"/>
      <w:bookmarkStart w:id="52" w:name="_Toc176778669"/>
      <w:r w:rsidRPr="00C06B6B">
        <w:rPr>
          <w:u w:val="single"/>
        </w:rPr>
        <w:t>C</w:t>
      </w:r>
      <w:bookmarkEnd w:id="50"/>
      <w:r w:rsidRPr="00C06B6B">
        <w:rPr>
          <w:u w:val="single"/>
        </w:rPr>
        <w:t>omment</w:t>
      </w:r>
      <w:r w:rsidRPr="00C06B6B" w:rsidR="00883A64">
        <w:rPr>
          <w:u w:val="single"/>
        </w:rPr>
        <w:t>s</w:t>
      </w:r>
      <w:bookmarkEnd w:id="51"/>
      <w:bookmarkEnd w:id="52"/>
    </w:p>
    <w:p w:rsidR="000258F1" w:rsidP="000258F1" w14:paraId="488704A9" w14:textId="46F53F3E">
      <w:pPr>
        <w:pStyle w:val="FERCparanumber"/>
      </w:pPr>
      <w:r>
        <w:t>Many</w:t>
      </w:r>
      <w:r>
        <w:t xml:space="preserve"> commenters </w:t>
      </w:r>
      <w:r w:rsidR="004835F0">
        <w:t xml:space="preserve">do not expect to see </w:t>
      </w:r>
      <w:r w:rsidR="007B670B">
        <w:t xml:space="preserve">an </w:t>
      </w:r>
      <w:r w:rsidRPr="006725ED">
        <w:t>impact on reliability under the NOPR proposal</w:t>
      </w:r>
      <w:r>
        <w:t>.</w:t>
      </w:r>
      <w:r>
        <w:rPr>
          <w:rStyle w:val="FootnoteReference"/>
        </w:rPr>
        <w:footnoteReference w:id="459"/>
      </w:r>
      <w:r>
        <w:t xml:space="preserve">  For example, </w:t>
      </w:r>
      <w:r w:rsidR="001A71AA">
        <w:t>“</w:t>
      </w:r>
      <w:r w:rsidRPr="001A71AA" w:rsidR="001A71AA">
        <w:t xml:space="preserve">MISO has not experienced reliability concerns since </w:t>
      </w:r>
      <w:r w:rsidRPr="001A71AA" w:rsidR="001A71AA">
        <w:t xml:space="preserve">December 1, 2022 due to </w:t>
      </w:r>
      <w:r>
        <w:t xml:space="preserve">the </w:t>
      </w:r>
      <w:r w:rsidRPr="001A71AA" w:rsidR="001A71AA">
        <w:t xml:space="preserve">elimination of </w:t>
      </w:r>
      <w:r>
        <w:t xml:space="preserve">compensation </w:t>
      </w:r>
      <w:r w:rsidRPr="009A05BF">
        <w:t xml:space="preserve">for reactive </w:t>
      </w:r>
      <w:r w:rsidRPr="001A71AA" w:rsidR="001A71AA">
        <w:t xml:space="preserve">power </w:t>
      </w:r>
      <w:r w:rsidRPr="009A05BF">
        <w:t>within the standard power factor range</w:t>
      </w:r>
      <w:r w:rsidR="00CD55D4">
        <w:t>.</w:t>
      </w:r>
      <w:r w:rsidR="001A71AA">
        <w:t>”</w:t>
      </w:r>
      <w:r>
        <w:rPr>
          <w:rStyle w:val="FootnoteReference"/>
        </w:rPr>
        <w:footnoteReference w:id="460"/>
      </w:r>
      <w:r>
        <w:t xml:space="preserve">  </w:t>
      </w:r>
      <w:r w:rsidR="00D413D0">
        <w:t>Furthermore, several commenters observe</w:t>
      </w:r>
      <w:r w:rsidRPr="009A05BF">
        <w:t xml:space="preserve"> that regions like MISO</w:t>
      </w:r>
      <w:r>
        <w:t>, which</w:t>
      </w:r>
      <w:r w:rsidRPr="009A05BF">
        <w:t xml:space="preserve"> implement</w:t>
      </w:r>
      <w:r>
        <w:t>ed</w:t>
      </w:r>
      <w:r w:rsidRPr="009A05BF">
        <w:t xml:space="preserve"> similar reforms</w:t>
      </w:r>
      <w:r>
        <w:t>, and CAISO, which does not compensate for reactive power service</w:t>
      </w:r>
      <w:r w:rsidRPr="009A05BF">
        <w:t xml:space="preserve">, have not experienced </w:t>
      </w:r>
      <w:r w:rsidR="004E29A5">
        <w:t xml:space="preserve">related </w:t>
      </w:r>
      <w:r w:rsidRPr="009A05BF">
        <w:t>reliability concerns.</w:t>
      </w:r>
      <w:r>
        <w:rPr>
          <w:b/>
          <w:vertAlign w:val="superscript"/>
        </w:rPr>
        <w:footnoteReference w:id="461"/>
      </w:r>
      <w:r>
        <w:t xml:space="preserve">  The PJM IMM </w:t>
      </w:r>
      <w:r w:rsidR="00FA057A">
        <w:t>argues</w:t>
      </w:r>
      <w:r>
        <w:t xml:space="preserve"> that </w:t>
      </w:r>
      <w:r w:rsidR="00FA057A">
        <w:t>“</w:t>
      </w:r>
      <w:r>
        <w:t xml:space="preserve">there is no evidence that expanding the just and reasonable approach to compensation already in place in CAISO, SPP, and MISO </w:t>
      </w:r>
      <w:r w:rsidR="00FA057A">
        <w:t xml:space="preserve">to PJM </w:t>
      </w:r>
      <w:r>
        <w:t xml:space="preserve">will </w:t>
      </w:r>
      <w:r w:rsidR="00FA057A">
        <w:t xml:space="preserve">have any </w:t>
      </w:r>
      <w:r>
        <w:t>adverse impact</w:t>
      </w:r>
      <w:r w:rsidR="00FA057A">
        <w:t xml:space="preserve"> on </w:t>
      </w:r>
      <w:r>
        <w:t>reliability in PJM</w:t>
      </w:r>
      <w:r w:rsidR="00FA057A">
        <w:t>”</w:t>
      </w:r>
      <w:r>
        <w:t xml:space="preserve"> </w:t>
      </w:r>
      <w:r w:rsidR="00FA057A">
        <w:t xml:space="preserve">and </w:t>
      </w:r>
      <w:r>
        <w:t xml:space="preserve">that </w:t>
      </w:r>
      <w:r w:rsidR="00FA057A">
        <w:t>“[</w:t>
      </w:r>
      <w:r>
        <w:t>t</w:t>
      </w:r>
      <w:r w:rsidR="00FA057A">
        <w:t>]</w:t>
      </w:r>
      <w:r>
        <w:t xml:space="preserve">he </w:t>
      </w:r>
      <w:r w:rsidR="00FA057A">
        <w:t>salient</w:t>
      </w:r>
      <w:r>
        <w:t xml:space="preserve"> difference between PJM and </w:t>
      </w:r>
      <w:r w:rsidR="00FA057A">
        <w:t>CAISO, SPP, and MISO</w:t>
      </w:r>
      <w:r>
        <w:t xml:space="preserve"> is that PJM customers paid $388,044,837.00 in out of market payments for reactive capability in 2023, and customers in CAISO, SPP and MISO, paid $0.00</w:t>
      </w:r>
      <w:r w:rsidR="00FA057A">
        <w:t>”</w:t>
      </w:r>
      <w:r>
        <w:rPr>
          <w:rStyle w:val="FootnoteReference"/>
        </w:rPr>
        <w:footnoteReference w:id="462"/>
      </w:r>
      <w:r>
        <w:t xml:space="preserve"> </w:t>
      </w:r>
      <w:r w:rsidRPr="009901CA" w:rsidR="00176E0A">
        <w:t>for the same service.</w:t>
      </w:r>
      <w:r>
        <w:t xml:space="preserve">  Joint Customers agree with the NOPR that the </w:t>
      </w:r>
      <w:r w:rsidRPr="009A05BF">
        <w:t>Commission</w:t>
      </w:r>
      <w:r>
        <w:t>’</w:t>
      </w:r>
      <w:r w:rsidRPr="009A05BF">
        <w:t xml:space="preserve">s </w:t>
      </w:r>
      <w:r>
        <w:t>“</w:t>
      </w:r>
      <w:r w:rsidRPr="009A05BF">
        <w:t xml:space="preserve">precedent </w:t>
      </w:r>
      <w:r>
        <w:t>is crystal clear that compensation is not required”</w:t>
      </w:r>
      <w:r>
        <w:rPr>
          <w:rStyle w:val="FootnoteReference"/>
        </w:rPr>
        <w:footnoteReference w:id="463"/>
      </w:r>
      <w:r w:rsidRPr="009A05BF">
        <w:t xml:space="preserve"> for generators meeting </w:t>
      </w:r>
      <w:r w:rsidRPr="009A05BF">
        <w:t xml:space="preserve">interconnection requirements </w:t>
      </w:r>
      <w:r>
        <w:t>of</w:t>
      </w:r>
      <w:r w:rsidRPr="009A05BF">
        <w:t xml:space="preserve"> providing reactive service within the standard power factor range</w:t>
      </w:r>
      <w:r>
        <w:t xml:space="preserve">.  In addition, </w:t>
      </w:r>
      <w:r w:rsidRPr="00252265">
        <w:t>MISO Transmission Owners assert that eliminating reactive power compensation will not adversely affect reliability because generators are required to provide reactive power pursuant to their interconnection agreement</w:t>
      </w:r>
      <w:r>
        <w:t>s,</w:t>
      </w:r>
      <w:r>
        <w:rPr>
          <w:b/>
          <w:bCs/>
          <w:vertAlign w:val="superscript"/>
        </w:rPr>
        <w:footnoteReference w:id="464"/>
      </w:r>
      <w:r>
        <w:t xml:space="preserve"> NERC requirements,</w:t>
      </w:r>
      <w:r>
        <w:rPr>
          <w:b/>
          <w:bCs/>
          <w:vertAlign w:val="superscript"/>
        </w:rPr>
        <w:footnoteReference w:id="465"/>
      </w:r>
      <w:r>
        <w:t xml:space="preserve"> and Order No. 2003.</w:t>
      </w:r>
      <w:r>
        <w:rPr>
          <w:rStyle w:val="FootnoteReference"/>
        </w:rPr>
        <w:footnoteReference w:id="466"/>
      </w:r>
      <w:r>
        <w:t xml:space="preserve">  </w:t>
      </w:r>
      <w:r w:rsidR="00A31238">
        <w:t>Joint Customers</w:t>
      </w:r>
      <w:r>
        <w:t xml:space="preserve"> </w:t>
      </w:r>
      <w:r w:rsidRPr="009A05BF">
        <w:t xml:space="preserve">argue </w:t>
      </w:r>
      <w:r w:rsidR="00A31238">
        <w:t>that</w:t>
      </w:r>
      <w:r w:rsidR="009E38C3">
        <w:t xml:space="preserve"> there is a</w:t>
      </w:r>
      <w:r w:rsidR="00A31238">
        <w:t xml:space="preserve"> “lack of concrete evidence of adverse reliability impacts</w:t>
      </w:r>
      <w:r w:rsidRPr="004430A7" w:rsidR="004430A7">
        <w:t xml:space="preserve"> (including in regions where this exact change has been implemented)</w:t>
      </w:r>
      <w:r w:rsidR="00A31238">
        <w:t>”</w:t>
      </w:r>
      <w:r w:rsidR="004430A7">
        <w:t xml:space="preserve"> in the record</w:t>
      </w:r>
      <w:r w:rsidR="00A31238">
        <w:t xml:space="preserve"> and </w:t>
      </w:r>
      <w:r w:rsidR="003056CB">
        <w:t>the</w:t>
      </w:r>
      <w:r w:rsidR="006F7D27">
        <w:t xml:space="preserve"> </w:t>
      </w:r>
      <w:r w:rsidR="00A31238">
        <w:t>commenters</w:t>
      </w:r>
      <w:r w:rsidR="006F7D27">
        <w:t>’</w:t>
      </w:r>
      <w:r w:rsidR="00A31238">
        <w:t xml:space="preserve"> concern that </w:t>
      </w:r>
      <w:r w:rsidR="003056CB">
        <w:t>“</w:t>
      </w:r>
      <w:r w:rsidRPr="00C95A31" w:rsidR="00A31238">
        <w:t>if there is not an unjustifiable free revenue stream ostensibly related to reactive service and capability, there will not be sufficient generation for real power and capacity at some unspecified point in the future</w:t>
      </w:r>
      <w:r w:rsidR="00AC56F7">
        <w:t>”</w:t>
      </w:r>
      <w:r w:rsidR="00A31238">
        <w:t xml:space="preserve"> </w:t>
      </w:r>
      <w:r w:rsidR="00182B81">
        <w:t xml:space="preserve">is </w:t>
      </w:r>
      <w:r w:rsidR="00A31238">
        <w:t>“</w:t>
      </w:r>
      <w:r w:rsidR="00182B81">
        <w:t xml:space="preserve">speculative </w:t>
      </w:r>
      <w:r w:rsidR="00A31238">
        <w:t>to the point of incoherence.”</w:t>
      </w:r>
      <w:r>
        <w:rPr>
          <w:rStyle w:val="FootnoteReference"/>
        </w:rPr>
        <w:footnoteReference w:id="467"/>
      </w:r>
    </w:p>
    <w:p w:rsidR="000258F1" w:rsidP="000258F1" w14:paraId="7ECAA1C1" w14:textId="55416C7B">
      <w:pPr>
        <w:pStyle w:val="FERCparanumber"/>
      </w:pPr>
      <w:r w:rsidRPr="00252265">
        <w:t xml:space="preserve">MISO Transmission Owners refute the claim that </w:t>
      </w:r>
      <w:r>
        <w:t xml:space="preserve">the </w:t>
      </w:r>
      <w:r w:rsidR="00C00B3C">
        <w:t>transmission system</w:t>
      </w:r>
      <w:r>
        <w:t xml:space="preserve"> will face increased retirements due to the loss of reactive power revenue by arguing that </w:t>
      </w:r>
      <w:r w:rsidRPr="00252265">
        <w:t>transmission providers have mechanisms for maintaining system reliability in the face of premature retirements.</w:t>
      </w:r>
      <w:r>
        <w:rPr>
          <w:b/>
          <w:bCs/>
          <w:vertAlign w:val="superscript"/>
        </w:rPr>
        <w:footnoteReference w:id="468"/>
      </w:r>
      <w:r>
        <w:t xml:space="preserve">  Relatedly, </w:t>
      </w:r>
      <w:r w:rsidRPr="00630212">
        <w:t>Joint Consumer Advocates</w:t>
      </w:r>
      <w:r>
        <w:t>, MISO Transmission Owners,</w:t>
      </w:r>
      <w:r w:rsidRPr="00630212">
        <w:t xml:space="preserve"> </w:t>
      </w:r>
      <w:r>
        <w:t xml:space="preserve">and TAPS each point to </w:t>
      </w:r>
      <w:r w:rsidRPr="00965439">
        <w:t xml:space="preserve">ample </w:t>
      </w:r>
      <w:r w:rsidRPr="00630212">
        <w:t>backlogs in generator interconnection queues nationwide</w:t>
      </w:r>
      <w:r>
        <w:t xml:space="preserve"> as protection against any </w:t>
      </w:r>
      <w:r w:rsidRPr="00630212">
        <w:t xml:space="preserve">threat </w:t>
      </w:r>
      <w:r>
        <w:t xml:space="preserve">to </w:t>
      </w:r>
      <w:r w:rsidRPr="00630212">
        <w:t xml:space="preserve">reliability </w:t>
      </w:r>
      <w:r>
        <w:t xml:space="preserve">from </w:t>
      </w:r>
      <w:r w:rsidRPr="00630212">
        <w:t>eliminating reactive power compensation.</w:t>
      </w:r>
      <w:r>
        <w:rPr>
          <w:rStyle w:val="FootnoteReference"/>
        </w:rPr>
        <w:footnoteReference w:id="469"/>
      </w:r>
    </w:p>
    <w:p w:rsidR="000258F1" w:rsidP="000258F1" w14:paraId="3EAC6B90" w14:textId="289B0B56">
      <w:pPr>
        <w:pStyle w:val="FERCparanumber"/>
      </w:pPr>
      <w:r w:rsidRPr="00252265">
        <w:t xml:space="preserve">MISO Transmission Owners </w:t>
      </w:r>
      <w:r>
        <w:t>also counter fears</w:t>
      </w:r>
      <w:r>
        <w:rPr>
          <w:rStyle w:val="FootnoteReference"/>
        </w:rPr>
        <w:footnoteReference w:id="470"/>
      </w:r>
      <w:r>
        <w:t xml:space="preserve"> of inadequate incentives to make the necessary capital investments to provide reactive power by </w:t>
      </w:r>
      <w:r w:rsidRPr="00252265">
        <w:t>explain</w:t>
      </w:r>
      <w:r>
        <w:t>ing</w:t>
      </w:r>
      <w:r w:rsidRPr="00252265">
        <w:t xml:space="preserve"> that generators are incented by their own </w:t>
      </w:r>
      <w:r w:rsidRPr="009901CA" w:rsidR="00D94A16">
        <w:t>operating and</w:t>
      </w:r>
      <w:r w:rsidR="00D94A16">
        <w:t xml:space="preserve"> </w:t>
      </w:r>
      <w:r w:rsidRPr="00252265">
        <w:t>reliability requirements to install the equipment that is most likely to keep their projects online and delivering real power.</w:t>
      </w:r>
      <w:r>
        <w:rPr>
          <w:b/>
          <w:bCs/>
          <w:vertAlign w:val="superscript"/>
        </w:rPr>
        <w:footnoteReference w:id="471"/>
      </w:r>
    </w:p>
    <w:p w:rsidR="00ED7DD5" w:rsidRPr="00C537B6" w14:paraId="1B8AC88E" w14:textId="6E1E0A4C">
      <w:pPr>
        <w:pStyle w:val="FERCparanumber"/>
      </w:pPr>
      <w:r w:rsidRPr="006725ED">
        <w:t>Other</w:t>
      </w:r>
      <w:r w:rsidRPr="006725ED" w:rsidR="004776D6">
        <w:t xml:space="preserve"> commenters </w:t>
      </w:r>
      <w:r w:rsidRPr="006725ED" w:rsidR="009B479F">
        <w:t xml:space="preserve">express </w:t>
      </w:r>
      <w:r w:rsidRPr="006725ED" w:rsidR="00857897">
        <w:t>general reliability concerns under the NOPR proposal.</w:t>
      </w:r>
      <w:r>
        <w:rPr>
          <w:rStyle w:val="FootnoteReference"/>
        </w:rPr>
        <w:footnoteReference w:id="472"/>
      </w:r>
      <w:r w:rsidRPr="006725ED" w:rsidR="00CE0397">
        <w:t xml:space="preserve">  </w:t>
      </w:r>
      <w:r w:rsidRPr="006725ED" w:rsidR="001F1B3E">
        <w:t xml:space="preserve">Commenters also </w:t>
      </w:r>
      <w:r w:rsidRPr="006725ED" w:rsidR="008B3B50">
        <w:t xml:space="preserve">argue that specific types of resources especially benefit </w:t>
      </w:r>
      <w:r w:rsidRPr="006725ED" w:rsidR="008B3B50">
        <w:t>from reactive power revenue</w:t>
      </w:r>
      <w:r w:rsidRPr="006725ED" w:rsidR="00C97121">
        <w:t xml:space="preserve">, including </w:t>
      </w:r>
      <w:r w:rsidRPr="006725ED" w:rsidR="002B1BDE">
        <w:t>energy storage,</w:t>
      </w:r>
      <w:r>
        <w:rPr>
          <w:b/>
          <w:vertAlign w:val="superscript"/>
        </w:rPr>
        <w:footnoteReference w:id="473"/>
      </w:r>
      <w:r w:rsidRPr="006725ED" w:rsidR="002B1BDE">
        <w:t xml:space="preserve"> </w:t>
      </w:r>
      <w:r w:rsidRPr="006725ED" w:rsidR="00C97121">
        <w:t>hydro,</w:t>
      </w:r>
      <w:r>
        <w:rPr>
          <w:b/>
          <w:vertAlign w:val="superscript"/>
        </w:rPr>
        <w:footnoteReference w:id="474"/>
      </w:r>
      <w:r w:rsidRPr="006725ED" w:rsidR="00C97121">
        <w:t xml:space="preserve"> </w:t>
      </w:r>
      <w:r w:rsidRPr="006725ED" w:rsidR="00DA18B5">
        <w:t xml:space="preserve">and </w:t>
      </w:r>
      <w:r w:rsidRPr="006725ED" w:rsidR="00347F82">
        <w:t>nuclear</w:t>
      </w:r>
      <w:r w:rsidRPr="006725ED" w:rsidR="00DA18B5">
        <w:t>.</w:t>
      </w:r>
      <w:r>
        <w:rPr>
          <w:b/>
          <w:vertAlign w:val="superscript"/>
        </w:rPr>
        <w:footnoteReference w:id="475"/>
      </w:r>
      <w:r w:rsidR="00DA18B5">
        <w:t xml:space="preserve">  </w:t>
      </w:r>
      <w:r w:rsidRPr="00F47FE4" w:rsidR="004C5D02">
        <w:t xml:space="preserve">Elevate </w:t>
      </w:r>
      <w:r w:rsidR="004C5D02">
        <w:t>explains</w:t>
      </w:r>
      <w:r w:rsidRPr="00F47FE4" w:rsidR="004C5D02">
        <w:t xml:space="preserve"> that </w:t>
      </w:r>
      <w:r w:rsidR="009A2486">
        <w:t>“[</w:t>
      </w:r>
      <w:r w:rsidRPr="00F47FE4" w:rsidR="004C5D02">
        <w:t>b</w:t>
      </w:r>
      <w:r w:rsidR="009A2486">
        <w:t>]</w:t>
      </w:r>
      <w:r w:rsidRPr="00F47FE4" w:rsidR="004C5D02">
        <w:t xml:space="preserve">ecause </w:t>
      </w:r>
      <w:r w:rsidR="004C5D02">
        <w:t xml:space="preserve">energy storage resources </w:t>
      </w:r>
      <w:r w:rsidR="009A2486">
        <w:t>‘</w:t>
      </w:r>
      <w:r w:rsidRPr="00F47FE4" w:rsidR="004C5D02">
        <w:t>have the capability to operate at any power factor, they are exceptionally valuable as reactive power resources</w:t>
      </w:r>
      <w:r w:rsidR="00924F50">
        <w:t>.</w:t>
      </w:r>
      <w:r w:rsidR="009A2486">
        <w:t>’</w:t>
      </w:r>
      <w:r w:rsidRPr="00F47FE4" w:rsidR="004C5D02">
        <w:t>”</w:t>
      </w:r>
      <w:r>
        <w:rPr>
          <w:b/>
          <w:vertAlign w:val="superscript"/>
        </w:rPr>
        <w:footnoteReference w:id="476"/>
      </w:r>
      <w:r w:rsidR="00E45208">
        <w:t xml:space="preserve"> </w:t>
      </w:r>
    </w:p>
    <w:p w:rsidR="00C537B6" w:rsidRPr="00C537B6" w:rsidP="00E130E2" w14:paraId="0ACA1BEB" w14:textId="0CD816BE">
      <w:pPr>
        <w:pStyle w:val="FERCparanumber"/>
      </w:pPr>
      <w:r w:rsidRPr="00C537B6">
        <w:t>Generation Developers argue that, without the reactive power capability of generating facilities, transmission providers will need to further invest in transmission equipment capable of providing reactive support.</w:t>
      </w:r>
      <w:r>
        <w:rPr>
          <w:b/>
          <w:bCs/>
          <w:vertAlign w:val="superscript"/>
        </w:rPr>
        <w:footnoteReference w:id="477"/>
      </w:r>
      <w:r w:rsidRPr="00C537B6" w:rsidR="00F22A0F">
        <w:t xml:space="preserve">  Indicated Trade Associations assert that </w:t>
      </w:r>
      <w:r w:rsidRPr="00C537B6" w:rsidR="006D2DC7">
        <w:t>eliminating a source of stable, expected reactive power compensation could lead to more retirements.</w:t>
      </w:r>
      <w:r>
        <w:rPr>
          <w:b/>
          <w:bCs/>
          <w:vertAlign w:val="superscript"/>
        </w:rPr>
        <w:footnoteReference w:id="478"/>
      </w:r>
      <w:r w:rsidRPr="00C86053" w:rsidR="00C86053">
        <w:t xml:space="preserve"> </w:t>
      </w:r>
      <w:r w:rsidR="00C86053">
        <w:t xml:space="preserve"> Relatedly, Indicated Trade Associations</w:t>
      </w:r>
      <w:r w:rsidRPr="00DE5C1D" w:rsidR="00C86053">
        <w:t xml:space="preserve"> </w:t>
      </w:r>
      <w:r w:rsidR="00C86053">
        <w:t xml:space="preserve">also state </w:t>
      </w:r>
      <w:r w:rsidRPr="00DE5C1D" w:rsidR="00C86053">
        <w:t>that</w:t>
      </w:r>
      <w:r w:rsidR="00C86053">
        <w:t>, while</w:t>
      </w:r>
      <w:r w:rsidRPr="00DE5C1D" w:rsidR="00C86053">
        <w:t xml:space="preserve"> CAISO </w:t>
      </w:r>
      <w:r w:rsidR="00C86053">
        <w:t xml:space="preserve">does not currently compensate reactive power service, it </w:t>
      </w:r>
      <w:r w:rsidRPr="00DE5C1D" w:rsidR="00C86053">
        <w:t>has had to rely on reliability must-run (RMR) agreements to maintain the needed reactive power.</w:t>
      </w:r>
      <w:r>
        <w:rPr>
          <w:b/>
          <w:bCs/>
          <w:vertAlign w:val="superscript"/>
        </w:rPr>
        <w:footnoteReference w:id="479"/>
      </w:r>
      <w:r w:rsidRPr="00712E7F" w:rsidR="00712E7F">
        <w:t xml:space="preserve"> </w:t>
      </w:r>
      <w:r w:rsidR="00E130E2">
        <w:t xml:space="preserve"> </w:t>
      </w:r>
      <w:r w:rsidRPr="00C537B6" w:rsidR="00712E7F">
        <w:t xml:space="preserve">NEI emphasizes the importance of reactive power, noting Chairman Wood’s statement that proper reactive power management would have “delayed” or possibly prevented the </w:t>
      </w:r>
      <w:r w:rsidR="00E768DE">
        <w:t xml:space="preserve">   </w:t>
      </w:r>
      <w:r w:rsidRPr="00C537B6" w:rsidR="00712E7F">
        <w:t>2003 August blackout,</w:t>
      </w:r>
      <w:bookmarkStart w:id="53" w:name="_Ref177733495"/>
      <w:r>
        <w:rPr>
          <w:b/>
          <w:bCs/>
          <w:vertAlign w:val="superscript"/>
        </w:rPr>
        <w:footnoteReference w:id="480"/>
      </w:r>
      <w:bookmarkEnd w:id="53"/>
      <w:r w:rsidRPr="00C537B6" w:rsidR="00712E7F">
        <w:t xml:space="preserve"> and NERC’s finding that “reactive power is critical to the reliable and efficient operation of the power system.”</w:t>
      </w:r>
      <w:bookmarkStart w:id="54" w:name="_Ref179916154"/>
      <w:r>
        <w:rPr>
          <w:b/>
          <w:bCs/>
          <w:vertAlign w:val="superscript"/>
        </w:rPr>
        <w:footnoteReference w:id="481"/>
      </w:r>
      <w:bookmarkEnd w:id="54"/>
      <w:r w:rsidR="00DF1E1A">
        <w:t xml:space="preserve">  NEPOOL argues that payment for reactive power broadens the base of resources </w:t>
      </w:r>
      <w:r w:rsidR="0018146A">
        <w:t xml:space="preserve">willing to seek to become </w:t>
      </w:r>
      <w:r w:rsidRPr="002850D8" w:rsidR="00C65066">
        <w:t>Qualified Reactive Resource</w:t>
      </w:r>
      <w:r w:rsidR="00C65066">
        <w:t>s</w:t>
      </w:r>
      <w:r w:rsidR="0018146A">
        <w:t xml:space="preserve"> and support reliability</w:t>
      </w:r>
      <w:r w:rsidR="00AA6D55">
        <w:t xml:space="preserve"> in ISO-NE</w:t>
      </w:r>
      <w:r w:rsidR="0018146A">
        <w:t>.</w:t>
      </w:r>
      <w:r>
        <w:rPr>
          <w:rStyle w:val="FootnoteReference"/>
        </w:rPr>
        <w:footnoteReference w:id="482"/>
      </w:r>
    </w:p>
    <w:p w:rsidR="00755E2C" w:rsidRPr="0076231B" w:rsidP="0076231B" w14:paraId="6123DC5A" w14:textId="2C63ED27">
      <w:pPr>
        <w:pStyle w:val="FERCparanumber"/>
      </w:pPr>
      <w:r w:rsidRPr="00C537B6">
        <w:t>Indicated Trade Associations</w:t>
      </w:r>
      <w:r>
        <w:t xml:space="preserve"> also argue that </w:t>
      </w:r>
      <w:r w:rsidR="00DD02C5">
        <w:t xml:space="preserve">eliminating compensation for reactive power service within the standard power factor range will hamper generators’ ability to provide reactive power service outside </w:t>
      </w:r>
      <w:r w:rsidR="008A2504">
        <w:t xml:space="preserve">the standard power factor range because </w:t>
      </w:r>
      <w:r w:rsidR="005F6F31">
        <w:t>such events do</w:t>
      </w:r>
      <w:r w:rsidR="00F63F8D">
        <w:t xml:space="preserve"> </w:t>
      </w:r>
      <w:r w:rsidR="005F6F31">
        <w:t>n</w:t>
      </w:r>
      <w:r w:rsidR="00F63F8D">
        <w:t>o</w:t>
      </w:r>
      <w:r w:rsidR="005F6F31">
        <w:t>t happen with enough regularity to warrant the</w:t>
      </w:r>
      <w:r w:rsidR="008A2504">
        <w:t xml:space="preserve"> </w:t>
      </w:r>
      <w:r w:rsidRPr="00DE5C1D" w:rsidR="008A2504">
        <w:t>capital costs associated with such capability</w:t>
      </w:r>
      <w:r w:rsidRPr="0076231B" w:rsidR="008A2504">
        <w:t>.</w:t>
      </w:r>
      <w:r>
        <w:rPr>
          <w:b/>
          <w:bCs/>
          <w:vertAlign w:val="superscript"/>
        </w:rPr>
        <w:footnoteReference w:id="483"/>
      </w:r>
      <w:r w:rsidRPr="0076231B" w:rsidR="0076231B">
        <w:t xml:space="preserve">  </w:t>
      </w:r>
      <w:r w:rsidR="009F591D">
        <w:t>Similarly</w:t>
      </w:r>
      <w:r w:rsidR="00C06EB0">
        <w:t xml:space="preserve">, </w:t>
      </w:r>
      <w:r w:rsidRPr="0076231B">
        <w:t>Indicated Trade Associations argue that the increasing reliance on non-synchronous resources makes it even more important to ensure that generators have incentives to go beyond the bare minimum requirements outlined in their interconnection agreements.</w:t>
      </w:r>
      <w:r>
        <w:rPr>
          <w:b/>
          <w:bCs/>
          <w:vertAlign w:val="superscript"/>
        </w:rPr>
        <w:footnoteReference w:id="484"/>
      </w:r>
    </w:p>
    <w:p w:rsidR="00ED7DD5" w:rsidP="008470BC" w14:paraId="7426E945" w14:textId="744B829A">
      <w:pPr>
        <w:pStyle w:val="FERCparanumber"/>
      </w:pPr>
      <w:r w:rsidRPr="00BA7885">
        <w:t xml:space="preserve">NYISO </w:t>
      </w:r>
      <w:r>
        <w:t>and IPPNY warn</w:t>
      </w:r>
      <w:r w:rsidRPr="00BA7885">
        <w:t xml:space="preserve"> that transitioning away from </w:t>
      </w:r>
      <w:r w:rsidR="00B13918">
        <w:t>NYISO’s</w:t>
      </w:r>
      <w:r w:rsidRPr="00BA7885">
        <w:t xml:space="preserve"> current </w:t>
      </w:r>
      <w:r w:rsidR="00B13918">
        <w:t>reactive power</w:t>
      </w:r>
      <w:r w:rsidRPr="00BA7885">
        <w:t xml:space="preserve"> compensation structure could introduce reliability risks and operational complexities.</w:t>
      </w:r>
      <w:r>
        <w:rPr>
          <w:b/>
          <w:vertAlign w:val="superscript"/>
        </w:rPr>
        <w:footnoteReference w:id="485"/>
      </w:r>
      <w:r>
        <w:t xml:space="preserve">  </w:t>
      </w:r>
      <w:r w:rsidRPr="007F216D" w:rsidR="00BB0EBB">
        <w:t>NYISO asserts that its reactive power compensation supports electric system reliability because it requires resources to undergo annual capability tests and maintain automatic voltage control equipment to ensure consistent reactive power support.</w:t>
      </w:r>
      <w:r>
        <w:rPr>
          <w:b/>
          <w:vertAlign w:val="superscript"/>
        </w:rPr>
        <w:footnoteReference w:id="486"/>
      </w:r>
      <w:r w:rsidRPr="007F216D" w:rsidR="00BB0EBB">
        <w:t xml:space="preserve">  NYISO explains that these resources dynamically produce or absorb reactive power, supporting the electric system within and beyond standard power factor ranges without operator intervention</w:t>
      </w:r>
      <w:r w:rsidR="00310801">
        <w:t>.</w:t>
      </w:r>
      <w:r w:rsidR="006D3C9F">
        <w:t xml:space="preserve"> NYISO </w:t>
      </w:r>
      <w:r w:rsidR="008B5CA2">
        <w:t>emphasizes</w:t>
      </w:r>
      <w:r w:rsidR="006D3C9F">
        <w:t xml:space="preserve"> that </w:t>
      </w:r>
      <w:r w:rsidR="008B5CA2">
        <w:t>t</w:t>
      </w:r>
      <w:r w:rsidRPr="007F216D" w:rsidR="00BB0EBB">
        <w:t>his automatic and dynamic support is essential for maintaining system reliability.</w:t>
      </w:r>
      <w:r>
        <w:rPr>
          <w:b/>
          <w:vertAlign w:val="superscript"/>
        </w:rPr>
        <w:footnoteReference w:id="487"/>
      </w:r>
      <w:r w:rsidR="00B44C64">
        <w:t xml:space="preserve">  </w:t>
      </w:r>
      <w:r w:rsidRPr="00524281" w:rsidR="00B44C64">
        <w:t xml:space="preserve">Reactive Service Providers </w:t>
      </w:r>
      <w:r w:rsidR="00B44C64">
        <w:t xml:space="preserve">explains </w:t>
      </w:r>
      <w:r w:rsidRPr="00524281" w:rsidR="00B44C64">
        <w:t>that inverter-based generation can and does provide VAR support even when no MW are sold.</w:t>
      </w:r>
      <w:r>
        <w:rPr>
          <w:b/>
          <w:vertAlign w:val="superscript"/>
        </w:rPr>
        <w:footnoteReference w:id="488"/>
      </w:r>
      <w:r w:rsidR="00B44C64">
        <w:t xml:space="preserve">  </w:t>
      </w:r>
      <w:r w:rsidRPr="00B6795F" w:rsidR="00B44C64">
        <w:t>Generation Developers</w:t>
      </w:r>
      <w:r w:rsidR="00B44C64">
        <w:t xml:space="preserve"> and Reactive Service Providers</w:t>
      </w:r>
      <w:r w:rsidRPr="00B6795F" w:rsidR="00B44C64">
        <w:t xml:space="preserve"> </w:t>
      </w:r>
      <w:r w:rsidR="00B44C64">
        <w:t xml:space="preserve">highlight the pivotal role in maintaining reliability that </w:t>
      </w:r>
      <w:r w:rsidRPr="00B6795F" w:rsidR="00B44C64">
        <w:t xml:space="preserve">transmission providers with a </w:t>
      </w:r>
      <w:r w:rsidRPr="00C537B6" w:rsidR="00B44C64">
        <w:t>dynamic source of reactive power supply provide.</w:t>
      </w:r>
      <w:r>
        <w:rPr>
          <w:b/>
          <w:bCs/>
          <w:vertAlign w:val="superscript"/>
        </w:rPr>
        <w:footnoteReference w:id="489"/>
      </w:r>
      <w:r w:rsidR="00BC4DD2">
        <w:t xml:space="preserve">  </w:t>
      </w:r>
      <w:r w:rsidRPr="006B371F" w:rsidR="00BC4DD2">
        <w:t xml:space="preserve">NYISO is concerned that eliminating compensation for reactive power within the standard power factor range will introduce confusion among existing generators and new generators, and, in the longer term, introduce </w:t>
      </w:r>
      <w:r w:rsidRPr="006B371F" w:rsidR="00BC4DD2">
        <w:t>reliability issues onto the electric system</w:t>
      </w:r>
      <w:r w:rsidR="00BC4DD2">
        <w:t>.</w:t>
      </w:r>
      <w:r>
        <w:rPr>
          <w:rStyle w:val="FootnoteReference"/>
        </w:rPr>
        <w:footnoteReference w:id="490"/>
      </w:r>
      <w:r w:rsidR="00BC4DD2">
        <w:t xml:space="preserve">  </w:t>
      </w:r>
      <w:r w:rsidR="001519FF">
        <w:t>NYISO also be</w:t>
      </w:r>
      <w:r w:rsidR="007B174E">
        <w:t xml:space="preserve">lieves that </w:t>
      </w:r>
      <w:r w:rsidR="00493A80">
        <w:t xml:space="preserve">the </w:t>
      </w:r>
      <w:r w:rsidR="00126E54">
        <w:t>final rule</w:t>
      </w:r>
      <w:r w:rsidR="00493A80">
        <w:t xml:space="preserve"> will</w:t>
      </w:r>
      <w:r w:rsidRPr="00410DB1" w:rsidR="00BC4DD2">
        <w:t xml:space="preserve"> result in eliminating the price signals and incentives for the reactive power necessary to maintain system reliability, instead blending those costs and payments into payments made to all capacity suppliers without a direct link to provision of the reactive power necessary to support a reliable electric system.</w:t>
      </w:r>
      <w:r>
        <w:rPr>
          <w:rStyle w:val="FootnoteReference"/>
        </w:rPr>
        <w:footnoteReference w:id="491"/>
      </w:r>
    </w:p>
    <w:p w:rsidR="00D56DA4" w:rsidP="00D56DA4" w14:paraId="7B7E81A5" w14:textId="08E01B79">
      <w:pPr>
        <w:pStyle w:val="FERCparanumber"/>
      </w:pPr>
      <w:r w:rsidRPr="00C05A15">
        <w:t xml:space="preserve">Elevate </w:t>
      </w:r>
      <w:r>
        <w:t>adds that</w:t>
      </w:r>
      <w:r w:rsidRPr="00C05A15">
        <w:t xml:space="preserve"> international electric markets recognize the importance of energy storage resources to maintaining long-term </w:t>
      </w:r>
      <w:r w:rsidR="00C00B3C">
        <w:t>transmission system</w:t>
      </w:r>
      <w:r w:rsidRPr="00C05A15">
        <w:t xml:space="preserve"> reliability.</w:t>
      </w:r>
      <w:r>
        <w:rPr>
          <w:b/>
          <w:vertAlign w:val="superscript"/>
        </w:rPr>
        <w:footnoteReference w:id="492"/>
      </w:r>
      <w:r w:rsidRPr="00C05A15">
        <w:t xml:space="preserve">  For example, Elevate states that in the United Kingdom, the National Grid Electricity System Operator (ESO) has entered into a contract with the largest </w:t>
      </w:r>
      <w:r w:rsidR="00C00B3C">
        <w:t>transmission system</w:t>
      </w:r>
      <w:r w:rsidRPr="00C05A15">
        <w:t xml:space="preserve"> connected battery project in Europe to provide reactive power support services to maintain system voltages in the face of growing system variability and the retirement of thermal generation resources.  Elevate states that the ESO entered this contract despite already providing compensation to resources for providing or absorbing reactive power as a condition of interconnecting and through regular solicitations to secure resources to </w:t>
      </w:r>
      <w:r w:rsidRPr="00C05A15">
        <w:t xml:space="preserve">provide </w:t>
      </w:r>
      <w:r>
        <w:t xml:space="preserve">more </w:t>
      </w:r>
      <w:r w:rsidRPr="00C05A15">
        <w:t xml:space="preserve">reactive power than what is required to interconnect to the </w:t>
      </w:r>
      <w:r w:rsidR="00C00B3C">
        <w:t>transmission system</w:t>
      </w:r>
      <w:r w:rsidRPr="00C05A15">
        <w:t>.</w:t>
      </w:r>
      <w:r>
        <w:rPr>
          <w:b/>
          <w:vertAlign w:val="superscript"/>
        </w:rPr>
        <w:footnoteReference w:id="493"/>
      </w:r>
    </w:p>
    <w:p w:rsidR="000E2BB3" w:rsidRPr="00C06B6B" w:rsidP="00C43A33" w14:paraId="78303EFD" w14:textId="7BDB3B13">
      <w:pPr>
        <w:pStyle w:val="Heading3"/>
        <w:rPr>
          <w:u w:val="single"/>
        </w:rPr>
      </w:pPr>
      <w:bookmarkStart w:id="55" w:name="_bmk16"/>
      <w:bookmarkStart w:id="56" w:name="_Toc175819944"/>
      <w:r w:rsidRPr="00C06B6B">
        <w:rPr>
          <w:u w:val="single"/>
        </w:rPr>
        <w:t>C</w:t>
      </w:r>
      <w:bookmarkEnd w:id="55"/>
      <w:r w:rsidRPr="00C06B6B">
        <w:rPr>
          <w:u w:val="single"/>
        </w:rPr>
        <w:t>ommission Determination</w:t>
      </w:r>
      <w:bookmarkEnd w:id="56"/>
    </w:p>
    <w:p w:rsidR="008C78C7" w:rsidP="00C44256" w14:paraId="2F12AC97" w14:textId="0B277C4E">
      <w:pPr>
        <w:pStyle w:val="FERCparanumber"/>
      </w:pPr>
      <w:r>
        <w:t>Based on our review of the record, and c</w:t>
      </w:r>
      <w:r w:rsidR="00FB700F">
        <w:t>onsistent with the preliminary finding in the NOPR,</w:t>
      </w:r>
      <w:r>
        <w:rPr>
          <w:rStyle w:val="FootnoteReference"/>
        </w:rPr>
        <w:footnoteReference w:id="494"/>
      </w:r>
      <w:r w:rsidR="006552E6">
        <w:t xml:space="preserve"> </w:t>
      </w:r>
      <w:r w:rsidR="00FB700F">
        <w:t>we</w:t>
      </w:r>
      <w:r w:rsidR="00FB700F">
        <w:t xml:space="preserve"> </w:t>
      </w:r>
      <w:r w:rsidR="00B2167A">
        <w:t xml:space="preserve">conclude </w:t>
      </w:r>
      <w:r w:rsidRPr="00967143" w:rsidR="00FB700F">
        <w:t>that</w:t>
      </w:r>
      <w:r w:rsidR="00FB700F">
        <w:t xml:space="preserve"> </w:t>
      </w:r>
      <w:r w:rsidRPr="00967143" w:rsidR="00291304">
        <w:t>prohibiting transmission providers from including in their transmission rates any charges associated with the</w:t>
      </w:r>
      <w:r w:rsidRPr="00967143" w:rsidR="00291304">
        <w:t xml:space="preserve"> </w:t>
      </w:r>
      <w:r w:rsidR="00B3519E">
        <w:t>provision</w:t>
      </w:r>
      <w:r w:rsidRPr="00967143" w:rsidR="00B3519E">
        <w:t xml:space="preserve"> </w:t>
      </w:r>
      <w:r w:rsidRPr="00967143" w:rsidR="00291304">
        <w:t xml:space="preserve">of reactive power </w:t>
      </w:r>
      <w:r w:rsidRPr="009901CA" w:rsidR="00CF232D">
        <w:t>from a generating facility</w:t>
      </w:r>
      <w:r w:rsidR="00CF232D">
        <w:t xml:space="preserve"> </w:t>
      </w:r>
      <w:r w:rsidRPr="00967143" w:rsidR="00291304">
        <w:t xml:space="preserve">within the standard power factor range </w:t>
      </w:r>
      <w:r w:rsidR="00AD01E4">
        <w:t xml:space="preserve">and </w:t>
      </w:r>
      <w:r w:rsidR="00766F38">
        <w:t xml:space="preserve">thereby eliminating </w:t>
      </w:r>
      <w:r w:rsidR="005241CE">
        <w:t>compensation</w:t>
      </w:r>
      <w:r w:rsidR="00766F38">
        <w:t xml:space="preserve"> to generating facilities for reactive power within the standard power factor </w:t>
      </w:r>
      <w:r w:rsidR="005241CE">
        <w:t xml:space="preserve">range, </w:t>
      </w:r>
      <w:r w:rsidR="00C71CD7">
        <w:t>would not</w:t>
      </w:r>
      <w:r w:rsidR="00B2167A">
        <w:t xml:space="preserve"> negatively impact</w:t>
      </w:r>
      <w:r w:rsidRPr="00967143" w:rsidR="00291304">
        <w:t xml:space="preserve"> reliability.</w:t>
      </w:r>
      <w:r w:rsidR="006957D2">
        <w:t xml:space="preserve"> </w:t>
      </w:r>
      <w:r w:rsidR="007774DC">
        <w:t xml:space="preserve"> </w:t>
      </w:r>
      <w:r w:rsidR="007137EC">
        <w:t>The record in this proceeding affirms our preliminary finding</w:t>
      </w:r>
      <w:r w:rsidR="00E31981">
        <w:t xml:space="preserve"> in </w:t>
      </w:r>
      <w:r w:rsidR="00853744">
        <w:t>the NOPR</w:t>
      </w:r>
      <w:r w:rsidR="007137EC">
        <w:t xml:space="preserve"> that</w:t>
      </w:r>
      <w:r w:rsidR="001B3EB5">
        <w:t xml:space="preserve"> </w:t>
      </w:r>
      <w:r w:rsidRPr="00774670" w:rsidR="00774670">
        <w:t xml:space="preserve">requiring transmission </w:t>
      </w:r>
      <w:r w:rsidR="00635E4F">
        <w:t>customers</w:t>
      </w:r>
      <w:r w:rsidRPr="00774670" w:rsidR="00774670">
        <w:t xml:space="preserve"> to continue paying for reactive power already required by a generating facility’s interconnection agreement is not necessary to ensure</w:t>
      </w:r>
      <w:r w:rsidR="00557EFD">
        <w:t xml:space="preserve"> that </w:t>
      </w:r>
      <w:r w:rsidRPr="00774670" w:rsidR="00774670">
        <w:t>generating facilities provide reactive power when required</w:t>
      </w:r>
      <w:r w:rsidR="00603326">
        <w:t>,</w:t>
      </w:r>
      <w:r w:rsidR="00AA2E13">
        <w:t xml:space="preserve"> </w:t>
      </w:r>
      <w:r w:rsidR="006751A0">
        <w:t>as</w:t>
      </w:r>
      <w:r w:rsidR="00026F06">
        <w:t xml:space="preserve"> </w:t>
      </w:r>
      <w:r w:rsidRPr="00C44256" w:rsidR="005E76C1">
        <w:t xml:space="preserve">new and existing generating facilities </w:t>
      </w:r>
      <w:r w:rsidR="00EC3068">
        <w:t>are</w:t>
      </w:r>
      <w:r w:rsidR="000600AC">
        <w:t xml:space="preserve">, and </w:t>
      </w:r>
      <w:r w:rsidRPr="00C44256" w:rsidR="005E76C1">
        <w:t xml:space="preserve">will </w:t>
      </w:r>
      <w:r w:rsidR="000600AC">
        <w:t>continue to be</w:t>
      </w:r>
      <w:r w:rsidR="00AB1553">
        <w:t>,</w:t>
      </w:r>
      <w:r w:rsidRPr="00C44256" w:rsidR="005E76C1">
        <w:t xml:space="preserve"> required to provide reactive power within the standard power factor range as a condition of obtaining and maintaining interconnection.</w:t>
      </w:r>
      <w:r>
        <w:rPr>
          <w:b/>
          <w:vertAlign w:val="superscript"/>
        </w:rPr>
        <w:footnoteReference w:id="495"/>
      </w:r>
      <w:r w:rsidRPr="00A063CF" w:rsidR="005E76C1">
        <w:rPr>
          <w:i/>
        </w:rPr>
        <w:t xml:space="preserve"> </w:t>
      </w:r>
      <w:r w:rsidR="005E76C1">
        <w:t xml:space="preserve"> </w:t>
      </w:r>
      <w:r w:rsidR="00F561BB">
        <w:t xml:space="preserve">As commenters </w:t>
      </w:r>
      <w:r w:rsidR="0062112D">
        <w:t>note</w:t>
      </w:r>
      <w:r w:rsidR="00F561BB">
        <w:t xml:space="preserve">, </w:t>
      </w:r>
      <w:r w:rsidR="00185903">
        <w:t>these findings are</w:t>
      </w:r>
      <w:r w:rsidR="00AD527A">
        <w:t xml:space="preserve"> </w:t>
      </w:r>
      <w:r w:rsidR="00AD527A">
        <w:t>supported by</w:t>
      </w:r>
      <w:r w:rsidR="00865EF2">
        <w:t xml:space="preserve"> </w:t>
      </w:r>
      <w:r w:rsidR="00CD183D">
        <w:t>the fact that</w:t>
      </w:r>
      <w:r w:rsidR="00D24BEA">
        <w:t xml:space="preserve"> generating facilities in </w:t>
      </w:r>
      <w:r w:rsidRPr="00C06CAC" w:rsidR="00C06CAC">
        <w:t xml:space="preserve">CAISO, SPP, MISO, and certain </w:t>
      </w:r>
      <w:r w:rsidR="00E768DE">
        <w:t xml:space="preserve">      </w:t>
      </w:r>
      <w:r w:rsidRPr="00C06CAC" w:rsidR="00C06CAC">
        <w:t>non-RTO regions</w:t>
      </w:r>
      <w:r w:rsidR="00573881">
        <w:t xml:space="preserve"> (e.g., </w:t>
      </w:r>
      <w:r w:rsidR="001F7AC3">
        <w:t>BPA</w:t>
      </w:r>
      <w:r w:rsidRPr="00F30596" w:rsidR="00F30596">
        <w:t>, Arizona Public Service Company, Southern Companies</w:t>
      </w:r>
      <w:r w:rsidR="00F30596">
        <w:t>)</w:t>
      </w:r>
      <w:r w:rsidRPr="00C06CAC" w:rsidR="00C06CAC">
        <w:t xml:space="preserve"> do not receive compensation for reactive power capability within the standard power factor range</w:t>
      </w:r>
      <w:r w:rsidR="005F7B08">
        <w:t>,</w:t>
      </w:r>
      <w:r>
        <w:rPr>
          <w:rStyle w:val="FootnoteReference"/>
        </w:rPr>
        <w:footnoteReference w:id="496"/>
      </w:r>
      <w:r w:rsidRPr="00C06CAC" w:rsidR="00C06CAC">
        <w:t xml:space="preserve"> </w:t>
      </w:r>
      <w:r w:rsidR="00D24BEA">
        <w:t xml:space="preserve">and there is no evidence in the record that </w:t>
      </w:r>
      <w:r w:rsidR="00E7560F">
        <w:t xml:space="preserve">the lack of reactive power compensation </w:t>
      </w:r>
      <w:r w:rsidRPr="009901CA" w:rsidR="002838D5">
        <w:t>anywhere</w:t>
      </w:r>
      <w:r w:rsidR="00E7560F">
        <w:t xml:space="preserve"> </w:t>
      </w:r>
      <w:r w:rsidR="00527942">
        <w:t xml:space="preserve">has led to </w:t>
      </w:r>
      <w:r w:rsidRPr="003A282F" w:rsidR="003A282F">
        <w:t>an insufficient supply of reactive power in those regions</w:t>
      </w:r>
      <w:r w:rsidR="00AB2A3F">
        <w:t>.</w:t>
      </w:r>
    </w:p>
    <w:p w:rsidR="00032A6E" w:rsidP="00695672" w14:paraId="1C2BF15A" w14:textId="1794ED29">
      <w:pPr>
        <w:pStyle w:val="FERCparanumber"/>
      </w:pPr>
      <w:r>
        <w:t xml:space="preserve">For these </w:t>
      </w:r>
      <w:r w:rsidR="0076729B">
        <w:t xml:space="preserve">same reasons, we </w:t>
      </w:r>
      <w:r w:rsidR="009816C2">
        <w:t xml:space="preserve">also </w:t>
      </w:r>
      <w:r w:rsidR="0076729B">
        <w:t xml:space="preserve">find </w:t>
      </w:r>
      <w:r w:rsidR="00627019">
        <w:t xml:space="preserve">speculative and </w:t>
      </w:r>
      <w:r w:rsidR="006128EB">
        <w:t xml:space="preserve">without merit </w:t>
      </w:r>
      <w:r w:rsidR="003122C8">
        <w:t>claims</w:t>
      </w:r>
      <w:r w:rsidR="006A47D1">
        <w:t xml:space="preserve"> </w:t>
      </w:r>
      <w:r w:rsidR="00DB554B">
        <w:t>th</w:t>
      </w:r>
      <w:r w:rsidR="00A34320">
        <w:t>at</w:t>
      </w:r>
      <w:r w:rsidR="00DB554B">
        <w:t xml:space="preserve"> </w:t>
      </w:r>
      <w:r w:rsidR="00AC73FE">
        <w:t>elimination of compen</w:t>
      </w:r>
      <w:r w:rsidR="00AB6503">
        <w:t>sation for reactive power within the standard power factor range</w:t>
      </w:r>
      <w:r w:rsidR="00265754">
        <w:t xml:space="preserve"> </w:t>
      </w:r>
      <w:r w:rsidR="0015251B">
        <w:t xml:space="preserve">will </w:t>
      </w:r>
      <w:r w:rsidR="00EE781D">
        <w:t>mut</w:t>
      </w:r>
      <w:r w:rsidR="000A1692">
        <w:t>e</w:t>
      </w:r>
      <w:r w:rsidR="00EE781D">
        <w:t xml:space="preserve"> </w:t>
      </w:r>
      <w:r w:rsidR="00485391">
        <w:t xml:space="preserve">investment in </w:t>
      </w:r>
      <w:r w:rsidR="00EF39E5">
        <w:t xml:space="preserve">real </w:t>
      </w:r>
      <w:r w:rsidR="002914A7">
        <w:t xml:space="preserve">and </w:t>
      </w:r>
      <w:r w:rsidR="00955A8E">
        <w:t xml:space="preserve">reactive power </w:t>
      </w:r>
      <w:r w:rsidR="0048770D">
        <w:t>capability</w:t>
      </w:r>
      <w:r w:rsidR="00A34320">
        <w:t xml:space="preserve">, </w:t>
      </w:r>
      <w:r w:rsidR="00265754">
        <w:t xml:space="preserve">hasten </w:t>
      </w:r>
      <w:r w:rsidR="00F139FE">
        <w:t xml:space="preserve">generating facility </w:t>
      </w:r>
      <w:r w:rsidR="00265754">
        <w:t>retirements</w:t>
      </w:r>
      <w:r w:rsidR="00233B18">
        <w:t xml:space="preserve"> </w:t>
      </w:r>
      <w:r w:rsidR="00572817">
        <w:t>and/</w:t>
      </w:r>
      <w:r w:rsidR="00233B18">
        <w:t xml:space="preserve">or </w:t>
      </w:r>
      <w:r w:rsidR="00572817">
        <w:t>RMR agreements</w:t>
      </w:r>
      <w:r w:rsidR="00485391">
        <w:t xml:space="preserve"> </w:t>
      </w:r>
      <w:r w:rsidR="00265754">
        <w:t>and as a result, negatively impact reliability</w:t>
      </w:r>
      <w:r w:rsidR="00794514">
        <w:t xml:space="preserve"> and require </w:t>
      </w:r>
      <w:r w:rsidR="00403B65">
        <w:t xml:space="preserve">increased transmission provider </w:t>
      </w:r>
      <w:r w:rsidR="00F16CA5">
        <w:t>investment in transmission equipment capable of providing reactive support</w:t>
      </w:r>
      <w:r w:rsidR="00265754">
        <w:t>.</w:t>
      </w:r>
      <w:r>
        <w:rPr>
          <w:b/>
          <w:bCs/>
          <w:vertAlign w:val="superscript"/>
        </w:rPr>
        <w:footnoteReference w:id="497"/>
      </w:r>
      <w:r w:rsidR="00265754">
        <w:t xml:space="preserve">  </w:t>
      </w:r>
      <w:r w:rsidR="0030008D">
        <w:t>W</w:t>
      </w:r>
      <w:r w:rsidR="000A7CC7">
        <w:t xml:space="preserve">e see no record evidence supporting </w:t>
      </w:r>
      <w:r w:rsidR="006E3CDA">
        <w:t>these concerns</w:t>
      </w:r>
      <w:r w:rsidRPr="009901CA" w:rsidR="002F7C77">
        <w:t xml:space="preserve">, and </w:t>
      </w:r>
      <w:r w:rsidRPr="009901CA" w:rsidR="002F7C77">
        <w:t xml:space="preserve">substantial record evidence to the contrary.  For example, </w:t>
      </w:r>
      <w:r w:rsidRPr="003F3E4A" w:rsidR="00AB405E">
        <w:t xml:space="preserve">CAISO </w:t>
      </w:r>
      <w:r w:rsidR="00AB405E">
        <w:t xml:space="preserve">stated </w:t>
      </w:r>
      <w:r w:rsidRPr="003F3E4A" w:rsidR="00AB405E">
        <w:t xml:space="preserve">that its current approach to not compensate for reactive power provided within the standard power factor range has not resulted in major issues of concern with </w:t>
      </w:r>
      <w:r w:rsidR="00AB405E">
        <w:t xml:space="preserve">respect </w:t>
      </w:r>
      <w:r w:rsidR="00142575">
        <w:t xml:space="preserve">to </w:t>
      </w:r>
      <w:r w:rsidRPr="003F3E4A" w:rsidR="00AB405E">
        <w:t>the level of reactive power</w:t>
      </w:r>
      <w:r w:rsidR="00D3220F">
        <w:t>,</w:t>
      </w:r>
      <w:r>
        <w:rPr>
          <w:b/>
          <w:bCs/>
          <w:vertAlign w:val="superscript"/>
        </w:rPr>
        <w:footnoteReference w:id="498"/>
      </w:r>
      <w:r w:rsidRPr="003F3E4A" w:rsidR="00AB405E">
        <w:t xml:space="preserve"> </w:t>
      </w:r>
      <w:r w:rsidR="000A7CC7">
        <w:t xml:space="preserve">and TAPS </w:t>
      </w:r>
      <w:r w:rsidR="00DD336C">
        <w:t>points out</w:t>
      </w:r>
      <w:r w:rsidR="000A7CC7">
        <w:t xml:space="preserve"> </w:t>
      </w:r>
      <w:r w:rsidR="006A3727">
        <w:t>that</w:t>
      </w:r>
      <w:r w:rsidR="009B5CD4">
        <w:t xml:space="preserve"> </w:t>
      </w:r>
      <w:r w:rsidRPr="0049406A" w:rsidR="000A7CC7">
        <w:t xml:space="preserve">reliability has not suffered in regions in which reactive power in the standard power factor range is not compensated, as confirmed by years of experience in regions in which the absence of such compensation is a </w:t>
      </w:r>
      <w:r w:rsidR="000E2D61">
        <w:t xml:space="preserve">           </w:t>
      </w:r>
      <w:r w:rsidRPr="0049406A" w:rsidR="000A7CC7">
        <w:t>long-standing practice.</w:t>
      </w:r>
      <w:r>
        <w:rPr>
          <w:rStyle w:val="FootnoteReference"/>
        </w:rPr>
        <w:footnoteReference w:id="499"/>
      </w:r>
      <w:r w:rsidRPr="0049406A" w:rsidR="000A7CC7">
        <w:t xml:space="preserve"> </w:t>
      </w:r>
      <w:r w:rsidR="000A7CC7">
        <w:t xml:space="preserve"> </w:t>
      </w:r>
      <w:r w:rsidRPr="0049406A" w:rsidR="000A7CC7">
        <w:t xml:space="preserve">Reliability has not been weakened in those </w:t>
      </w:r>
      <w:r w:rsidR="008D4B83">
        <w:t>regions</w:t>
      </w:r>
      <w:r w:rsidRPr="0049406A" w:rsidR="000A7CC7">
        <w:t xml:space="preserve"> because the Commission’s </w:t>
      </w:r>
      <w:r w:rsidR="000E2D61">
        <w:t>20 year</w:t>
      </w:r>
      <w:r w:rsidRPr="0049406A" w:rsidR="000A7CC7">
        <w:t xml:space="preserve"> old requirement that interconnection customers have equipment to provide such reactive power ensure</w:t>
      </w:r>
      <w:r w:rsidRPr="00CC6424" w:rsidR="00016379">
        <w:t>s</w:t>
      </w:r>
      <w:r w:rsidRPr="00CC6424" w:rsidR="000E117C">
        <w:t xml:space="preserve"> that</w:t>
      </w:r>
      <w:r w:rsidRPr="0049406A" w:rsidR="000A7CC7">
        <w:t xml:space="preserve"> </w:t>
      </w:r>
      <w:r w:rsidR="00921710">
        <w:t xml:space="preserve">generating facilities </w:t>
      </w:r>
      <w:r w:rsidR="004147C5">
        <w:t>can interconnect reliably</w:t>
      </w:r>
      <w:r w:rsidRPr="0049406A" w:rsidR="000A7CC7">
        <w:t>.</w:t>
      </w:r>
      <w:r>
        <w:rPr>
          <w:rStyle w:val="FootnoteReference"/>
        </w:rPr>
        <w:footnoteReference w:id="500"/>
      </w:r>
    </w:p>
    <w:p w:rsidR="00820E41" w:rsidP="005A4211" w14:paraId="77FF997C" w14:textId="59F65A00">
      <w:pPr>
        <w:pStyle w:val="FERCparanumber"/>
      </w:pPr>
      <w:r>
        <w:t xml:space="preserve">In response to </w:t>
      </w:r>
      <w:r w:rsidR="00407EDD">
        <w:t xml:space="preserve">the reliability concerns </w:t>
      </w:r>
      <w:r w:rsidR="004D0B5D">
        <w:t>raised by ISO-NE and NYISO</w:t>
      </w:r>
      <w:r>
        <w:t xml:space="preserve">, we find that </w:t>
      </w:r>
      <w:r w:rsidR="00E21146">
        <w:t>their stated</w:t>
      </w:r>
      <w:r>
        <w:t xml:space="preserve"> concerns</w:t>
      </w:r>
      <w:r w:rsidR="00E31A0A">
        <w:t xml:space="preserve"> are not </w:t>
      </w:r>
      <w:r>
        <w:t xml:space="preserve">specific to </w:t>
      </w:r>
      <w:r w:rsidR="0084753E">
        <w:t>th</w:t>
      </w:r>
      <w:r w:rsidR="00A41C8D">
        <w:t>e proposal</w:t>
      </w:r>
      <w:r w:rsidR="00572417">
        <w:t xml:space="preserve"> </w:t>
      </w:r>
      <w:r w:rsidR="00680F46">
        <w:t>being</w:t>
      </w:r>
      <w:r w:rsidR="00572417">
        <w:t xml:space="preserve"> adopted in this</w:t>
      </w:r>
      <w:r w:rsidR="00A72875">
        <w:t xml:space="preserve"> </w:t>
      </w:r>
      <w:r w:rsidR="00126E54">
        <w:t>final rule</w:t>
      </w:r>
      <w:r w:rsidRPr="00643D44" w:rsidR="00643D44">
        <w:t>—</w:t>
      </w:r>
      <w:r w:rsidR="004667D7">
        <w:t xml:space="preserve">that is, their </w:t>
      </w:r>
      <w:r w:rsidR="007467CE">
        <w:t xml:space="preserve">arguments </w:t>
      </w:r>
      <w:r w:rsidR="00651301">
        <w:t>are</w:t>
      </w:r>
      <w:r w:rsidR="007467CE">
        <w:t xml:space="preserve"> not </w:t>
      </w:r>
      <w:r w:rsidR="00651301">
        <w:t xml:space="preserve">limited to the provision of reactive power </w:t>
      </w:r>
      <w:r w:rsidR="008121AB">
        <w:t>within the standard power factor range</w:t>
      </w:r>
      <w:r w:rsidRPr="00643D44" w:rsidR="00643D44">
        <w:t>—</w:t>
      </w:r>
      <w:r w:rsidR="00201B62">
        <w:t xml:space="preserve">and </w:t>
      </w:r>
      <w:r w:rsidR="009063CD">
        <w:t xml:space="preserve">as a result, we find their </w:t>
      </w:r>
      <w:r w:rsidR="00A627D9">
        <w:t>concerns unpersuasive</w:t>
      </w:r>
      <w:r w:rsidR="008121AB">
        <w:t xml:space="preserve">. </w:t>
      </w:r>
      <w:r w:rsidR="00A72875">
        <w:t xml:space="preserve"> </w:t>
      </w:r>
      <w:r w:rsidRPr="006443B4" w:rsidR="006443B4">
        <w:t xml:space="preserve">ISO-NE and NYISO allude generally to reliability benefits from reactive power compensation over the full range of a </w:t>
      </w:r>
      <w:r w:rsidR="001B5B60">
        <w:t>generating facility</w:t>
      </w:r>
      <w:r w:rsidRPr="006443B4" w:rsidR="006443B4">
        <w:t xml:space="preserve">’s capability to provide reactive power.  As such, </w:t>
      </w:r>
      <w:r w:rsidR="000E2D61">
        <w:t xml:space="preserve">     </w:t>
      </w:r>
      <w:r w:rsidRPr="006443B4" w:rsidR="006443B4">
        <w:t>ISO-NE</w:t>
      </w:r>
      <w:r w:rsidR="004D1A9F">
        <w:t>’s</w:t>
      </w:r>
      <w:r w:rsidRPr="006443B4" w:rsidR="006443B4">
        <w:t xml:space="preserve"> and NYISO’s comments appear to address the reliability implications of eliminating reactive power compensation entirely</w:t>
      </w:r>
      <w:r w:rsidRPr="00643D44" w:rsidR="00643D44">
        <w:t>—</w:t>
      </w:r>
      <w:r w:rsidRPr="006443B4" w:rsidR="006443B4">
        <w:t>that is, eliminating compensation both within and outside of the standard power factor range</w:t>
      </w:r>
      <w:r w:rsidRPr="00643D44" w:rsidR="00643D44">
        <w:t>—</w:t>
      </w:r>
      <w:r w:rsidRPr="006443B4" w:rsidR="006443B4">
        <w:t xml:space="preserve">rather than the narrower focus of </w:t>
      </w:r>
      <w:r w:rsidR="004D1A9F">
        <w:t xml:space="preserve">this </w:t>
      </w:r>
      <w:r w:rsidR="00126E54">
        <w:t>final rule</w:t>
      </w:r>
      <w:r w:rsidR="00B32678">
        <w:t>, which addresses only</w:t>
      </w:r>
      <w:r w:rsidR="001100D0">
        <w:t xml:space="preserve"> the provision of reactive </w:t>
      </w:r>
      <w:r w:rsidR="00134293">
        <w:t>power within the standard power factor range</w:t>
      </w:r>
      <w:r w:rsidRPr="006443B4" w:rsidR="006443B4">
        <w:t>.</w:t>
      </w:r>
      <w:r w:rsidR="00A72875">
        <w:t xml:space="preserve">  </w:t>
      </w:r>
      <w:r w:rsidR="00C62CCA">
        <w:t>However, a</w:t>
      </w:r>
      <w:r w:rsidR="00F61EC3">
        <w:t xml:space="preserve">s explained </w:t>
      </w:r>
      <w:r w:rsidR="009835DC">
        <w:t>herein</w:t>
      </w:r>
      <w:r w:rsidR="00FF7A46">
        <w:t>,</w:t>
      </w:r>
      <w:r w:rsidR="006F750C">
        <w:t xml:space="preserve"> </w:t>
      </w:r>
      <w:r w:rsidR="00300C17">
        <w:t>the</w:t>
      </w:r>
      <w:r w:rsidR="0019716A">
        <w:t xml:space="preserve"> </w:t>
      </w:r>
      <w:r w:rsidR="008D346D">
        <w:t>long-</w:t>
      </w:r>
      <w:r w:rsidR="00B77698">
        <w:t xml:space="preserve">existing obligation </w:t>
      </w:r>
      <w:r w:rsidR="00300C17">
        <w:t xml:space="preserve">of </w:t>
      </w:r>
      <w:r w:rsidR="0019716A">
        <w:t xml:space="preserve">generating </w:t>
      </w:r>
      <w:r w:rsidR="00300C17">
        <w:t>facilities</w:t>
      </w:r>
      <w:r w:rsidR="00B77698">
        <w:t xml:space="preserve"> to </w:t>
      </w:r>
      <w:r w:rsidR="00451A8D">
        <w:t xml:space="preserve">provide reactive power within the standard power range </w:t>
      </w:r>
      <w:r w:rsidR="00487532">
        <w:t>in order to reliably interconnect to the transmission system</w:t>
      </w:r>
      <w:r w:rsidR="00451A8D">
        <w:t xml:space="preserve"> </w:t>
      </w:r>
      <w:r w:rsidR="0037519D">
        <w:t>remains</w:t>
      </w:r>
      <w:r w:rsidR="00451A8D">
        <w:t xml:space="preserve"> </w:t>
      </w:r>
      <w:r w:rsidR="00EA765E">
        <w:t>unchanged</w:t>
      </w:r>
      <w:r w:rsidR="00227BB9">
        <w:t xml:space="preserve">, </w:t>
      </w:r>
      <w:r w:rsidR="00CF2AEC">
        <w:t xml:space="preserve">as do the rules regarding the provision of reactive power outside the standard power factor range, which </w:t>
      </w:r>
      <w:r w:rsidRPr="005E3814" w:rsidR="00CF2AEC">
        <w:t>is considered a</w:t>
      </w:r>
      <w:r w:rsidR="009E7BBE">
        <w:t xml:space="preserve"> compensable</w:t>
      </w:r>
      <w:r w:rsidRPr="005E3814" w:rsidR="00CF2AEC">
        <w:t xml:space="preserve"> ancillary service for transmitting power across the </w:t>
      </w:r>
      <w:r w:rsidRPr="005E3814" w:rsidR="00CF2AEC">
        <w:t>transmission system to serve load</w:t>
      </w:r>
      <w:r w:rsidR="00CF2AEC">
        <w:t>.</w:t>
      </w:r>
      <w:r>
        <w:rPr>
          <w:rStyle w:val="FootnoteReference"/>
        </w:rPr>
        <w:footnoteReference w:id="501"/>
      </w:r>
      <w:r w:rsidR="00783074">
        <w:t xml:space="preserve">  </w:t>
      </w:r>
      <w:r w:rsidR="0044737C">
        <w:t>W</w:t>
      </w:r>
      <w:r w:rsidR="00783074">
        <w:t xml:space="preserve">e also reject </w:t>
      </w:r>
      <w:r w:rsidR="00C6280F">
        <w:t>arguments</w:t>
      </w:r>
      <w:r w:rsidR="005A4211">
        <w:t xml:space="preserve"> about the provision of reactive power service beyond the requirements of generating facilities’ interconnection agreements,</w:t>
      </w:r>
      <w:r>
        <w:rPr>
          <w:b/>
          <w:bCs/>
          <w:vertAlign w:val="superscript"/>
        </w:rPr>
        <w:footnoteReference w:id="502"/>
      </w:r>
      <w:r w:rsidR="005A4211">
        <w:t xml:space="preserve"> outside of the standard power factor range,</w:t>
      </w:r>
      <w:r>
        <w:rPr>
          <w:b/>
          <w:bCs/>
          <w:vertAlign w:val="superscript"/>
        </w:rPr>
        <w:footnoteReference w:id="503"/>
      </w:r>
      <w:r w:rsidR="005A4211">
        <w:t xml:space="preserve"> and Elevate’s claims about the ESO’s decision to double-compensate reactive power service in the United Kingdom</w:t>
      </w:r>
      <w:r w:rsidR="0044737C">
        <w:t xml:space="preserve"> for similar reasons</w:t>
      </w:r>
      <w:r w:rsidR="005A4211">
        <w:t>.</w:t>
      </w:r>
      <w:r w:rsidR="000D7F01">
        <w:t xml:space="preserve"> </w:t>
      </w:r>
    </w:p>
    <w:p w:rsidR="00EC1CBC" w:rsidP="00EC1CBC" w14:paraId="4631FA6D" w14:textId="40D0AF83">
      <w:pPr>
        <w:pStyle w:val="FERCparanumber"/>
      </w:pPr>
      <w:r>
        <w:t xml:space="preserve">We </w:t>
      </w:r>
      <w:r>
        <w:t>agree with NYISO’s</w:t>
      </w:r>
      <w:r>
        <w:rPr>
          <w:b/>
          <w:vertAlign w:val="superscript"/>
        </w:rPr>
        <w:footnoteReference w:id="504"/>
      </w:r>
      <w:r>
        <w:t xml:space="preserve"> </w:t>
      </w:r>
      <w:r w:rsidR="0037082C">
        <w:t>and oth</w:t>
      </w:r>
      <w:r w:rsidR="00C105D2">
        <w:t>ers</w:t>
      </w:r>
      <w:r w:rsidR="00382511">
        <w:t>’</w:t>
      </w:r>
      <w:r>
        <w:rPr>
          <w:rStyle w:val="FootnoteReference"/>
        </w:rPr>
        <w:footnoteReference w:id="505"/>
      </w:r>
      <w:r>
        <w:t xml:space="preserve"> statements about the importance of reactive power</w:t>
      </w:r>
      <w:r w:rsidR="00631F8F">
        <w:t xml:space="preserve"> to reliability</w:t>
      </w:r>
      <w:r w:rsidR="00613246">
        <w:t xml:space="preserve">, </w:t>
      </w:r>
      <w:r w:rsidR="00665A4A">
        <w:t xml:space="preserve">including </w:t>
      </w:r>
      <w:r w:rsidR="00E463A9">
        <w:t xml:space="preserve">statements </w:t>
      </w:r>
      <w:r w:rsidR="00631F8F">
        <w:t>of</w:t>
      </w:r>
      <w:r w:rsidR="00665A4A">
        <w:t xml:space="preserve"> dynamic</w:t>
      </w:r>
      <w:r w:rsidR="00613246">
        <w:t xml:space="preserve"> </w:t>
      </w:r>
      <w:r w:rsidR="00F53061">
        <w:t>reactive power sources,</w:t>
      </w:r>
      <w:r>
        <w:rPr>
          <w:b/>
          <w:bCs/>
          <w:vertAlign w:val="superscript"/>
        </w:rPr>
        <w:footnoteReference w:id="506"/>
      </w:r>
      <w:r>
        <w:t xml:space="preserve"> but </w:t>
      </w:r>
      <w:r w:rsidR="003151A1">
        <w:t xml:space="preserve">we </w:t>
      </w:r>
      <w:r>
        <w:t xml:space="preserve">note that such statements are equally true with or without reactive power compensation within the standard power factor range.  </w:t>
      </w:r>
      <w:r w:rsidR="00CC2395">
        <w:t>O</w:t>
      </w:r>
      <w:r w:rsidR="007C3C14">
        <w:t xml:space="preserve">nce again, </w:t>
      </w:r>
      <w:r w:rsidRPr="00774670" w:rsidR="002E60B3">
        <w:t xml:space="preserve">requiring transmission </w:t>
      </w:r>
      <w:r w:rsidR="002E60B3">
        <w:t>customers</w:t>
      </w:r>
      <w:r w:rsidRPr="00774670" w:rsidR="002E60B3">
        <w:t xml:space="preserve"> to continue paying for reactive power </w:t>
      </w:r>
      <w:r w:rsidR="008A6AF2">
        <w:t xml:space="preserve">within the standard power factor range </w:t>
      </w:r>
      <w:r w:rsidRPr="00774670" w:rsidR="002E60B3">
        <w:t>already required by a generating facility’s interconnection agreement is not necessary to ensure</w:t>
      </w:r>
      <w:r w:rsidR="002E60B3">
        <w:t xml:space="preserve"> that </w:t>
      </w:r>
      <w:r w:rsidRPr="00774670" w:rsidR="002E60B3">
        <w:t>generating facilities provide reactive power when required</w:t>
      </w:r>
      <w:r w:rsidR="002E60B3">
        <w:t xml:space="preserve">, as </w:t>
      </w:r>
      <w:r w:rsidRPr="00C44256" w:rsidR="002E60B3">
        <w:t xml:space="preserve">new and existing generating facilities </w:t>
      </w:r>
      <w:r w:rsidR="002E60B3">
        <w:t>are, and will continue to be,</w:t>
      </w:r>
      <w:r w:rsidRPr="00C44256" w:rsidR="002E60B3">
        <w:t xml:space="preserve"> required to provide </w:t>
      </w:r>
      <w:r w:rsidRPr="00C44256" w:rsidR="002E60B3">
        <w:t>reactive power within the standard power factor range as a condition of obtaining and maintaining interconnection</w:t>
      </w:r>
      <w:r w:rsidR="0064703F">
        <w:t>.</w:t>
      </w:r>
      <w:r>
        <w:rPr>
          <w:rStyle w:val="FootnoteReference"/>
        </w:rPr>
        <w:footnoteReference w:id="507"/>
      </w:r>
    </w:p>
    <w:p w:rsidR="00065AE7" w:rsidRPr="00417F30" w:rsidP="00A21ABD" w14:paraId="215056CE" w14:textId="20EA0F7B">
      <w:pPr>
        <w:pStyle w:val="FERCparanumber"/>
      </w:pPr>
      <w:r>
        <w:t>In response to</w:t>
      </w:r>
      <w:r w:rsidRPr="00C02CBA">
        <w:t xml:space="preserve"> NEI</w:t>
      </w:r>
      <w:r>
        <w:t xml:space="preserve">’s statements about </w:t>
      </w:r>
      <w:r w:rsidRPr="00C02CBA">
        <w:t>the importance of reactive power</w:t>
      </w:r>
      <w:r w:rsidR="00C02CBA">
        <w:t xml:space="preserve"> in</w:t>
      </w:r>
      <w:r w:rsidRPr="00C02CBA">
        <w:t xml:space="preserve"> the 200</w:t>
      </w:r>
      <w:r w:rsidR="007C3764">
        <w:t>5 Staff Report</w:t>
      </w:r>
      <w:r w:rsidRPr="00C02CBA">
        <w:t>,</w:t>
      </w:r>
      <w:r>
        <w:rPr>
          <w:b/>
          <w:bCs/>
          <w:vertAlign w:val="superscript"/>
        </w:rPr>
        <w:footnoteReference w:id="508"/>
      </w:r>
      <w:r w:rsidRPr="00C02CBA">
        <w:t xml:space="preserve"> and NER</w:t>
      </w:r>
      <w:r w:rsidRPr="00417F30">
        <w:t xml:space="preserve">C’s </w:t>
      </w:r>
      <w:r w:rsidRPr="00417F30" w:rsidR="00A151A9">
        <w:t xml:space="preserve">Essential Reliability Services Task Force Measures Framework </w:t>
      </w:r>
      <w:r w:rsidRPr="00417F30" w:rsidR="00B576D7">
        <w:t>r</w:t>
      </w:r>
      <w:r w:rsidRPr="00417F30" w:rsidR="00A151A9">
        <w:t>eport</w:t>
      </w:r>
      <w:r w:rsidRPr="00417F30" w:rsidR="001944EA">
        <w:t>,</w:t>
      </w:r>
      <w:r>
        <w:rPr>
          <w:b/>
          <w:bCs/>
          <w:vertAlign w:val="superscript"/>
        </w:rPr>
        <w:footnoteReference w:id="509"/>
      </w:r>
      <w:r w:rsidRPr="00417F30">
        <w:t xml:space="preserve"> </w:t>
      </w:r>
      <w:r w:rsidRPr="00417F30" w:rsidR="00D24568">
        <w:t xml:space="preserve">we note that </w:t>
      </w:r>
      <w:r w:rsidRPr="00417F30" w:rsidR="00D834C9">
        <w:t xml:space="preserve">the </w:t>
      </w:r>
      <w:r w:rsidRPr="00417F30" w:rsidR="000644E9">
        <w:t xml:space="preserve">2005 Staff Report also explains </w:t>
      </w:r>
      <w:r w:rsidRPr="00417F30" w:rsidR="00D834C9">
        <w:t>that “[i]nvestment that results in reactive power capability by generation facilities is driven by interconnection requirements, historical inertia and potential cost recovery for capacity.  There is little interaction between the actual system need or value of reactive power capability and its supply by independent generation resources.”</w:t>
      </w:r>
      <w:r>
        <w:rPr>
          <w:b/>
          <w:vertAlign w:val="superscript"/>
        </w:rPr>
        <w:footnoteReference w:id="510"/>
      </w:r>
      <w:r w:rsidRPr="00417F30" w:rsidR="00D834C9">
        <w:t xml:space="preserve">  Additionally, </w:t>
      </w:r>
      <w:r w:rsidR="000973C8">
        <w:t xml:space="preserve">to support </w:t>
      </w:r>
      <w:r w:rsidR="001510A7">
        <w:t>our finding here, we</w:t>
      </w:r>
      <w:r w:rsidRPr="00417F30" w:rsidR="00D834C9">
        <w:t xml:space="preserve"> </w:t>
      </w:r>
      <w:r w:rsidR="001510A7">
        <w:t>are relying</w:t>
      </w:r>
      <w:r w:rsidRPr="00417F30" w:rsidR="00D834C9">
        <w:t xml:space="preserve"> on more recent evidence</w:t>
      </w:r>
      <w:r w:rsidR="004D220D">
        <w:t xml:space="preserve">, which indicates that </w:t>
      </w:r>
      <w:r w:rsidR="004D700D">
        <w:t xml:space="preserve">RTOs/ISOs </w:t>
      </w:r>
      <w:r w:rsidR="001B00B9">
        <w:t>and non-RTO regions</w:t>
      </w:r>
      <w:r w:rsidR="004D700D">
        <w:t xml:space="preserve"> that </w:t>
      </w:r>
      <w:r w:rsidR="00267E84">
        <w:t>have</w:t>
      </w:r>
      <w:r w:rsidR="004D700D">
        <w:t xml:space="preserve"> </w:t>
      </w:r>
      <w:r w:rsidRPr="00417F30" w:rsidR="00C3193E">
        <w:t>eliminated compensation for reactive power capability within the standard power factor range</w:t>
      </w:r>
      <w:r w:rsidR="004D700D">
        <w:t xml:space="preserve"> </w:t>
      </w:r>
      <w:r w:rsidR="00267E84">
        <w:t xml:space="preserve">are not experiencing </w:t>
      </w:r>
      <w:r w:rsidR="002C2672">
        <w:t xml:space="preserve">any adverse reliability impacts due to </w:t>
      </w:r>
      <w:r w:rsidR="00846D26">
        <w:t>absence of reactive power</w:t>
      </w:r>
      <w:r w:rsidR="002C2672">
        <w:t xml:space="preserve"> compensation </w:t>
      </w:r>
      <w:r w:rsidR="00846D26">
        <w:t>with</w:t>
      </w:r>
      <w:r w:rsidR="00F53BD5">
        <w:t>in</w:t>
      </w:r>
      <w:r w:rsidR="00846D26">
        <w:t xml:space="preserve"> the standard power factor range</w:t>
      </w:r>
      <w:r w:rsidRPr="00417F30" w:rsidR="00D834C9">
        <w:t>.</w:t>
      </w:r>
      <w:r>
        <w:rPr>
          <w:rStyle w:val="FootnoteReference"/>
        </w:rPr>
        <w:footnoteReference w:id="511"/>
      </w:r>
    </w:p>
    <w:p w:rsidR="00EF4F1B" w:rsidRPr="00C06B6B" w:rsidP="00C43A33" w14:paraId="4154F941" w14:textId="6A6A68F9">
      <w:pPr>
        <w:pStyle w:val="Heading2"/>
        <w:rPr>
          <w:u w:val="single"/>
        </w:rPr>
      </w:pPr>
      <w:bookmarkStart w:id="57" w:name="_bmk17"/>
      <w:bookmarkStart w:id="58" w:name="_Toc175819945"/>
      <w:r w:rsidRPr="00C06B6B">
        <w:rPr>
          <w:u w:val="single"/>
        </w:rPr>
        <w:t>I</w:t>
      </w:r>
      <w:bookmarkEnd w:id="57"/>
      <w:r w:rsidRPr="00C06B6B">
        <w:rPr>
          <w:u w:val="single"/>
        </w:rPr>
        <w:t>nvestment</w:t>
      </w:r>
      <w:bookmarkEnd w:id="58"/>
    </w:p>
    <w:p w:rsidR="00EE13F1" w:rsidRPr="00EE13F1" w14:paraId="0B84512A" w14:textId="66BA5361">
      <w:pPr>
        <w:pStyle w:val="FERCparanumber"/>
      </w:pPr>
      <w:r>
        <w:t xml:space="preserve">The NOPR sought </w:t>
      </w:r>
      <w:r w:rsidRPr="002E200E">
        <w:t>comment on whether, and if so how</w:t>
      </w:r>
      <w:r w:rsidRPr="00CC6424" w:rsidR="00F15EA3">
        <w:t>,</w:t>
      </w:r>
      <w:r w:rsidRPr="002E200E">
        <w:t xml:space="preserve"> eliminating separate reactive power compensation within the standard power factor range may affect investment decisions to build, or finish building, generat</w:t>
      </w:r>
      <w:r w:rsidR="00791594">
        <w:t>ing</w:t>
      </w:r>
      <w:r w:rsidRPr="002E200E">
        <w:t xml:space="preserve"> facilities, and whether, and if so</w:t>
      </w:r>
      <w:r w:rsidR="00791594">
        <w:t>,</w:t>
      </w:r>
      <w:r w:rsidRPr="002E200E">
        <w:t xml:space="preserve"> how the elimination could otherwise affect generat</w:t>
      </w:r>
      <w:r w:rsidR="00E66B70">
        <w:t>ing facilitie</w:t>
      </w:r>
      <w:r w:rsidRPr="002E200E">
        <w:t>s’ business decisions in those markets.</w:t>
      </w:r>
      <w:r>
        <w:rPr>
          <w:rStyle w:val="FootnoteReference"/>
        </w:rPr>
        <w:footnoteReference w:id="512"/>
      </w:r>
      <w:r w:rsidR="00F64401">
        <w:t xml:space="preserve">  </w:t>
      </w:r>
      <w:r w:rsidR="00C11C99">
        <w:t>T</w:t>
      </w:r>
      <w:r w:rsidR="00D354BE">
        <w:t>he NOPR also note</w:t>
      </w:r>
      <w:r w:rsidR="00C11C99">
        <w:t>d</w:t>
      </w:r>
      <w:r w:rsidR="00D354BE">
        <w:t xml:space="preserve"> that i</w:t>
      </w:r>
      <w:r>
        <w:t xml:space="preserve">n </w:t>
      </w:r>
      <w:r w:rsidRPr="00F64401">
        <w:rPr>
          <w:i/>
          <w:iCs/>
        </w:rPr>
        <w:t>MISO</w:t>
      </w:r>
      <w:r>
        <w:t>, t</w:t>
      </w:r>
      <w:r w:rsidRPr="00EE13F1">
        <w:t>he Commission rejected any reliance arguments, reasoning in part that the provision of reactive power within the standard power factor range required little or no incremental investment.</w:t>
      </w:r>
      <w:r>
        <w:rPr>
          <w:b/>
          <w:vertAlign w:val="superscript"/>
        </w:rPr>
        <w:footnoteReference w:id="513"/>
      </w:r>
    </w:p>
    <w:p w:rsidR="00A320CE" w:rsidRPr="00C06B6B" w:rsidP="00C43A33" w14:paraId="241E8BE7" w14:textId="774E6D1F">
      <w:pPr>
        <w:pStyle w:val="Heading3"/>
        <w:rPr>
          <w:u w:val="single"/>
        </w:rPr>
      </w:pPr>
      <w:bookmarkStart w:id="59" w:name="_bmk18"/>
      <w:bookmarkStart w:id="60" w:name="_Toc175819946"/>
      <w:bookmarkStart w:id="61" w:name="_Toc176778673"/>
      <w:r w:rsidRPr="00C06B6B">
        <w:rPr>
          <w:u w:val="single"/>
        </w:rPr>
        <w:t>C</w:t>
      </w:r>
      <w:bookmarkEnd w:id="59"/>
      <w:r w:rsidRPr="00C06B6B">
        <w:rPr>
          <w:u w:val="single"/>
        </w:rPr>
        <w:t>omment</w:t>
      </w:r>
      <w:r w:rsidRPr="00C06B6B" w:rsidR="00883A64">
        <w:rPr>
          <w:u w:val="single"/>
        </w:rPr>
        <w:t>s</w:t>
      </w:r>
      <w:bookmarkEnd w:id="60"/>
      <w:bookmarkEnd w:id="61"/>
    </w:p>
    <w:p w:rsidR="001455B7" w:rsidP="001455B7" w14:paraId="61BAB233" w14:textId="39178343">
      <w:pPr>
        <w:pStyle w:val="FERCparanumber"/>
      </w:pPr>
      <w:r>
        <w:t xml:space="preserve">PGE </w:t>
      </w:r>
      <w:r w:rsidR="008D68D9">
        <w:t>argues</w:t>
      </w:r>
      <w:r>
        <w:t xml:space="preserve"> that the NOPR proposal would not have a measurable impact on investment decisions.</w:t>
      </w:r>
      <w:r>
        <w:rPr>
          <w:rStyle w:val="FootnoteReference"/>
        </w:rPr>
        <w:footnoteReference w:id="514"/>
      </w:r>
      <w:r>
        <w:t xml:space="preserve">  </w:t>
      </w:r>
      <w:r w:rsidRPr="002F0541">
        <w:t xml:space="preserve">MISO Transmission Owners </w:t>
      </w:r>
      <w:r w:rsidR="007726E2">
        <w:t xml:space="preserve">also </w:t>
      </w:r>
      <w:r w:rsidRPr="002F0541">
        <w:t>reject the claim that the proposed rule will disincentivize investment in new generating and storage resources.</w:t>
      </w:r>
      <w:r>
        <w:rPr>
          <w:rStyle w:val="FootnoteReference"/>
        </w:rPr>
        <w:footnoteReference w:id="515"/>
      </w:r>
    </w:p>
    <w:p w:rsidR="003C0B59" w:rsidRPr="00504C1D" w:rsidP="00FC5D47" w14:paraId="57154B67" w14:textId="12B29025">
      <w:pPr>
        <w:pStyle w:val="FERCparanumber"/>
        <w:rPr>
          <w:rStyle w:val="FootnoteReference"/>
          <w:b w:val="0"/>
          <w:vertAlign w:val="baseline"/>
        </w:rPr>
      </w:pPr>
      <w:r>
        <w:t>However, s</w:t>
      </w:r>
      <w:r w:rsidR="00C1038B">
        <w:t xml:space="preserve">everal commenters claim that ending compensation for reactive power </w:t>
      </w:r>
      <w:r w:rsidRPr="00220B33" w:rsidR="00C1038B">
        <w:t>service</w:t>
      </w:r>
      <w:r w:rsidR="00C1038B">
        <w:t xml:space="preserve"> in the standard power factor range would </w:t>
      </w:r>
      <w:r w:rsidR="00731F20">
        <w:t xml:space="preserve">have a negative impact on investment.  </w:t>
      </w:r>
      <w:r w:rsidR="005A007B">
        <w:t xml:space="preserve">Many </w:t>
      </w:r>
      <w:r w:rsidR="00BA33E6">
        <w:t xml:space="preserve">commenters </w:t>
      </w:r>
      <w:r w:rsidR="00FF3B99">
        <w:t xml:space="preserve">claim that such an action would </w:t>
      </w:r>
      <w:r w:rsidRPr="006E16E9" w:rsidR="00FF3B99">
        <w:t>be disruptive to generators</w:t>
      </w:r>
      <w:r w:rsidR="00DC1859">
        <w:t xml:space="preserve"> and/or </w:t>
      </w:r>
      <w:r w:rsidR="00D75643">
        <w:t xml:space="preserve">their investors, </w:t>
      </w:r>
      <w:r w:rsidRPr="006E16E9" w:rsidR="00FF3B99">
        <w:t>who include forecasts of such compensation as the basis for financing arrangements.</w:t>
      </w:r>
      <w:r>
        <w:rPr>
          <w:rStyle w:val="FootnoteReference"/>
        </w:rPr>
        <w:footnoteReference w:id="516"/>
      </w:r>
    </w:p>
    <w:p w:rsidR="00296A1F" w:rsidP="00296A1F" w14:paraId="0A4C71BA" w14:textId="77777777">
      <w:pPr>
        <w:pStyle w:val="FERCparanumber"/>
      </w:pPr>
      <w:r>
        <w:t xml:space="preserve">The PJM IMM </w:t>
      </w:r>
      <w:r w:rsidR="00C47784">
        <w:t>maintains</w:t>
      </w:r>
      <w:r>
        <w:t xml:space="preserve"> that</w:t>
      </w:r>
      <w:r>
        <w:t>:</w:t>
      </w:r>
      <w:r>
        <w:t xml:space="preserve"> </w:t>
      </w:r>
    </w:p>
    <w:p w:rsidR="006060AA" w:rsidRPr="00973A8B" w:rsidP="00AA796A" w14:paraId="4D8B9E3A" w14:textId="6C2CE1B5">
      <w:pPr>
        <w:pStyle w:val="FERCparanumber"/>
        <w:numPr>
          <w:ilvl w:val="0"/>
          <w:numId w:val="0"/>
        </w:numPr>
        <w:spacing w:line="240" w:lineRule="auto"/>
        <w:ind w:left="1440" w:right="1440"/>
      </w:pPr>
      <w:r>
        <w:t>T</w:t>
      </w:r>
      <w:r w:rsidRPr="00F26E70" w:rsidR="003C0B59">
        <w:t xml:space="preserve">here is no evidence that units are built as a result of reactive </w:t>
      </w:r>
      <w:r w:rsidR="00324CE8">
        <w:t>[</w:t>
      </w:r>
      <w:r w:rsidR="00802D85">
        <w:t>power</w:t>
      </w:r>
      <w:r w:rsidR="00324CE8">
        <w:t>]</w:t>
      </w:r>
      <w:r w:rsidR="00802D85">
        <w:t xml:space="preserve"> </w:t>
      </w:r>
      <w:r w:rsidRPr="00F26E70" w:rsidR="003C0B59">
        <w:t xml:space="preserve">revenue.  There is no evidence that sources of revenue are not fungible and that a decrease in reactive </w:t>
      </w:r>
      <w:r w:rsidR="00324CE8">
        <w:t>[</w:t>
      </w:r>
      <w:r w:rsidR="000C148B">
        <w:t>power</w:t>
      </w:r>
      <w:r w:rsidR="00324CE8">
        <w:t>]</w:t>
      </w:r>
      <w:r w:rsidR="000C148B">
        <w:t xml:space="preserve"> </w:t>
      </w:r>
      <w:r w:rsidRPr="00F26E70" w:rsidR="003C0B59">
        <w:t xml:space="preserve">revenues could be not replaced with other sources of revenue. </w:t>
      </w:r>
      <w:r w:rsidR="003C0B59">
        <w:t xml:space="preserve"> </w:t>
      </w:r>
      <w:r w:rsidRPr="00F26E70" w:rsidR="003C0B59">
        <w:t>There is no basis for adding new resources to the already very crowded interconnection queue solely based on out of market</w:t>
      </w:r>
      <w:r w:rsidRPr="00E87D43" w:rsidR="003C0B59">
        <w:t xml:space="preserve"> subsidies from reactive revenues</w:t>
      </w:r>
      <w:r w:rsidR="003C0B59">
        <w:t>.</w:t>
      </w:r>
      <w:r>
        <w:rPr>
          <w:rStyle w:val="FootnoteReference"/>
        </w:rPr>
        <w:footnoteReference w:id="517"/>
      </w:r>
    </w:p>
    <w:p w:rsidR="005F01B5" w:rsidRPr="00973A8B" w:rsidP="00C06B6B" w14:paraId="72D56E28" w14:textId="77777777">
      <w:pPr>
        <w:pStyle w:val="FERCparanumber"/>
        <w:numPr>
          <w:ilvl w:val="0"/>
          <w:numId w:val="0"/>
        </w:numPr>
        <w:spacing w:line="240" w:lineRule="auto"/>
        <w:ind w:left="1440" w:right="1440"/>
      </w:pPr>
    </w:p>
    <w:p w:rsidR="003C0B59" w:rsidP="003C0B59" w14:paraId="7A2C3412" w14:textId="715A7EAF">
      <w:pPr>
        <w:pStyle w:val="FERCparanumber"/>
      </w:pPr>
      <w:r>
        <w:t>Similarly, PGE</w:t>
      </w:r>
      <w:r w:rsidRPr="002F0541">
        <w:t xml:space="preserve"> note</w:t>
      </w:r>
      <w:r>
        <w:t>s</w:t>
      </w:r>
      <w:r w:rsidRPr="002F0541">
        <w:t xml:space="preserve"> that transmission providers that have eliminated reactive power compensation have not observed a decrease in proposed investment.</w:t>
      </w:r>
      <w:r>
        <w:rPr>
          <w:b/>
          <w:bCs/>
          <w:vertAlign w:val="superscript"/>
        </w:rPr>
        <w:footnoteReference w:id="518"/>
      </w:r>
      <w:r w:rsidR="00FF3B99">
        <w:t xml:space="preserve"> </w:t>
      </w:r>
      <w:r w:rsidR="00E4662C">
        <w:t xml:space="preserve"> </w:t>
      </w:r>
      <w:r>
        <w:t xml:space="preserve">MISO Transmission Owners assert that Indicated Trade Associations’ claim that </w:t>
      </w:r>
      <w:r w:rsidRPr="003612EF">
        <w:t>reactive power revenue streams can make</w:t>
      </w:r>
      <w:r w:rsidRPr="002F0541">
        <w:t xml:space="preserve"> the </w:t>
      </w:r>
      <w:r w:rsidRPr="003612EF">
        <w:t>difference</w:t>
      </w:r>
      <w:r>
        <w:t xml:space="preserve"> in overall profitability is unsupported by evidence.</w:t>
      </w:r>
      <w:r>
        <w:rPr>
          <w:rStyle w:val="FootnoteReference"/>
        </w:rPr>
        <w:footnoteReference w:id="519"/>
      </w:r>
      <w:r>
        <w:t xml:space="preserve">  </w:t>
      </w:r>
      <w:r w:rsidRPr="002F0541">
        <w:t xml:space="preserve">Moreover, </w:t>
      </w:r>
      <w:r>
        <w:t>MISO Transmission Owners</w:t>
      </w:r>
      <w:r w:rsidRPr="002F0541">
        <w:t xml:space="preserve"> argue that investors could not reasonably have relied on reactive power compensation within the </w:t>
      </w:r>
      <w:r>
        <w:t>standard power factor range</w:t>
      </w:r>
      <w:r w:rsidRPr="002F0541">
        <w:t xml:space="preserve"> in perpetuity and should have considered the risk of its elimination when making investment decisions.</w:t>
      </w:r>
      <w:r>
        <w:rPr>
          <w:b/>
          <w:bCs/>
          <w:vertAlign w:val="superscript"/>
        </w:rPr>
        <w:footnoteReference w:id="520"/>
      </w:r>
      <w:r w:rsidR="00043DA4">
        <w:t xml:space="preserve">  Similarly, Joint Customers explain that t</w:t>
      </w:r>
      <w:r w:rsidRPr="00043DA4" w:rsidR="00043DA4">
        <w:t>o the extent that generators voluntarily and unilaterally installed greater reactive capability than that required by their respective interconnection agreements, they did so at their own risk and for their own strategies, none of which mean that they should continue to be compensated for costs that they did not have to incur and which do not benefit transmission customers</w:t>
      </w:r>
      <w:r w:rsidR="00BC740F">
        <w:t>.</w:t>
      </w:r>
      <w:r>
        <w:rPr>
          <w:rStyle w:val="FootnoteReference"/>
        </w:rPr>
        <w:footnoteReference w:id="521"/>
      </w:r>
    </w:p>
    <w:p w:rsidR="00C97121" w:rsidP="00FC5D47" w14:paraId="1FF959D1" w14:textId="5CC41FD1">
      <w:pPr>
        <w:pStyle w:val="FERCparanumber"/>
      </w:pPr>
      <w:r>
        <w:t>NEI</w:t>
      </w:r>
      <w:r w:rsidR="00B275AC">
        <w:t>, Calpin</w:t>
      </w:r>
      <w:r w:rsidR="009E3220">
        <w:t>e</w:t>
      </w:r>
      <w:r w:rsidR="008F5D27">
        <w:t>, Indicated Reactive Power S</w:t>
      </w:r>
      <w:r w:rsidR="001B5DC6">
        <w:t xml:space="preserve">uppliers, and Generation Developers argue that </w:t>
      </w:r>
      <w:r w:rsidR="00FF65DB">
        <w:t xml:space="preserve">they relied on </w:t>
      </w:r>
      <w:r w:rsidR="00281FA7">
        <w:t xml:space="preserve">the Commission’s longstanding </w:t>
      </w:r>
      <w:r w:rsidR="00E64F15">
        <w:t>precedent and</w:t>
      </w:r>
      <w:r w:rsidR="00687453">
        <w:t xml:space="preserve"> </w:t>
      </w:r>
      <w:r w:rsidR="00E64F15">
        <w:t xml:space="preserve">policy of allowing </w:t>
      </w:r>
      <w:r w:rsidR="00061932">
        <w:t>compensation for</w:t>
      </w:r>
      <w:r w:rsidR="00D47D22">
        <w:t xml:space="preserve"> reactive power within the standard power factor range </w:t>
      </w:r>
      <w:r w:rsidR="00E76FA0">
        <w:t>in making their investment decision</w:t>
      </w:r>
      <w:r w:rsidR="004041D8">
        <w:t xml:space="preserve">s and suggest that the </w:t>
      </w:r>
      <w:r w:rsidR="00126E54">
        <w:t>final rule</w:t>
      </w:r>
      <w:r w:rsidR="004041D8">
        <w:t xml:space="preserve"> would be highly </w:t>
      </w:r>
      <w:r w:rsidR="007B458A">
        <w:t>disruptive</w:t>
      </w:r>
      <w:r w:rsidR="004041D8">
        <w:t xml:space="preserve"> to market participants.</w:t>
      </w:r>
      <w:r>
        <w:rPr>
          <w:rStyle w:val="FootnoteReference"/>
        </w:rPr>
        <w:footnoteReference w:id="522"/>
      </w:r>
      <w:r w:rsidR="008934DF">
        <w:t xml:space="preserve">  </w:t>
      </w:r>
      <w:r w:rsidR="00A6442E">
        <w:t>PSEG</w:t>
      </w:r>
      <w:r w:rsidR="008934DF">
        <w:t xml:space="preserve"> asserts that </w:t>
      </w:r>
      <w:r w:rsidR="00887D4E">
        <w:t xml:space="preserve">the </w:t>
      </w:r>
      <w:r w:rsidR="00126E54">
        <w:t>final rule</w:t>
      </w:r>
      <w:r w:rsidR="00887D4E">
        <w:t xml:space="preserve"> represents a significant depart</w:t>
      </w:r>
      <w:r w:rsidR="007F26AB">
        <w:t>ure from existing Commission policy without an adequate explanation.</w:t>
      </w:r>
      <w:r>
        <w:rPr>
          <w:rStyle w:val="FootnoteReference"/>
        </w:rPr>
        <w:footnoteReference w:id="523"/>
      </w:r>
    </w:p>
    <w:p w:rsidR="005B1DC2" w:rsidP="00B83ECF" w14:paraId="15872318" w14:textId="4D3D26EE">
      <w:pPr>
        <w:pStyle w:val="FERCparanumber"/>
      </w:pPr>
      <w:r>
        <w:t>ACORE and Indicated</w:t>
      </w:r>
      <w:r w:rsidR="00261FCB">
        <w:t xml:space="preserve"> Reactive Power Suppliers highlight the costs and potential challenges of </w:t>
      </w:r>
      <w:r w:rsidR="008661D3">
        <w:t xml:space="preserve">generators with </w:t>
      </w:r>
      <w:r w:rsidR="006D3DC5">
        <w:t>PPAs</w:t>
      </w:r>
      <w:r w:rsidR="008661D3">
        <w:t xml:space="preserve"> who may be unable to renegotiate those agreements to include costs related to reactive power service</w:t>
      </w:r>
      <w:r>
        <w:t>.</w:t>
      </w:r>
      <w:r>
        <w:rPr>
          <w:rStyle w:val="FootnoteReference"/>
        </w:rPr>
        <w:footnoteReference w:id="524"/>
      </w:r>
      <w:r w:rsidR="00261FCB">
        <w:t xml:space="preserve">  </w:t>
      </w:r>
      <w:r w:rsidRPr="006E16E9" w:rsidR="00FF3B99">
        <w:t>ACORE</w:t>
      </w:r>
      <w:r w:rsidR="00E9607B">
        <w:t xml:space="preserve"> and Calpine argue that </w:t>
      </w:r>
      <w:r w:rsidR="002520F6">
        <w:t xml:space="preserve">the NOPR proposal would impede project development </w:t>
      </w:r>
      <w:r w:rsidR="00C0396C">
        <w:t>during a period of greater need for generation resources.</w:t>
      </w:r>
      <w:r>
        <w:rPr>
          <w:rStyle w:val="FootnoteReference"/>
        </w:rPr>
        <w:footnoteReference w:id="525"/>
      </w:r>
      <w:r w:rsidR="00C0396C">
        <w:t xml:space="preserve">  </w:t>
      </w:r>
      <w:r w:rsidRPr="002F36CE" w:rsidR="00C0396C">
        <w:t>Indicated Reactive Power Suppliers state</w:t>
      </w:r>
      <w:r w:rsidR="00C0396C">
        <w:t>s</w:t>
      </w:r>
      <w:r w:rsidRPr="002F36CE" w:rsidR="00C0396C">
        <w:t xml:space="preserve"> that </w:t>
      </w:r>
      <w:r w:rsidR="00BC2AEF">
        <w:t xml:space="preserve">the loss of </w:t>
      </w:r>
      <w:r w:rsidRPr="002F36CE" w:rsidR="00C0396C">
        <w:t xml:space="preserve">reactive power compensation could lead to generators not developing other projects </w:t>
      </w:r>
      <w:r w:rsidR="00412C1C">
        <w:t xml:space="preserve">because the </w:t>
      </w:r>
      <w:r w:rsidR="00A62426">
        <w:t xml:space="preserve">revenue </w:t>
      </w:r>
      <w:r w:rsidRPr="002F36CE" w:rsidR="00C0396C">
        <w:t>loss impacts these projects’ ability to leverage finite capital based on this cash flow reduction.</w:t>
      </w:r>
      <w:r>
        <w:rPr>
          <w:rStyle w:val="FootnoteReference"/>
        </w:rPr>
        <w:footnoteReference w:id="526"/>
      </w:r>
      <w:r w:rsidR="00B53950">
        <w:t xml:space="preserve">  </w:t>
      </w:r>
      <w:r w:rsidRPr="003033D4">
        <w:t xml:space="preserve">Middle River Power </w:t>
      </w:r>
      <w:r w:rsidR="00B53950">
        <w:t xml:space="preserve">also </w:t>
      </w:r>
      <w:r w:rsidRPr="003033D4">
        <w:t xml:space="preserve">claims that </w:t>
      </w:r>
      <w:r w:rsidR="00B53950">
        <w:t xml:space="preserve">the NOPR proposal </w:t>
      </w:r>
      <w:r w:rsidRPr="003033D4">
        <w:t xml:space="preserve">may prompt investors to question the reliability and stability of other </w:t>
      </w:r>
      <w:r w:rsidR="00D46449">
        <w:t>Commission</w:t>
      </w:r>
      <w:r w:rsidRPr="003033D4">
        <w:t>-approved rates and markets.</w:t>
      </w:r>
      <w:r>
        <w:rPr>
          <w:b/>
          <w:vertAlign w:val="superscript"/>
        </w:rPr>
        <w:footnoteReference w:id="527"/>
      </w:r>
      <w:r w:rsidR="00B83ECF">
        <w:t xml:space="preserve">  </w:t>
      </w:r>
      <w:r w:rsidRPr="003612EF" w:rsidR="00B83ECF">
        <w:t xml:space="preserve">Indicated Trade Associations argue that, given the narrow </w:t>
      </w:r>
      <w:r w:rsidRPr="003612EF" w:rsidR="00B83ECF">
        <w:t>margins for competitive generators, small reactive power revenue streams can make the difference between whether a generator will be profitable over its life or not.</w:t>
      </w:r>
      <w:r>
        <w:rPr>
          <w:b/>
          <w:bCs/>
          <w:vertAlign w:val="superscript"/>
        </w:rPr>
        <w:footnoteReference w:id="528"/>
      </w:r>
    </w:p>
    <w:p w:rsidR="00CA6B93" w:rsidP="00B83ECF" w14:paraId="52936619" w14:textId="06BEAE02">
      <w:pPr>
        <w:pStyle w:val="FERCparanumber"/>
      </w:pPr>
      <w:r w:rsidRPr="00CA6B93">
        <w:t xml:space="preserve">Clean Energy Associations argue that the proposal is also disruptive to a host of interconnection customers with operating or near-completed projects and extant </w:t>
      </w:r>
      <w:r w:rsidR="006D3DC5">
        <w:t>PPAs</w:t>
      </w:r>
      <w:r w:rsidRPr="00CA6B93">
        <w:t>.</w:t>
      </w:r>
      <w:r>
        <w:rPr>
          <w:b/>
          <w:bCs/>
          <w:vertAlign w:val="superscript"/>
        </w:rPr>
        <w:footnoteReference w:id="529"/>
      </w:r>
      <w:r w:rsidRPr="00CA6B93">
        <w:t xml:space="preserve"> </w:t>
      </w:r>
      <w:r>
        <w:t xml:space="preserve"> </w:t>
      </w:r>
      <w:r w:rsidRPr="00CA6B93">
        <w:t>Clean Energy Associations also argues that the NOPR fails to consider IPP projects located in PJM with reactive power rates that are the result of Commission-approved settlements</w:t>
      </w:r>
      <w:r w:rsidRPr="00CA6B93" w:rsidR="00C573E6">
        <w:t xml:space="preserve">.  </w:t>
      </w:r>
      <w:r w:rsidRPr="00CA6B93">
        <w:t>Clean Energy Associations also argues that the Commission has not adequate</w:t>
      </w:r>
      <w:r w:rsidR="00175AAF">
        <w:t>ly</w:t>
      </w:r>
      <w:r w:rsidRPr="00CA6B93">
        <w:t xml:space="preserve"> consider</w:t>
      </w:r>
      <w:r w:rsidR="00175AAF">
        <w:t>ed</w:t>
      </w:r>
      <w:r w:rsidRPr="00CA6B93">
        <w:t xml:space="preserve"> the fundamental differences between IPP projects and projects that are utility-owned.</w:t>
      </w:r>
    </w:p>
    <w:p w:rsidR="000E2BB3" w:rsidRPr="00C06B6B" w:rsidP="00C43A33" w14:paraId="0CF3D9A6" w14:textId="1614187A">
      <w:pPr>
        <w:pStyle w:val="Heading3"/>
        <w:rPr>
          <w:u w:val="single"/>
        </w:rPr>
      </w:pPr>
      <w:bookmarkStart w:id="62" w:name="_bmk19"/>
      <w:bookmarkStart w:id="63" w:name="_Toc175819948"/>
      <w:r w:rsidRPr="00C06B6B">
        <w:rPr>
          <w:u w:val="single"/>
        </w:rPr>
        <w:t>C</w:t>
      </w:r>
      <w:bookmarkEnd w:id="62"/>
      <w:r w:rsidRPr="00C06B6B">
        <w:rPr>
          <w:u w:val="single"/>
        </w:rPr>
        <w:t>ommission Determination</w:t>
      </w:r>
      <w:bookmarkEnd w:id="63"/>
    </w:p>
    <w:p w:rsidR="00C33184" w:rsidP="001A3524" w14:paraId="4A586267" w14:textId="5C264171">
      <w:pPr>
        <w:pStyle w:val="FERCparanumber"/>
      </w:pPr>
      <w:r>
        <w:t>Based</w:t>
      </w:r>
      <w:r w:rsidR="00452B22">
        <w:t xml:space="preserve"> </w:t>
      </w:r>
      <w:r w:rsidRPr="002E200E" w:rsidR="00452B22">
        <w:t xml:space="preserve">on </w:t>
      </w:r>
      <w:r>
        <w:t xml:space="preserve">the record, we find that </w:t>
      </w:r>
      <w:r w:rsidR="00F27B12">
        <w:t xml:space="preserve">there </w:t>
      </w:r>
      <w:r w:rsidR="00663B36">
        <w:t xml:space="preserve">is </w:t>
      </w:r>
      <w:r>
        <w:t>substantial</w:t>
      </w:r>
      <w:r w:rsidR="00C65FF0">
        <w:t xml:space="preserve"> </w:t>
      </w:r>
      <w:r w:rsidR="00663B36">
        <w:t xml:space="preserve">evidence to support the conclusion that </w:t>
      </w:r>
      <w:r w:rsidRPr="005975CF" w:rsidR="00AB3CB4">
        <w:t>prohibit</w:t>
      </w:r>
      <w:r w:rsidR="00AB3CB4">
        <w:t>ing</w:t>
      </w:r>
      <w:r w:rsidRPr="005975CF" w:rsidR="00AB3CB4">
        <w:t xml:space="preserve"> the inclusion in transmission rates of </w:t>
      </w:r>
      <w:r w:rsidRPr="002E200E" w:rsidR="00452B22">
        <w:t xml:space="preserve">reactive power </w:t>
      </w:r>
      <w:r w:rsidR="00AB3CB4">
        <w:t>rates</w:t>
      </w:r>
      <w:r w:rsidRPr="002E200E" w:rsidR="00452B22">
        <w:t xml:space="preserve"> within the standard power factor range </w:t>
      </w:r>
      <w:r w:rsidR="00663B36">
        <w:t xml:space="preserve">will </w:t>
      </w:r>
      <w:r w:rsidR="00F27B12">
        <w:t xml:space="preserve">not </w:t>
      </w:r>
      <w:r w:rsidR="00D01E52">
        <w:t xml:space="preserve">have a </w:t>
      </w:r>
      <w:r w:rsidR="00F27B12">
        <w:t>significant</w:t>
      </w:r>
      <w:r w:rsidR="00D01E52">
        <w:t xml:space="preserve"> impact on </w:t>
      </w:r>
      <w:r w:rsidRPr="002E200E" w:rsidR="00452B22">
        <w:t xml:space="preserve">investment </w:t>
      </w:r>
      <w:r w:rsidR="00D01E52">
        <w:t xml:space="preserve">in new </w:t>
      </w:r>
      <w:r w:rsidR="00452B22">
        <w:t>generating facilities</w:t>
      </w:r>
      <w:r w:rsidR="00663B36">
        <w:t>.</w:t>
      </w:r>
      <w:r>
        <w:rPr>
          <w:rStyle w:val="FootnoteReference"/>
        </w:rPr>
        <w:footnoteReference w:id="530"/>
      </w:r>
    </w:p>
    <w:p w:rsidR="005868DD" w:rsidP="001A3524" w14:paraId="225F2140" w14:textId="0D109C79">
      <w:pPr>
        <w:pStyle w:val="FERCparanumber"/>
      </w:pPr>
      <w:r>
        <w:t xml:space="preserve">First, </w:t>
      </w:r>
      <w:r w:rsidR="00B07532">
        <w:t>as stated above</w:t>
      </w:r>
      <w:r>
        <w:t>, g</w:t>
      </w:r>
      <w:r w:rsidRPr="008A1D09" w:rsidR="00186C4A">
        <w:t xml:space="preserve">enerating facilities in CAISO, SPP, MISO, and certain non-RTO regions do not receive compensation </w:t>
      </w:r>
      <w:r w:rsidRPr="008A1D09" w:rsidR="00186C4A">
        <w:t>for</w:t>
      </w:r>
      <w:r w:rsidR="0002655C">
        <w:t xml:space="preserve"> the provision of</w:t>
      </w:r>
      <w:r w:rsidRPr="008A1D09" w:rsidR="00186C4A">
        <w:t xml:space="preserve"> reactive power within </w:t>
      </w:r>
      <w:r w:rsidRPr="008A1D09" w:rsidR="00186C4A">
        <w:t>the standard power factor range,</w:t>
      </w:r>
      <w:r>
        <w:rPr>
          <w:rStyle w:val="FootnoteReference"/>
        </w:rPr>
        <w:footnoteReference w:id="531"/>
      </w:r>
      <w:r w:rsidRPr="008A1D09" w:rsidR="00186C4A">
        <w:t xml:space="preserve"> and</w:t>
      </w:r>
      <w:r w:rsidR="00186C4A">
        <w:t>, as MISO Transmission Owners explain,</w:t>
      </w:r>
      <w:r>
        <w:rPr>
          <w:rStyle w:val="FootnoteReference"/>
        </w:rPr>
        <w:footnoteReference w:id="532"/>
      </w:r>
      <w:r w:rsidRPr="008A1D09" w:rsidR="00186C4A">
        <w:t xml:space="preserve"> there is no evidence in the record that</w:t>
      </w:r>
      <w:r w:rsidR="000E2D61">
        <w:t xml:space="preserve">:  </w:t>
      </w:r>
      <w:r w:rsidRPr="008A1D09" w:rsidR="00186C4A">
        <w:t>(1) these policies</w:t>
      </w:r>
      <w:r w:rsidRPr="008A1D09" w:rsidR="00186C4A">
        <w:t xml:space="preserve"> </w:t>
      </w:r>
      <w:r w:rsidRPr="008A1D09" w:rsidR="00186C4A">
        <w:t>have led to an insufficient supply of reactive power in those regions</w:t>
      </w:r>
      <w:r w:rsidR="00673BAA">
        <w:t>,</w:t>
      </w:r>
      <w:r w:rsidRPr="008A1D09" w:rsidR="00186C4A">
        <w:t xml:space="preserve"> or (2) generating facilities in these regions have been unable to recover any costs associated with </w:t>
      </w:r>
      <w:r w:rsidR="0002655C">
        <w:t xml:space="preserve">the provision of such </w:t>
      </w:r>
      <w:r w:rsidRPr="008A1D09" w:rsidR="00186C4A">
        <w:t>reactive power.  Because new and existing generating facilities are required to provide reactive service within the standard power factor range as a condition of interconnection, eliminating compensation for providing that service would not negatively impact investment.</w:t>
      </w:r>
      <w:r>
        <w:rPr>
          <w:rStyle w:val="FootnoteReference"/>
        </w:rPr>
        <w:footnoteReference w:id="533"/>
      </w:r>
      <w:r>
        <w:t xml:space="preserve">  </w:t>
      </w:r>
    </w:p>
    <w:p w:rsidR="005868DD" w:rsidRPr="009901CA" w:rsidP="001A3524" w14:paraId="5E021C9B" w14:textId="1EA234BF">
      <w:pPr>
        <w:pStyle w:val="FERCparanumber"/>
      </w:pPr>
      <w:r>
        <w:t xml:space="preserve">Second, we </w:t>
      </w:r>
      <w:r w:rsidR="008B0CC3">
        <w:t>also</w:t>
      </w:r>
      <w:r>
        <w:t xml:space="preserve"> agree with the MISO Transmission Owners, who note that because compensation for the provision of reactive power within the standard power factor range has always been based on comparability rather than compensability, </w:t>
      </w:r>
      <w:r>
        <w:t>“[r]eactive power compensation is not a given” and that “[t]he Commission has consistently followed these principles, allowing transmission providers across the nation to eliminate compensation for reactive power service within the deadband.”</w:t>
      </w:r>
      <w:r>
        <w:rPr>
          <w:rStyle w:val="FootnoteReference"/>
        </w:rPr>
        <w:footnoteReference w:id="534"/>
      </w:r>
      <w:r w:rsidR="004348B0">
        <w:t xml:space="preserve">  </w:t>
      </w:r>
      <w:r w:rsidRPr="009901CA" w:rsidR="004348B0">
        <w:t xml:space="preserve">As previously noted, developers have been on notice since </w:t>
      </w:r>
      <w:r w:rsidRPr="009901CA" w:rsidR="00C0529A">
        <w:t xml:space="preserve">at least </w:t>
      </w:r>
      <w:r w:rsidRPr="009901CA" w:rsidR="004348B0">
        <w:t>Order No. 2003 and Order No. 2003-A that reactive power is not compensable within the standard power factor range (other than for comparability reasons), and so could not have relied, reasonably or otherwise, on the permanence of such compensation for investment purposes.</w:t>
      </w:r>
      <w:r>
        <w:rPr>
          <w:rStyle w:val="FootnoteReference"/>
        </w:rPr>
        <w:footnoteReference w:id="535"/>
      </w:r>
    </w:p>
    <w:p w:rsidR="005C4D79" w:rsidP="001A3524" w14:paraId="07A6B79C" w14:textId="3E0B63D5">
      <w:pPr>
        <w:pStyle w:val="FERCparanumber"/>
      </w:pPr>
      <w:r>
        <w:t>Third, to the extent that generat</w:t>
      </w:r>
      <w:r w:rsidR="00E66B70">
        <w:t>ing facilities</w:t>
      </w:r>
      <w:r>
        <w:t xml:space="preserve"> may have incurred costs by increasing their generating facilities’ reactive power capabilities beyond the requirements of their interconnection agreements, we find that it is unreasonable to charge transmission customers for these costs as they were not required for interconnection and do not </w:t>
      </w:r>
      <w:r w:rsidR="0003363B">
        <w:t xml:space="preserve">fit within the least justifiable cost to </w:t>
      </w:r>
      <w:r w:rsidR="000F0725">
        <w:t>customers</w:t>
      </w:r>
      <w:r>
        <w:t>.</w:t>
      </w:r>
      <w:r>
        <w:rPr>
          <w:rStyle w:val="FootnoteReference"/>
        </w:rPr>
        <w:footnoteReference w:id="536"/>
      </w:r>
      <w:r w:rsidR="00A32A96">
        <w:t xml:space="preserve">  Further, as noted herein, this </w:t>
      </w:r>
      <w:r w:rsidR="00126E54">
        <w:t>final rule</w:t>
      </w:r>
      <w:r w:rsidR="00A32A96">
        <w:t xml:space="preserve"> </w:t>
      </w:r>
      <w:r w:rsidR="00A32A96">
        <w:t>d</w:t>
      </w:r>
      <w:r w:rsidR="0020244D">
        <w:t xml:space="preserve">oes not address compensation </w:t>
      </w:r>
      <w:r w:rsidR="00EF1989">
        <w:t xml:space="preserve">for reactive power provided </w:t>
      </w:r>
      <w:r w:rsidR="0020244D">
        <w:t xml:space="preserve">outside of the standard power factor range, which </w:t>
      </w:r>
      <w:r w:rsidR="00A05E5F">
        <w:t>will continue to be compensable.</w:t>
      </w:r>
    </w:p>
    <w:p w:rsidR="00467E00" w:rsidP="001A3524" w14:paraId="050BB10C" w14:textId="4916DA66">
      <w:pPr>
        <w:pStyle w:val="FERCparanumber"/>
      </w:pPr>
      <w:r>
        <w:t>Fourth and finally,</w:t>
      </w:r>
      <w:r w:rsidR="00E80175">
        <w:t xml:space="preserve"> as discussed </w:t>
      </w:r>
      <w:r w:rsidR="00334B29">
        <w:t xml:space="preserve">herein and </w:t>
      </w:r>
      <w:r w:rsidR="00E80175">
        <w:t xml:space="preserve">further below, </w:t>
      </w:r>
      <w:r w:rsidR="00334B29">
        <w:t>generat</w:t>
      </w:r>
      <w:r w:rsidR="007D2952">
        <w:t>ing facilities</w:t>
      </w:r>
      <w:r w:rsidR="00334B29">
        <w:t xml:space="preserve"> have other opportunities to recover </w:t>
      </w:r>
      <w:r w:rsidR="00CE0361">
        <w:t xml:space="preserve">any </w:t>
      </w:r>
      <w:r w:rsidRPr="009C3361" w:rsidR="00CE0361">
        <w:rPr>
          <w:i/>
        </w:rPr>
        <w:t>de minimis</w:t>
      </w:r>
      <w:r w:rsidR="00CE0361">
        <w:t xml:space="preserve"> </w:t>
      </w:r>
      <w:r w:rsidR="00571D0F">
        <w:t xml:space="preserve">variable </w:t>
      </w:r>
      <w:r w:rsidR="00CE0361">
        <w:t>costs of providing reactive power within the standard power factor range, and</w:t>
      </w:r>
      <w:r w:rsidR="00E80175">
        <w:t xml:space="preserve"> </w:t>
      </w:r>
      <w:r w:rsidR="001E37AD">
        <w:t xml:space="preserve">this </w:t>
      </w:r>
      <w:r w:rsidR="00126E54">
        <w:t>final rule</w:t>
      </w:r>
      <w:r w:rsidR="00E80175">
        <w:t xml:space="preserve"> establishes a transition mechanism to </w:t>
      </w:r>
      <w:r w:rsidR="001E37AD">
        <w:t>give</w:t>
      </w:r>
      <w:r w:rsidR="00334B29">
        <w:t xml:space="preserve"> RTOs/ISOs time to adjust their market rules to ensure </w:t>
      </w:r>
      <w:r w:rsidR="00782C52">
        <w:t xml:space="preserve">that </w:t>
      </w:r>
      <w:r w:rsidR="00334B29">
        <w:t xml:space="preserve">generating facilities </w:t>
      </w:r>
      <w:r w:rsidR="001E37AD">
        <w:t xml:space="preserve">continue to </w:t>
      </w:r>
      <w:r w:rsidR="00334B29">
        <w:t xml:space="preserve">have </w:t>
      </w:r>
      <w:r w:rsidR="001E37AD">
        <w:t xml:space="preserve">such </w:t>
      </w:r>
      <w:r w:rsidR="00BF64A9">
        <w:t xml:space="preserve">other </w:t>
      </w:r>
      <w:r w:rsidR="00334B29">
        <w:t>opportuni</w:t>
      </w:r>
      <w:r w:rsidR="001E37AD">
        <w:t xml:space="preserve">ties after this </w:t>
      </w:r>
      <w:r w:rsidR="00126E54">
        <w:t>final rule</w:t>
      </w:r>
      <w:r w:rsidR="00334B29">
        <w:t>.</w:t>
      </w:r>
    </w:p>
    <w:p w:rsidR="00FE6DF0" w:rsidP="00DF352B" w14:paraId="23BDD70D" w14:textId="35498B8B">
      <w:pPr>
        <w:pStyle w:val="FERCparanumber"/>
      </w:pPr>
      <w:r>
        <w:t>S</w:t>
      </w:r>
      <w:r w:rsidR="00AA4A38">
        <w:t xml:space="preserve">ome </w:t>
      </w:r>
      <w:r w:rsidRPr="00683D36" w:rsidR="00AA4A38">
        <w:t>commenters express</w:t>
      </w:r>
      <w:r w:rsidR="00AA4A38">
        <w:t>ed</w:t>
      </w:r>
      <w:r w:rsidRPr="00683D36" w:rsidR="00AA4A38">
        <w:t xml:space="preserve"> general concerns about </w:t>
      </w:r>
      <w:r w:rsidR="00AA4A38">
        <w:t>generat</w:t>
      </w:r>
      <w:r w:rsidR="006B2D56">
        <w:t>ing facilitie</w:t>
      </w:r>
      <w:r w:rsidR="00AA4A38">
        <w:t>s and investors relying on reactive power revenues for planning purposes,</w:t>
      </w:r>
      <w:r>
        <w:rPr>
          <w:rStyle w:val="FootnoteReference"/>
        </w:rPr>
        <w:footnoteReference w:id="537"/>
      </w:r>
      <w:r w:rsidR="005A5D78">
        <w:t xml:space="preserve"> including</w:t>
      </w:r>
      <w:r w:rsidR="008C4233">
        <w:t xml:space="preserve"> </w:t>
      </w:r>
      <w:r w:rsidR="005F4F53">
        <w:t xml:space="preserve">concerns </w:t>
      </w:r>
      <w:r w:rsidR="008C4233">
        <w:t xml:space="preserve">of </w:t>
      </w:r>
      <w:r w:rsidRPr="009473D1" w:rsidR="008C4233">
        <w:t xml:space="preserve">interconnection customers with near-completed </w:t>
      </w:r>
      <w:r w:rsidR="00007299">
        <w:t>or operating</w:t>
      </w:r>
      <w:r w:rsidR="007742CB">
        <w:t xml:space="preserve"> </w:t>
      </w:r>
      <w:r w:rsidRPr="009473D1" w:rsidR="008C4233">
        <w:t xml:space="preserve">projects, and extant </w:t>
      </w:r>
      <w:r w:rsidR="008C4233">
        <w:t>PPAs,</w:t>
      </w:r>
      <w:r>
        <w:rPr>
          <w:b/>
          <w:bCs/>
          <w:vertAlign w:val="superscript"/>
        </w:rPr>
        <w:footnoteReference w:id="538"/>
      </w:r>
      <w:r w:rsidR="008C4233">
        <w:t xml:space="preserve"> as well as</w:t>
      </w:r>
      <w:r w:rsidR="00F64AE1">
        <w:t xml:space="preserve"> with</w:t>
      </w:r>
      <w:r w:rsidR="008C4233">
        <w:t xml:space="preserve"> </w:t>
      </w:r>
      <w:r w:rsidRPr="009473D1" w:rsidR="008C4233">
        <w:t>IPP projects located in PJM with reactive power rates that are the result of Commission-approved settlements</w:t>
      </w:r>
      <w:r w:rsidR="00A30382">
        <w:t>.</w:t>
      </w:r>
      <w:r>
        <w:rPr>
          <w:b/>
          <w:bCs/>
          <w:vertAlign w:val="superscript"/>
        </w:rPr>
        <w:footnoteReference w:id="539"/>
      </w:r>
      <w:r w:rsidR="008C4233">
        <w:t xml:space="preserve"> </w:t>
      </w:r>
      <w:r w:rsidR="00742865">
        <w:t xml:space="preserve"> H</w:t>
      </w:r>
      <w:r w:rsidR="00040262">
        <w:t>owever</w:t>
      </w:r>
      <w:r w:rsidR="008C4233">
        <w:t>, we reiterate that in th</w:t>
      </w:r>
      <w:r w:rsidR="00FB03A7">
        <w:t xml:space="preserve">is </w:t>
      </w:r>
      <w:r w:rsidR="00126E54">
        <w:t>final rule</w:t>
      </w:r>
      <w:r>
        <w:rPr>
          <w:rStyle w:val="FootnoteReference"/>
        </w:rPr>
        <w:footnoteReference w:id="540"/>
      </w:r>
      <w:r w:rsidR="008C4233">
        <w:t xml:space="preserve"> </w:t>
      </w:r>
      <w:r w:rsidR="0048031F">
        <w:t>we have</w:t>
      </w:r>
      <w:r w:rsidRPr="00EE13F1" w:rsidR="008C4233">
        <w:t xml:space="preserve"> rejected any reliance arguments, reasoning in part that the provision </w:t>
      </w:r>
      <w:r w:rsidRPr="00EE13F1" w:rsidR="008C4233">
        <w:t xml:space="preserve">of reactive power within the standard </w:t>
      </w:r>
      <w:r w:rsidRPr="00896816" w:rsidR="008C4233">
        <w:t>power factor range require</w:t>
      </w:r>
      <w:r w:rsidR="00A77ED6">
        <w:t>s</w:t>
      </w:r>
      <w:r w:rsidRPr="00896816" w:rsidR="008C4233">
        <w:t xml:space="preserve"> no incremental investment</w:t>
      </w:r>
      <w:r w:rsidR="00E949D6">
        <w:t xml:space="preserve"> or fixed costs and </w:t>
      </w:r>
      <w:r w:rsidR="0019223C">
        <w:t xml:space="preserve">at most </w:t>
      </w:r>
      <w:r w:rsidRPr="009901CA" w:rsidR="00E27E9D">
        <w:rPr>
          <w:i/>
          <w:iCs/>
        </w:rPr>
        <w:t>de minimis</w:t>
      </w:r>
      <w:r w:rsidR="00E27E9D">
        <w:t xml:space="preserve"> incremental variable costs</w:t>
      </w:r>
      <w:r w:rsidRPr="00896816" w:rsidR="008C4233">
        <w:t>.</w:t>
      </w:r>
    </w:p>
    <w:p w:rsidR="00683D36" w:rsidP="001A3524" w14:paraId="245B70FC" w14:textId="617B2385">
      <w:pPr>
        <w:pStyle w:val="FERCparanumber"/>
      </w:pPr>
      <w:r>
        <w:t>Relatedly, Indicated Trade Associations</w:t>
      </w:r>
      <w:r>
        <w:rPr>
          <w:b/>
          <w:bCs/>
          <w:vertAlign w:val="superscript"/>
        </w:rPr>
        <w:footnoteReference w:id="541"/>
      </w:r>
      <w:r>
        <w:t xml:space="preserve"> argue that</w:t>
      </w:r>
      <w:r w:rsidR="00A86192">
        <w:t xml:space="preserve"> narrow profit margins mean that the loss of </w:t>
      </w:r>
      <w:r w:rsidR="00B7213B">
        <w:t xml:space="preserve">reactive power </w:t>
      </w:r>
      <w:r w:rsidR="00A86192">
        <w:t>revenue</w:t>
      </w:r>
      <w:r w:rsidR="00B7213B">
        <w:t>s</w:t>
      </w:r>
      <w:r w:rsidR="00A86192">
        <w:t xml:space="preserve"> </w:t>
      </w:r>
      <w:r w:rsidR="00252184">
        <w:t xml:space="preserve">could </w:t>
      </w:r>
      <w:r w:rsidR="00CF0EB8">
        <w:t>tip generat</w:t>
      </w:r>
      <w:r w:rsidR="00E66B70">
        <w:t>ing facilities</w:t>
      </w:r>
      <w:r w:rsidR="00CF0EB8">
        <w:t xml:space="preserve"> out of profitability</w:t>
      </w:r>
      <w:r>
        <w:t xml:space="preserve">. </w:t>
      </w:r>
      <w:r w:rsidR="00823BE2">
        <w:t xml:space="preserve"> </w:t>
      </w:r>
      <w:r w:rsidR="00676FE0">
        <w:t>We reiterate our finding above that</w:t>
      </w:r>
      <w:r w:rsidR="00823BE2">
        <w:t xml:space="preserve"> </w:t>
      </w:r>
      <w:r w:rsidR="0069243A">
        <w:t xml:space="preserve">the </w:t>
      </w:r>
      <w:r w:rsidR="006B2D56">
        <w:t xml:space="preserve">variable </w:t>
      </w:r>
      <w:r w:rsidR="007143D8">
        <w:t xml:space="preserve">and incremental </w:t>
      </w:r>
      <w:r w:rsidR="000236BC">
        <w:t>cost</w:t>
      </w:r>
      <w:r w:rsidR="006B2D56">
        <w:t>s</w:t>
      </w:r>
      <w:r w:rsidR="000236BC">
        <w:t xml:space="preserve"> of</w:t>
      </w:r>
      <w:r w:rsidR="00672702">
        <w:t xml:space="preserve"> providing reactive power </w:t>
      </w:r>
      <w:r w:rsidR="006B2D56">
        <w:t xml:space="preserve">within the standard power factor range </w:t>
      </w:r>
      <w:r w:rsidR="00AA61FB">
        <w:t xml:space="preserve">requires no or at most a </w:t>
      </w:r>
      <w:r w:rsidR="00AA61FB">
        <w:rPr>
          <w:i/>
          <w:iCs/>
        </w:rPr>
        <w:t>de minimis</w:t>
      </w:r>
      <w:r w:rsidRPr="00C05B45" w:rsidR="00AA61FB">
        <w:t xml:space="preserve"> </w:t>
      </w:r>
      <w:r w:rsidR="00AA61FB">
        <w:t xml:space="preserve">increase in </w:t>
      </w:r>
      <w:r w:rsidR="00362B9D">
        <w:t xml:space="preserve">variable </w:t>
      </w:r>
      <w:r w:rsidR="00AA61FB">
        <w:t>costs beyond the cost of providing real power</w:t>
      </w:r>
      <w:r>
        <w:rPr>
          <w:rStyle w:val="FootnoteReference"/>
        </w:rPr>
        <w:footnoteReference w:id="542"/>
      </w:r>
      <w:r w:rsidR="00672702">
        <w:t xml:space="preserve"> and </w:t>
      </w:r>
      <w:r w:rsidR="00E02C22">
        <w:t>that generati</w:t>
      </w:r>
      <w:r w:rsidR="000D6021">
        <w:t>ng facilities</w:t>
      </w:r>
      <w:r w:rsidR="00E02C22">
        <w:t xml:space="preserve"> can recover any </w:t>
      </w:r>
      <w:r w:rsidRPr="009C3361" w:rsidR="00E02C22">
        <w:rPr>
          <w:i/>
        </w:rPr>
        <w:t>de minimis</w:t>
      </w:r>
      <w:r w:rsidR="00E02C22">
        <w:t xml:space="preserve"> </w:t>
      </w:r>
      <w:r w:rsidR="00362B9D">
        <w:t xml:space="preserve">variable </w:t>
      </w:r>
      <w:r w:rsidR="00E02C22">
        <w:t>costs through other means.</w:t>
      </w:r>
      <w:r w:rsidR="002B7F2F">
        <w:t xml:space="preserve">  Additionally</w:t>
      </w:r>
      <w:r w:rsidRPr="008038CB" w:rsidR="002B7F2F">
        <w:t>, no commenter provided any evidence that the loss of reactive power compensation would make a project that was otherwise profitable, unprofitable</w:t>
      </w:r>
      <w:r w:rsidR="00E02C22">
        <w:t>.</w:t>
      </w:r>
    </w:p>
    <w:p w:rsidR="00E577BB" w:rsidP="00980A0C" w14:paraId="1E0E9E3D" w14:textId="4693B692">
      <w:pPr>
        <w:pStyle w:val="FERCparanumber"/>
      </w:pPr>
      <w:r>
        <w:t>Further, w</w:t>
      </w:r>
      <w:r w:rsidR="009B4E5A">
        <w:t>e disagree with</w:t>
      </w:r>
      <w:r w:rsidR="00B40EF7">
        <w:t xml:space="preserve"> </w:t>
      </w:r>
      <w:r w:rsidR="00A6442E">
        <w:t>PSEG</w:t>
      </w:r>
      <w:r w:rsidR="00B40EF7">
        <w:t>’s assertions</w:t>
      </w:r>
      <w:r w:rsidR="009B4E5A">
        <w:t xml:space="preserve"> that the NOPR</w:t>
      </w:r>
      <w:r w:rsidR="00F022CC">
        <w:t xml:space="preserve"> represents a significant departure from existing Commission policy without an adequate explanation</w:t>
      </w:r>
      <w:r w:rsidR="00957CFA">
        <w:t xml:space="preserve"> and refer </w:t>
      </w:r>
      <w:r w:rsidR="004B323E">
        <w:t xml:space="preserve">PSEG to the </w:t>
      </w:r>
      <w:r w:rsidR="004A5AD3">
        <w:t xml:space="preserve">evidence and reasoning presented </w:t>
      </w:r>
      <w:r w:rsidR="00DD7C31">
        <w:t xml:space="preserve">herein </w:t>
      </w:r>
      <w:r w:rsidR="00F65AB1">
        <w:t xml:space="preserve">that </w:t>
      </w:r>
      <w:r w:rsidR="00CF131F">
        <w:t xml:space="preserve">we are </w:t>
      </w:r>
      <w:r w:rsidR="00F65AB1">
        <w:t>relying</w:t>
      </w:r>
      <w:r w:rsidR="00DD7C31">
        <w:t xml:space="preserve"> upon in </w:t>
      </w:r>
      <w:r w:rsidR="00614249">
        <w:t xml:space="preserve">this </w:t>
      </w:r>
      <w:r w:rsidR="00126E54">
        <w:t>final rule</w:t>
      </w:r>
      <w:r w:rsidR="00F022CC">
        <w:t>.</w:t>
      </w:r>
      <w:r>
        <w:rPr>
          <w:rStyle w:val="FootnoteReference"/>
        </w:rPr>
        <w:footnoteReference w:id="543"/>
      </w:r>
      <w:r w:rsidR="00F022CC">
        <w:t xml:space="preserve">  </w:t>
      </w:r>
      <w:r w:rsidR="00040584">
        <w:t xml:space="preserve">Consequently, </w:t>
      </w:r>
      <w:r w:rsidR="008F656D">
        <w:t>we are</w:t>
      </w:r>
      <w:r w:rsidR="00040584">
        <w:t xml:space="preserve"> </w:t>
      </w:r>
      <w:r w:rsidR="00A51255">
        <w:t>revising</w:t>
      </w:r>
      <w:r w:rsidR="00040584">
        <w:t xml:space="preserve"> </w:t>
      </w:r>
      <w:r w:rsidR="008A34B7">
        <w:t xml:space="preserve">the </w:t>
      </w:r>
      <w:r w:rsidR="008A34B7">
        <w:rPr>
          <w:i/>
          <w:iCs/>
        </w:rPr>
        <w:t>pro forma</w:t>
      </w:r>
      <w:r w:rsidRPr="00D374EE" w:rsidR="008A34B7">
        <w:t xml:space="preserve"> </w:t>
      </w:r>
      <w:r w:rsidR="008A34B7">
        <w:t xml:space="preserve">Schedule 2, </w:t>
      </w:r>
      <w:r w:rsidR="00B0273C">
        <w:rPr>
          <w:i/>
          <w:iCs/>
        </w:rPr>
        <w:t xml:space="preserve">pro forma </w:t>
      </w:r>
      <w:r w:rsidR="008A34B7">
        <w:t xml:space="preserve">LGIA, and </w:t>
      </w:r>
      <w:r w:rsidR="00B0273C">
        <w:rPr>
          <w:i/>
          <w:iCs/>
        </w:rPr>
        <w:t>pro forma</w:t>
      </w:r>
      <w:r w:rsidR="008A34B7">
        <w:rPr>
          <w:i/>
        </w:rPr>
        <w:t xml:space="preserve"> </w:t>
      </w:r>
      <w:r w:rsidR="008A34B7">
        <w:t xml:space="preserve">SGIA </w:t>
      </w:r>
      <w:r w:rsidR="006160AB">
        <w:t xml:space="preserve">to prohibit </w:t>
      </w:r>
      <w:r w:rsidRPr="006160AB" w:rsidR="006160AB">
        <w:t>the inclusion in transmission rates of unjust and unreasonable charges related to the provision of reactive power within the standard power factor range by generating facilities</w:t>
      </w:r>
      <w:r w:rsidR="006160AB">
        <w:t>.</w:t>
      </w:r>
      <w:r w:rsidR="004567A6">
        <w:t xml:space="preserve">  As</w:t>
      </w:r>
      <w:r w:rsidR="00EC3BD2">
        <w:t xml:space="preserve"> courts of appeals have </w:t>
      </w:r>
      <w:r w:rsidR="00522DE5">
        <w:t xml:space="preserve">articulated on several occasions, </w:t>
      </w:r>
      <w:r w:rsidR="005F4FE9">
        <w:t xml:space="preserve">“[t]he APA does not require ‘regulatory agencies [to] establish rules of </w:t>
      </w:r>
      <w:r w:rsidR="005F4FE9">
        <w:t>conduct to last</w:t>
      </w:r>
      <w:r w:rsidR="003519AC">
        <w:t xml:space="preserve"> forever,’” but rather, “</w:t>
      </w:r>
      <w:r w:rsidR="00FE5297">
        <w:t>agencies may</w:t>
      </w:r>
      <w:r w:rsidR="00984866">
        <w:t xml:space="preserve"> ‘ada</w:t>
      </w:r>
      <w:r w:rsidR="00BB4C0A">
        <w:t>p</w:t>
      </w:r>
      <w:r w:rsidR="00984866">
        <w:t>t their rules and policies to the demands of changing circumstances</w:t>
      </w:r>
      <w:r w:rsidR="00BB4C0A">
        <w:t>.’”</w:t>
      </w:r>
      <w:r>
        <w:rPr>
          <w:rStyle w:val="FootnoteReference"/>
        </w:rPr>
        <w:footnoteReference w:id="544"/>
      </w:r>
    </w:p>
    <w:p w:rsidR="00515BB4" w:rsidP="00515BB4" w14:paraId="0486B177" w14:textId="601F3FFE">
      <w:pPr>
        <w:pStyle w:val="FERCparanumber"/>
      </w:pPr>
      <w:r>
        <w:t>Similarly, i</w:t>
      </w:r>
      <w:r w:rsidR="001B38AF">
        <w:t xml:space="preserve">n response to </w:t>
      </w:r>
      <w:r w:rsidR="00761FFE">
        <w:t>Middle River Power’s</w:t>
      </w:r>
      <w:r>
        <w:rPr>
          <w:b/>
          <w:vertAlign w:val="superscript"/>
        </w:rPr>
        <w:footnoteReference w:id="545"/>
      </w:r>
      <w:r w:rsidR="00761FFE">
        <w:t xml:space="preserve"> </w:t>
      </w:r>
      <w:r w:rsidR="00073F24">
        <w:t xml:space="preserve">claims about the reliability and stability of other </w:t>
      </w:r>
      <w:r w:rsidR="00AA6151">
        <w:t>Commission</w:t>
      </w:r>
      <w:r w:rsidR="00073F24">
        <w:t xml:space="preserve">-approved rates and markets, </w:t>
      </w:r>
      <w:r w:rsidR="007624DD">
        <w:t xml:space="preserve">we note </w:t>
      </w:r>
      <w:r w:rsidR="000E2FA9">
        <w:t xml:space="preserve">when </w:t>
      </w:r>
      <w:r w:rsidR="007624DD">
        <w:t xml:space="preserve">the Commission </w:t>
      </w:r>
      <w:r w:rsidR="000E2FA9">
        <w:t xml:space="preserve">finds that a </w:t>
      </w:r>
      <w:r w:rsidR="0038226D">
        <w:t>rate</w:t>
      </w:r>
      <w:r w:rsidR="000E2FA9">
        <w:t xml:space="preserve"> is unjust and unreasonable, as we do here, </w:t>
      </w:r>
      <w:r w:rsidR="007624DD">
        <w:t xml:space="preserve">the Commission has not only the right but the obligation </w:t>
      </w:r>
      <w:r w:rsidR="006B1D1D">
        <w:t xml:space="preserve">under section 206 of the FPA </w:t>
      </w:r>
      <w:r w:rsidR="007624DD">
        <w:t xml:space="preserve">to modify </w:t>
      </w:r>
      <w:r w:rsidR="00BE263E">
        <w:t xml:space="preserve">that </w:t>
      </w:r>
      <w:r w:rsidR="00C57CD5">
        <w:t>rate</w:t>
      </w:r>
      <w:r w:rsidR="00BE263E">
        <w:t xml:space="preserve"> in order to ensure </w:t>
      </w:r>
      <w:r w:rsidR="00B424FC">
        <w:t>it is</w:t>
      </w:r>
      <w:r w:rsidR="00BE263E">
        <w:t xml:space="preserve"> just and reasonable</w:t>
      </w:r>
      <w:r w:rsidR="007624DD">
        <w:t>.</w:t>
      </w:r>
      <w:r>
        <w:rPr>
          <w:rStyle w:val="FootnoteReference"/>
        </w:rPr>
        <w:footnoteReference w:id="546"/>
      </w:r>
      <w:r w:rsidR="007624DD">
        <w:t xml:space="preserve"> </w:t>
      </w:r>
      <w:r w:rsidR="006B1D1D">
        <w:t xml:space="preserve"> </w:t>
      </w:r>
      <w:r w:rsidR="00572020">
        <w:t xml:space="preserve">As </w:t>
      </w:r>
      <w:r w:rsidR="006B1D1D">
        <w:t>the PJM IMM</w:t>
      </w:r>
      <w:r w:rsidR="00904BCB">
        <w:t>,</w:t>
      </w:r>
      <w:r>
        <w:rPr>
          <w:rStyle w:val="FootnoteReference"/>
        </w:rPr>
        <w:footnoteReference w:id="547"/>
      </w:r>
      <w:r w:rsidR="006B1D1D">
        <w:t xml:space="preserve"> </w:t>
      </w:r>
      <w:r w:rsidR="00904BCB">
        <w:t xml:space="preserve">Joint Consumer </w:t>
      </w:r>
      <w:r w:rsidR="00904BCB">
        <w:t>Advocates,</w:t>
      </w:r>
      <w:r>
        <w:rPr>
          <w:rStyle w:val="FootnoteReference"/>
        </w:rPr>
        <w:footnoteReference w:id="548"/>
      </w:r>
      <w:r w:rsidR="00904BCB">
        <w:t xml:space="preserve"> </w:t>
      </w:r>
      <w:r w:rsidR="00357494">
        <w:t xml:space="preserve">and </w:t>
      </w:r>
      <w:r w:rsidR="006B1D1D">
        <w:t>Dr. Bremser,</w:t>
      </w:r>
      <w:r>
        <w:rPr>
          <w:rStyle w:val="FootnoteReference"/>
        </w:rPr>
        <w:footnoteReference w:id="549"/>
      </w:r>
      <w:r w:rsidR="00357494">
        <w:t xml:space="preserve"> note the Commission has previously change</w:t>
      </w:r>
      <w:r w:rsidR="001C7679">
        <w:t>d</w:t>
      </w:r>
      <w:r w:rsidR="00357494">
        <w:t xml:space="preserve"> compensation policies when it</w:t>
      </w:r>
      <w:r w:rsidR="00455639">
        <w:t xml:space="preserve"> has</w:t>
      </w:r>
      <w:r w:rsidR="00357494">
        <w:t xml:space="preserve"> determined that existing practices were resulting in unjust and unreasonable rates.</w:t>
      </w:r>
      <w:bookmarkStart w:id="64" w:name="_Toc175819949"/>
      <w:r>
        <w:rPr>
          <w:rStyle w:val="FootnoteReference"/>
        </w:rPr>
        <w:footnoteReference w:id="550"/>
      </w:r>
    </w:p>
    <w:p w:rsidR="00515BB4" w:rsidRPr="00C06B6B" w:rsidP="0013642A" w14:paraId="069D9A32" w14:textId="77777777">
      <w:pPr>
        <w:pStyle w:val="Heading2"/>
        <w:rPr>
          <w:u w:val="single"/>
        </w:rPr>
      </w:pPr>
      <w:bookmarkStart w:id="65" w:name="_bmk20"/>
      <w:r w:rsidRPr="00C06B6B">
        <w:rPr>
          <w:u w:val="single"/>
        </w:rPr>
        <w:t>A</w:t>
      </w:r>
      <w:bookmarkEnd w:id="65"/>
      <w:r w:rsidRPr="00C06B6B">
        <w:rPr>
          <w:u w:val="single"/>
        </w:rPr>
        <w:t>dditional Comments</w:t>
      </w:r>
    </w:p>
    <w:p w:rsidR="001542CD" w:rsidRPr="00C06B6B" w:rsidP="001542CD" w14:paraId="2719119C" w14:textId="6601FF79">
      <w:pPr>
        <w:pStyle w:val="Heading3"/>
        <w:rPr>
          <w:u w:val="single"/>
        </w:rPr>
      </w:pPr>
      <w:bookmarkStart w:id="66" w:name="_bmk21"/>
      <w:r w:rsidRPr="00C06B6B">
        <w:rPr>
          <w:u w:val="single"/>
        </w:rPr>
        <w:t>C</w:t>
      </w:r>
      <w:bookmarkEnd w:id="66"/>
      <w:r w:rsidRPr="00C06B6B">
        <w:rPr>
          <w:u w:val="single"/>
        </w:rPr>
        <w:t>omments</w:t>
      </w:r>
    </w:p>
    <w:bookmarkEnd w:id="64"/>
    <w:p w:rsidR="00A51196" w:rsidP="00A51196" w14:paraId="320515A7" w14:textId="10477249">
      <w:pPr>
        <w:pStyle w:val="FERCparanumber"/>
      </w:pPr>
      <w:r w:rsidRPr="001206FF">
        <w:t xml:space="preserve">Ameren </w:t>
      </w:r>
      <w:r w:rsidR="00995F3A">
        <w:t>asserts</w:t>
      </w:r>
      <w:r w:rsidRPr="001206FF">
        <w:t xml:space="preserve"> that it was the right decision to eliminate compensation for reactive power capability in MISO, as evident by the numerous reactive power cases in which Ameren intervened from 2018-2022 that were set for hearing and settlement judge procedures, with resulting revenue requirements reduced substantially from what the filing generator proposed, and in some cases by over 50%.</w:t>
      </w:r>
      <w:r>
        <w:rPr>
          <w:b/>
          <w:vertAlign w:val="superscript"/>
        </w:rPr>
        <w:footnoteReference w:id="551"/>
      </w:r>
    </w:p>
    <w:p w:rsidR="003B516A" w:rsidP="00A51196" w14:paraId="023C11C6" w14:textId="7E1757C9">
      <w:pPr>
        <w:pStyle w:val="FERCparanumber"/>
      </w:pPr>
      <w:r>
        <w:t xml:space="preserve">The </w:t>
      </w:r>
      <w:r w:rsidRPr="00583E28" w:rsidR="0001233E">
        <w:t xml:space="preserve">NHA asserts </w:t>
      </w:r>
      <w:r w:rsidR="004805B7">
        <w:t>that</w:t>
      </w:r>
      <w:r w:rsidRPr="00583E28" w:rsidR="0001233E">
        <w:t xml:space="preserve"> individual RTOs/ISOs should develop and/or improve upon reactive power capability compensation market rules to reflect locational requirements.</w:t>
      </w:r>
      <w:r>
        <w:rPr>
          <w:rStyle w:val="FootnoteReference"/>
        </w:rPr>
        <w:footnoteReference w:id="552"/>
      </w:r>
      <w:r w:rsidRPr="00583E28" w:rsidR="0001233E">
        <w:t xml:space="preserve">  </w:t>
      </w:r>
    </w:p>
    <w:p w:rsidR="00A51196" w:rsidRPr="008938A7" w:rsidP="00A51196" w14:paraId="352A2678" w14:textId="29E6E564">
      <w:pPr>
        <w:pStyle w:val="FERCparanumber"/>
        <w:rPr>
          <w:szCs w:val="26"/>
        </w:rPr>
      </w:pPr>
      <w:r w:rsidRPr="008938A7">
        <w:rPr>
          <w:szCs w:val="26"/>
        </w:rPr>
        <w:t xml:space="preserve">Indicated Trade Associations request that the Commission clarify that the NOPR will not be applied in determining refunds in cases where the </w:t>
      </w:r>
      <w:r w:rsidR="007E6D9C">
        <w:rPr>
          <w:szCs w:val="26"/>
        </w:rPr>
        <w:t>C</w:t>
      </w:r>
      <w:r w:rsidRPr="008938A7">
        <w:rPr>
          <w:szCs w:val="26"/>
        </w:rPr>
        <w:t>ommission has established settlement and hearing judge proceedings for reactive rates.</w:t>
      </w:r>
      <w:r>
        <w:rPr>
          <w:b/>
          <w:bCs/>
          <w:szCs w:val="26"/>
          <w:vertAlign w:val="superscript"/>
        </w:rPr>
        <w:footnoteReference w:id="553"/>
      </w:r>
    </w:p>
    <w:p w:rsidR="00A51196" w:rsidRPr="008B018B" w:rsidP="001E22C0" w14:paraId="2D129C9E" w14:textId="4C3B0638">
      <w:pPr>
        <w:pStyle w:val="FERCparanumber"/>
      </w:pPr>
      <w:r w:rsidRPr="00BF079E">
        <w:t>Indicated Trade Associations argue that the Commission should not implement the NOPR proposal.</w:t>
      </w:r>
      <w:r>
        <w:rPr>
          <w:b/>
          <w:bCs/>
          <w:vertAlign w:val="superscript"/>
        </w:rPr>
        <w:footnoteReference w:id="554"/>
      </w:r>
      <w:r w:rsidRPr="00BF079E">
        <w:t xml:space="preserve">  Indicated Trade Associations assert that the NOPR is not supported by the NOI record, which they argue was focused on </w:t>
      </w:r>
      <w:r w:rsidRPr="00BF079E">
        <w:rPr>
          <w:i/>
          <w:iCs/>
        </w:rPr>
        <w:t>changes</w:t>
      </w:r>
      <w:r w:rsidRPr="00BF079E">
        <w:t xml:space="preserve"> and </w:t>
      </w:r>
      <w:r w:rsidRPr="00BF079E">
        <w:rPr>
          <w:i/>
          <w:iCs/>
        </w:rPr>
        <w:t>improvements</w:t>
      </w:r>
      <w:r w:rsidRPr="00BF079E">
        <w:t xml:space="preserve"> to the methodology used to determine appropriate reactive power compensation, rather than the NOPR’s proposal to </w:t>
      </w:r>
      <w:r w:rsidRPr="00BF079E">
        <w:rPr>
          <w:i/>
          <w:iCs/>
        </w:rPr>
        <w:t>eliminate</w:t>
      </w:r>
      <w:r w:rsidRPr="00BF079E">
        <w:t xml:space="preserve"> reactive power compensation within the standard power factor range altogether.</w:t>
      </w:r>
      <w:r>
        <w:rPr>
          <w:b/>
          <w:bCs/>
          <w:vertAlign w:val="superscript"/>
        </w:rPr>
        <w:footnoteReference w:id="555"/>
      </w:r>
    </w:p>
    <w:p w:rsidR="00A51196" w:rsidRPr="00E0444A" w:rsidP="00A51196" w14:paraId="3E0F16C4" w14:textId="52F51DCA">
      <w:pPr>
        <w:pStyle w:val="FERCparanumber"/>
        <w:rPr>
          <w:szCs w:val="26"/>
        </w:rPr>
      </w:pPr>
      <w:r w:rsidRPr="00E0444A">
        <w:rPr>
          <w:szCs w:val="26"/>
        </w:rPr>
        <w:t>Glenvale avow</w:t>
      </w:r>
      <w:r w:rsidR="004805B7">
        <w:rPr>
          <w:szCs w:val="26"/>
        </w:rPr>
        <w:t>s</w:t>
      </w:r>
      <w:r w:rsidRPr="00E0444A">
        <w:rPr>
          <w:szCs w:val="26"/>
        </w:rPr>
        <w:t xml:space="preserve"> that some generators provide reactive power within the power factor range but outside of the </w:t>
      </w:r>
      <w:r w:rsidR="004805B7">
        <w:rPr>
          <w:szCs w:val="26"/>
        </w:rPr>
        <w:t xml:space="preserve">requirements of their </w:t>
      </w:r>
      <w:r w:rsidRPr="00E0444A">
        <w:rPr>
          <w:szCs w:val="26"/>
        </w:rPr>
        <w:t xml:space="preserve">interconnection agreements, such as solar generators that are not synchronized to the </w:t>
      </w:r>
      <w:r w:rsidRPr="001F6E58" w:rsidR="00C00B3C">
        <w:rPr>
          <w:szCs w:val="26"/>
        </w:rPr>
        <w:t>transmission</w:t>
      </w:r>
      <w:r w:rsidR="00C00B3C">
        <w:rPr>
          <w:szCs w:val="26"/>
        </w:rPr>
        <w:t xml:space="preserve"> system</w:t>
      </w:r>
      <w:r w:rsidRPr="00E0444A">
        <w:rPr>
          <w:szCs w:val="26"/>
        </w:rPr>
        <w:t xml:space="preserve"> but still provide reactive power service.</w:t>
      </w:r>
      <w:r>
        <w:rPr>
          <w:rStyle w:val="FootnoteReference"/>
          <w:szCs w:val="26"/>
        </w:rPr>
        <w:footnoteReference w:id="556"/>
      </w:r>
    </w:p>
    <w:p w:rsidR="00A51196" w:rsidP="00381374" w14:paraId="5D8FCFC3" w14:textId="3489BEDF">
      <w:pPr>
        <w:pStyle w:val="FERCparanumber"/>
      </w:pPr>
      <w:r w:rsidRPr="00650B3D">
        <w:t xml:space="preserve">Clean </w:t>
      </w:r>
      <w:r w:rsidRPr="00381374">
        <w:t>Energy</w:t>
      </w:r>
      <w:r w:rsidRPr="00650B3D">
        <w:t xml:space="preserve"> Associations also proposes their own reactive power compensation format in which the Commission would develop a new, objective, cost-based, technology-neutral rate for reactive power to encourage the proliferation of reactive power resources in a non-discriminatory way.</w:t>
      </w:r>
      <w:r>
        <w:rPr>
          <w:b/>
          <w:bCs/>
          <w:vertAlign w:val="superscript"/>
        </w:rPr>
        <w:footnoteReference w:id="557"/>
      </w:r>
    </w:p>
    <w:p w:rsidR="009359F1" w:rsidP="009359F1" w14:paraId="2AF07086" w14:textId="0633BF6A">
      <w:pPr>
        <w:pStyle w:val="FERCparanumber"/>
      </w:pPr>
      <w:r w:rsidRPr="009359F1">
        <w:t>Reactive Service Providers also argue that a ± 0.95 standard power factor range is arbitrary.  As support, they claim that it is not NERC-mandated, that many generating facilities are not actually satisfying it, and that “it is in essence a mandate to create headroom if and when it is needed by the Transmission Provider.”</w:t>
      </w:r>
      <w:r>
        <w:rPr>
          <w:b/>
          <w:vertAlign w:val="superscript"/>
        </w:rPr>
        <w:footnoteReference w:id="558"/>
      </w:r>
      <w:r w:rsidRPr="009359F1">
        <w:t xml:space="preserve">  Reactive Service Providers argue that there is no difference operationally between operating within and outside the standard power factor range because that distinction does not reflect the operational realities of an integrated transmission system, where the transmission provider is “balancing all resources instantaneously such that all load everywhere benefits.”</w:t>
      </w:r>
      <w:r>
        <w:rPr>
          <w:b/>
          <w:vertAlign w:val="superscript"/>
        </w:rPr>
        <w:footnoteReference w:id="559"/>
      </w:r>
    </w:p>
    <w:p w:rsidR="00B66E94" w:rsidRPr="009359F1" w:rsidP="00381374" w14:paraId="315152D1" w14:textId="3BAB68A8">
      <w:pPr>
        <w:pStyle w:val="FERCparanumber"/>
      </w:pPr>
      <w:r w:rsidRPr="00650B3D">
        <w:t>Clean Energy Associations asks that, should the Commission proceed with its proposal, that the Commission should clarify that interconnection agreements cannot adopt a standard power factor range other tha</w:t>
      </w:r>
      <w:r w:rsidR="007E6D9C">
        <w:t>n</w:t>
      </w:r>
      <w:r w:rsidRPr="00650B3D">
        <w:t xml:space="preserve"> 0.95 leading and lagging</w:t>
      </w:r>
      <w:r w:rsidR="007E6D9C">
        <w:t xml:space="preserve"> and</w:t>
      </w:r>
      <w:r w:rsidRPr="00650B3D">
        <w:t xml:space="preserve"> specify that compensation must be provided for reactive power provided outside of the range</w:t>
      </w:r>
      <w:r w:rsidRPr="00B66E94">
        <w:t>.</w:t>
      </w:r>
      <w:r>
        <w:rPr>
          <w:b/>
          <w:bCs/>
          <w:vertAlign w:val="superscript"/>
        </w:rPr>
        <w:footnoteReference w:id="560"/>
      </w:r>
    </w:p>
    <w:p w:rsidR="00684E2E" w:rsidRPr="00043DB9" w:rsidP="00684E2E" w14:paraId="24232434" w14:textId="0F6A66DE">
      <w:pPr>
        <w:pStyle w:val="FERCparanumber"/>
      </w:pPr>
      <w:r w:rsidRPr="00043DB9">
        <w:t>ACORE</w:t>
      </w:r>
      <w:r w:rsidRPr="00043DB9">
        <w:t xml:space="preserve"> </w:t>
      </w:r>
      <w:r w:rsidR="00FE087C">
        <w:t>recommends</w:t>
      </w:r>
      <w:r w:rsidRPr="00043DB9">
        <w:t xml:space="preserve"> that instead of removing all compensation within the standard power factor range, a cost-based, technology-neutral rate be established for reactive power, with a focus on reducing the administrative burdens of the AEP </w:t>
      </w:r>
      <w:r w:rsidR="00A24CAB">
        <w:t>M</w:t>
      </w:r>
      <w:r w:rsidRPr="00043DB9" w:rsidR="00A24CAB">
        <w:t>ethodology</w:t>
      </w:r>
      <w:r w:rsidRPr="00043DB9">
        <w:t>.</w:t>
      </w:r>
      <w:r>
        <w:rPr>
          <w:b/>
          <w:vertAlign w:val="superscript"/>
        </w:rPr>
        <w:footnoteReference w:id="561"/>
      </w:r>
    </w:p>
    <w:p w:rsidR="005D0975" w:rsidRPr="00BF611C" w:rsidP="005D0975" w14:paraId="3F03B294" w14:textId="2FD45D96">
      <w:pPr>
        <w:pStyle w:val="FERCparanumber"/>
      </w:pPr>
      <w:r w:rsidRPr="00BF611C">
        <w:t xml:space="preserve">Joint Customers highlight the burdens associated with the individualized review of reactive rate filings arguing that it leads to higher costs for customers without corresponding benefits and that the case-by-case approach using the AEP </w:t>
      </w:r>
      <w:r w:rsidR="00FE087C">
        <w:t>M</w:t>
      </w:r>
      <w:r w:rsidRPr="00BF611C">
        <w:t>ethodology is resource-intensive and results in inconsistent outcomes.</w:t>
      </w:r>
      <w:r>
        <w:rPr>
          <w:b/>
          <w:vertAlign w:val="superscript"/>
        </w:rPr>
        <w:footnoteReference w:id="562"/>
      </w:r>
    </w:p>
    <w:p w:rsidR="00FA2D96" w:rsidRPr="00775569" w:rsidP="00FA2D96" w14:paraId="5866F061" w14:textId="77777777">
      <w:pPr>
        <w:pStyle w:val="FERCparanumber"/>
      </w:pPr>
      <w:r w:rsidRPr="00775569">
        <w:t>Liberty states that it believes the current methodology has resulted in ambiguity on cost formation and could lead to unjust rates for customers.</w:t>
      </w:r>
      <w:r>
        <w:rPr>
          <w:b/>
          <w:vertAlign w:val="superscript"/>
        </w:rPr>
        <w:footnoteReference w:id="563"/>
      </w:r>
      <w:r w:rsidRPr="00775569">
        <w:t xml:space="preserve">  Liberty explains that it would generally support a cost recovery methodology change that results in reasonable rates for customers that are not duplicative in nature, in line with industry standards, and sufficiently compensates reactive power capability services.</w:t>
      </w:r>
    </w:p>
    <w:p w:rsidR="009E7B9E" w:rsidRPr="00EA75B2" w:rsidP="009E7B9E" w14:paraId="0A1BFBB9" w14:textId="7FF901ED">
      <w:pPr>
        <w:pStyle w:val="FERCparanumber"/>
      </w:pPr>
      <w:r w:rsidRPr="00EA75B2">
        <w:t xml:space="preserve">Middle River Power </w:t>
      </w:r>
      <w:r w:rsidR="00FE087C">
        <w:t>argues</w:t>
      </w:r>
      <w:r w:rsidRPr="00EA75B2" w:rsidR="00FE087C">
        <w:t xml:space="preserve"> </w:t>
      </w:r>
      <w:r w:rsidRPr="00EA75B2">
        <w:t xml:space="preserve">that the AEP </w:t>
      </w:r>
      <w:r w:rsidR="00FE087C">
        <w:t>M</w:t>
      </w:r>
      <w:r w:rsidRPr="00EA75B2">
        <w:t xml:space="preserve">ethodology has consistently produced just and reasonable rates for Middle River Power-affiliated generation and others and that if administrative burden </w:t>
      </w:r>
      <w:r w:rsidR="00D66337">
        <w:t>were</w:t>
      </w:r>
      <w:r w:rsidRPr="00EA75B2" w:rsidR="00D66337">
        <w:t xml:space="preserve"> </w:t>
      </w:r>
      <w:r w:rsidRPr="00EA75B2">
        <w:t>a problem that must be remedied, the solution would be to reform the administrative process by which just and reasonable rates are determined.</w:t>
      </w:r>
      <w:r>
        <w:rPr>
          <w:b/>
          <w:vertAlign w:val="superscript"/>
        </w:rPr>
        <w:footnoteReference w:id="564"/>
      </w:r>
    </w:p>
    <w:p w:rsidR="002C6909" w:rsidP="004F1DC8" w14:paraId="1E9E3D89" w14:textId="01E9C50F">
      <w:pPr>
        <w:pStyle w:val="FERCparanumber"/>
      </w:pPr>
      <w:r w:rsidRPr="00EB4507">
        <w:t xml:space="preserve">NEI suggests that the Commission should continue to support the AEP </w:t>
      </w:r>
      <w:r w:rsidR="00FE087C">
        <w:t>M</w:t>
      </w:r>
      <w:r w:rsidRPr="00EB4507">
        <w:t>ethodology.</w:t>
      </w:r>
      <w:r>
        <w:rPr>
          <w:b/>
          <w:bCs/>
          <w:vertAlign w:val="superscript"/>
        </w:rPr>
        <w:footnoteReference w:id="565"/>
      </w:r>
      <w:r>
        <w:t xml:space="preserve"> </w:t>
      </w:r>
      <w:r w:rsidRPr="00EB4507">
        <w:t xml:space="preserve"> NEI notes that while there are implementation challenges to the AEP </w:t>
      </w:r>
      <w:r w:rsidR="00FE087C">
        <w:t>M</w:t>
      </w:r>
      <w:r w:rsidRPr="00EB4507">
        <w:t>ethodology, as highlighted by NEI previously, such process-related concerns do not render it unjust and unreasonable.</w:t>
      </w:r>
      <w:r>
        <w:rPr>
          <w:b/>
          <w:bCs/>
          <w:vertAlign w:val="superscript"/>
        </w:rPr>
        <w:footnoteReference w:id="566"/>
      </w:r>
    </w:p>
    <w:p w:rsidR="00597864" w:rsidRPr="002A64FF" w:rsidP="00597864" w14:paraId="16D60787" w14:textId="0ECBD28B">
      <w:pPr>
        <w:pStyle w:val="FERCparanumber"/>
      </w:pPr>
      <w:r w:rsidRPr="002A64FF">
        <w:t>TAPS argues that the AEP Methodology that many generators use in their reactive power compensation filings, and which was derived many years ago for synchronous generators, is not well-suited for non-synchronous generators to which the methodology is now being applied.</w:t>
      </w:r>
      <w:r>
        <w:rPr>
          <w:b/>
          <w:vertAlign w:val="superscript"/>
        </w:rPr>
        <w:footnoteReference w:id="567"/>
      </w:r>
      <w:r w:rsidRPr="002A64FF">
        <w:t xml:space="preserve">  For example, TAPS explains that TAPS members have found it very difficult to verify the inputs to the AEP </w:t>
      </w:r>
      <w:r w:rsidR="00F52D3F">
        <w:t>M</w:t>
      </w:r>
      <w:r w:rsidRPr="002A64FF" w:rsidR="00F52D3F">
        <w:t xml:space="preserve">ethodology </w:t>
      </w:r>
      <w:r w:rsidRPr="002A64FF">
        <w:t>for a specific generator based on publicly available data, because many generators seeking compensation do not submit a FERC Form No. 1.</w:t>
      </w:r>
    </w:p>
    <w:p w:rsidR="009E6B62" w:rsidRPr="00C06B6B" w:rsidP="008A22AF" w14:paraId="680A5431" w14:textId="1CF42E12">
      <w:pPr>
        <w:pStyle w:val="Heading3"/>
        <w:rPr>
          <w:u w:val="single"/>
        </w:rPr>
      </w:pPr>
      <w:bookmarkStart w:id="67" w:name="_bmk22"/>
      <w:bookmarkStart w:id="68" w:name="_Toc175819973"/>
      <w:r w:rsidRPr="00C06B6B">
        <w:rPr>
          <w:u w:val="single"/>
        </w:rPr>
        <w:t>C</w:t>
      </w:r>
      <w:bookmarkEnd w:id="67"/>
      <w:r w:rsidRPr="00C06B6B">
        <w:rPr>
          <w:u w:val="single"/>
        </w:rPr>
        <w:t xml:space="preserve">ommission </w:t>
      </w:r>
      <w:r w:rsidRPr="00C06B6B" w:rsidR="001E3F8B">
        <w:rPr>
          <w:u w:val="single"/>
        </w:rPr>
        <w:t>Determination</w:t>
      </w:r>
      <w:bookmarkEnd w:id="68"/>
    </w:p>
    <w:p w:rsidR="00A51196" w:rsidRPr="0035655D" w:rsidP="00381374" w14:paraId="5A5C8629" w14:textId="3C58D246">
      <w:pPr>
        <w:pStyle w:val="FERCparanumber"/>
      </w:pPr>
      <w:r>
        <w:t xml:space="preserve">We </w:t>
      </w:r>
      <w:r w:rsidRPr="00381374">
        <w:t>appreciate</w:t>
      </w:r>
      <w:r>
        <w:t xml:space="preserve"> the concerns raised by numerous commenters requesting that </w:t>
      </w:r>
      <w:r w:rsidR="001105B3">
        <w:t>we</w:t>
      </w:r>
      <w:r>
        <w:t xml:space="preserve"> undertake various initiatives, as set forth above. </w:t>
      </w:r>
      <w:r w:rsidR="00427E54">
        <w:t xml:space="preserve"> </w:t>
      </w:r>
      <w:r>
        <w:t>However, we find that the requested initiatives go beyond the scope of this rulemaking, which addre</w:t>
      </w:r>
      <w:r w:rsidR="003D4496">
        <w:t xml:space="preserve">sses </w:t>
      </w:r>
      <w:r w:rsidRPr="009901CA" w:rsidR="000C3F4E">
        <w:t>only</w:t>
      </w:r>
      <w:r w:rsidR="000C3F4E">
        <w:t xml:space="preserve"> </w:t>
      </w:r>
      <w:r w:rsidR="00991948">
        <w:t xml:space="preserve">compensation for reactive power service </w:t>
      </w:r>
      <w:r w:rsidR="009166A8">
        <w:t>with</w:t>
      </w:r>
      <w:r w:rsidR="00991948">
        <w:t>in the standard power factor range.  Accordingly, we will not address those concerns here.</w:t>
      </w:r>
    </w:p>
    <w:p w:rsidR="00F145B8" w:rsidRPr="00C06B6B" w:rsidP="001E676C" w14:paraId="183785DF" w14:textId="54FCD6AD">
      <w:pPr>
        <w:pStyle w:val="Heading1"/>
        <w:rPr>
          <w:u w:val="single"/>
        </w:rPr>
      </w:pPr>
      <w:bookmarkStart w:id="69" w:name="_bmk23"/>
      <w:bookmarkStart w:id="70" w:name="_Toc175819974"/>
      <w:bookmarkStart w:id="71" w:name="_Toc175819991"/>
      <w:r w:rsidRPr="00C06B6B">
        <w:rPr>
          <w:u w:val="single"/>
        </w:rPr>
        <w:t>C</w:t>
      </w:r>
      <w:bookmarkEnd w:id="69"/>
      <w:r w:rsidRPr="00C06B6B">
        <w:rPr>
          <w:u w:val="single"/>
        </w:rPr>
        <w:t>ompliance Procedures</w:t>
      </w:r>
      <w:bookmarkEnd w:id="70"/>
      <w:bookmarkEnd w:id="71"/>
    </w:p>
    <w:p w:rsidR="00104C1E" w:rsidRPr="00C06B6B" w:rsidP="009B7DD3" w14:paraId="23A3BA27" w14:textId="1C924EC2">
      <w:pPr>
        <w:pStyle w:val="Heading2"/>
        <w:rPr>
          <w:u w:val="single"/>
        </w:rPr>
      </w:pPr>
      <w:bookmarkStart w:id="72" w:name="_bmk24"/>
      <w:bookmarkStart w:id="73" w:name="_Toc161847106"/>
      <w:bookmarkStart w:id="74" w:name="_Toc160209707"/>
      <w:bookmarkStart w:id="75" w:name="_Toc175819962"/>
      <w:r w:rsidRPr="00C06B6B">
        <w:rPr>
          <w:u w:val="single"/>
        </w:rPr>
        <w:t>R</w:t>
      </w:r>
      <w:bookmarkEnd w:id="72"/>
      <w:r w:rsidRPr="00C06B6B">
        <w:rPr>
          <w:u w:val="single"/>
        </w:rPr>
        <w:t xml:space="preserve">evisions </w:t>
      </w:r>
      <w:r w:rsidRPr="00C06B6B" w:rsidR="00C6229E">
        <w:rPr>
          <w:u w:val="single"/>
        </w:rPr>
        <w:t>to</w:t>
      </w:r>
      <w:r w:rsidRPr="00C06B6B">
        <w:rPr>
          <w:u w:val="single"/>
        </w:rPr>
        <w:t xml:space="preserve"> Eliminat</w:t>
      </w:r>
      <w:r w:rsidRPr="00C06B6B" w:rsidR="00C6229E">
        <w:rPr>
          <w:u w:val="single"/>
        </w:rPr>
        <w:t>e</w:t>
      </w:r>
      <w:r w:rsidRPr="00C06B6B">
        <w:rPr>
          <w:u w:val="single"/>
        </w:rPr>
        <w:t xml:space="preserve"> Compensation for Reactive Power Supply Within the Standard Power Factor Range</w:t>
      </w:r>
      <w:bookmarkEnd w:id="73"/>
      <w:bookmarkEnd w:id="74"/>
      <w:bookmarkEnd w:id="75"/>
      <w:r w:rsidRPr="00C06B6B">
        <w:rPr>
          <w:u w:val="single"/>
        </w:rPr>
        <w:t xml:space="preserve"> </w:t>
      </w:r>
    </w:p>
    <w:p w:rsidR="002707A1" w:rsidP="00504C1D" w14:paraId="471DC387" w14:textId="4FF7A82E">
      <w:pPr>
        <w:pStyle w:val="FERCparanumber"/>
      </w:pPr>
      <w:r w:rsidRPr="001956D8">
        <w:t xml:space="preserve">To effectuate the changes discussed herein, we </w:t>
      </w:r>
      <w:r>
        <w:t>are taking the following four actions.</w:t>
      </w:r>
    </w:p>
    <w:p w:rsidR="00104C1E" w:rsidRPr="00C06B6B" w:rsidP="009B7DD3" w14:paraId="53B950BC" w14:textId="1A095C83">
      <w:pPr>
        <w:pStyle w:val="Heading3"/>
        <w:rPr>
          <w:u w:val="single"/>
        </w:rPr>
      </w:pPr>
      <w:bookmarkStart w:id="76" w:name="_bmk25"/>
      <w:bookmarkStart w:id="77" w:name="_Toc161847107"/>
      <w:bookmarkStart w:id="78" w:name="_Toc160209708"/>
      <w:bookmarkStart w:id="79" w:name="_Toc175819963"/>
      <w:r w:rsidRPr="00C06B6B">
        <w:rPr>
          <w:u w:val="single"/>
        </w:rPr>
        <w:t>R</w:t>
      </w:r>
      <w:bookmarkEnd w:id="76"/>
      <w:r w:rsidRPr="00C06B6B">
        <w:rPr>
          <w:u w:val="single"/>
        </w:rPr>
        <w:t xml:space="preserve">evise Schedule 2 of the </w:t>
      </w:r>
      <w:r w:rsidRPr="00C06B6B" w:rsidR="00862085">
        <w:rPr>
          <w:u w:val="single"/>
        </w:rPr>
        <w:t>Commission’s</w:t>
      </w:r>
      <w:r w:rsidRPr="00C06B6B">
        <w:rPr>
          <w:u w:val="single"/>
        </w:rPr>
        <w:t xml:space="preserve"> </w:t>
      </w:r>
      <w:r w:rsidRPr="00C06B6B">
        <w:rPr>
          <w:i/>
          <w:iCs/>
          <w:u w:val="single"/>
        </w:rPr>
        <w:t>Pro F</w:t>
      </w:r>
      <w:r w:rsidRPr="00C06B6B">
        <w:rPr>
          <w:i/>
          <w:u w:val="single"/>
        </w:rPr>
        <w:t>orma</w:t>
      </w:r>
      <w:r w:rsidRPr="00C06B6B">
        <w:rPr>
          <w:u w:val="single"/>
        </w:rPr>
        <w:t xml:space="preserve"> OATT</w:t>
      </w:r>
      <w:bookmarkEnd w:id="77"/>
      <w:bookmarkEnd w:id="78"/>
      <w:bookmarkEnd w:id="79"/>
    </w:p>
    <w:p w:rsidR="00104C1E" w:rsidRPr="001956D8" w14:paraId="075B0D26" w14:textId="0006DE32">
      <w:pPr>
        <w:pStyle w:val="FERCparanumber"/>
      </w:pPr>
      <w:r w:rsidRPr="001956D8">
        <w:t xml:space="preserve">We revise Schedule 2 of the </w:t>
      </w:r>
      <w:r w:rsidR="00862085">
        <w:t>Commission’s</w:t>
      </w:r>
      <w:r w:rsidRPr="001956D8">
        <w:t xml:space="preserve"> </w:t>
      </w:r>
      <w:r w:rsidRPr="001956D8">
        <w:rPr>
          <w:i/>
        </w:rPr>
        <w:t>pro forma</w:t>
      </w:r>
      <w:r w:rsidRPr="001956D8">
        <w:t xml:space="preserve"> OATT to </w:t>
      </w:r>
      <w:r w:rsidR="00D37B1F">
        <w:t>include the following sentence</w:t>
      </w:r>
      <w:r w:rsidR="007640E6">
        <w:t xml:space="preserve"> at the end of Schedule 2: </w:t>
      </w:r>
      <w:r w:rsidR="008A22AF">
        <w:t xml:space="preserve"> </w:t>
      </w:r>
      <w:r w:rsidR="007640E6">
        <w:t>“</w:t>
      </w:r>
      <w:r w:rsidRPr="001956D8" w:rsidR="00D37B1F">
        <w:t>However, such rates shall not include any charges associated with the compensation to a generating facility for the supply of reactive power within the power factor range specified in its interconnection agreement.”</w:t>
      </w:r>
      <w:r w:rsidR="00D37B1F">
        <w:t xml:space="preserve"> </w:t>
      </w:r>
      <w:r w:rsidR="00C65CB1">
        <w:t xml:space="preserve"> </w:t>
      </w:r>
      <w:r w:rsidRPr="001956D8" w:rsidR="00E85BE7">
        <w:t>This revision prohibit</w:t>
      </w:r>
      <w:r w:rsidR="00A4177C">
        <w:t>s</w:t>
      </w:r>
      <w:r w:rsidRPr="001956D8" w:rsidR="00E85BE7">
        <w:t xml:space="preserve"> separate compensation for the provision of reactive power within the standard power factor range specified in an interconnection agreement.</w:t>
      </w:r>
    </w:p>
    <w:p w:rsidR="00104C1E" w:rsidRPr="00C06B6B" w:rsidP="009B7DD3" w14:paraId="4B141DE8" w14:textId="77777777">
      <w:pPr>
        <w:pStyle w:val="Heading3"/>
        <w:rPr>
          <w:u w:val="single"/>
        </w:rPr>
      </w:pPr>
      <w:bookmarkStart w:id="80" w:name="_bmk26"/>
      <w:bookmarkStart w:id="81" w:name="_Toc161847108"/>
      <w:bookmarkStart w:id="82" w:name="_Toc160209709"/>
      <w:bookmarkStart w:id="83" w:name="_Toc175819964"/>
      <w:r w:rsidRPr="00C06B6B">
        <w:rPr>
          <w:u w:val="single"/>
        </w:rPr>
        <w:t>R</w:t>
      </w:r>
      <w:bookmarkEnd w:id="80"/>
      <w:r w:rsidRPr="00C06B6B">
        <w:rPr>
          <w:u w:val="single"/>
        </w:rPr>
        <w:t xml:space="preserve">evise Section 9.6.3 of the </w:t>
      </w:r>
      <w:r w:rsidRPr="00C06B6B">
        <w:rPr>
          <w:i/>
          <w:iCs/>
          <w:u w:val="single"/>
        </w:rPr>
        <w:t>Pro Forma</w:t>
      </w:r>
      <w:r w:rsidRPr="00C06B6B">
        <w:rPr>
          <w:u w:val="single"/>
        </w:rPr>
        <w:t xml:space="preserve"> Large Generator Interconnection Agreement</w:t>
      </w:r>
      <w:bookmarkEnd w:id="81"/>
      <w:bookmarkEnd w:id="82"/>
      <w:bookmarkEnd w:id="83"/>
    </w:p>
    <w:p w:rsidR="00104C1E" w:rsidRPr="001956D8" w:rsidP="00104C1E" w14:paraId="5DCC2279" w14:textId="35E76198">
      <w:pPr>
        <w:pStyle w:val="FERCparanumber"/>
      </w:pPr>
      <w:r w:rsidRPr="001956D8">
        <w:t>We revis</w:t>
      </w:r>
      <w:r w:rsidR="00805A2F">
        <w:t>e</w:t>
      </w:r>
      <w:r w:rsidRPr="001956D8">
        <w:t xml:space="preserve"> section 9.6.3 of the </w:t>
      </w:r>
      <w:r w:rsidRPr="001956D8">
        <w:rPr>
          <w:i/>
          <w:iCs/>
        </w:rPr>
        <w:t>pro forma</w:t>
      </w:r>
      <w:r w:rsidRPr="001956D8">
        <w:t xml:space="preserve"> LGIA to remove the proviso: “provided that if Transmission Provider pays its own or affiliated generators for reactive power service within the specified range, it must also pay Interconnection Customer.”  Accordingly, under our proposal here, section 9.6.3 of the </w:t>
      </w:r>
      <w:r w:rsidRPr="001956D8">
        <w:rPr>
          <w:i/>
          <w:iCs/>
        </w:rPr>
        <w:t>pro forma</w:t>
      </w:r>
      <w:r w:rsidRPr="001956D8">
        <w:t xml:space="preserve"> LGIA would read as follows</w:t>
      </w:r>
      <w:r w:rsidRPr="001956D8" w:rsidR="003E66BA">
        <w:t xml:space="preserve">: </w:t>
      </w:r>
      <w:r w:rsidR="009551A9">
        <w:t xml:space="preserve"> </w:t>
      </w:r>
      <w:r w:rsidRPr="001956D8" w:rsidR="003E66BA">
        <w:t>“</w:t>
      </w:r>
      <w:r w:rsidRPr="001956D8">
        <w:rPr>
          <w:b/>
        </w:rPr>
        <w:t>Payment</w:t>
      </w:r>
      <w:r w:rsidRPr="001956D8">
        <w:rPr>
          <w:b/>
          <w:bCs/>
        </w:rPr>
        <w:t xml:space="preserve"> for Reactive Power.</w:t>
      </w:r>
      <w:r w:rsidRPr="001956D8">
        <w:t xml:space="preserve">  Transmission Provider is required to pay Interconnection Customer for reactive power that Interconnection Customer provides or absorbs from the Large Generating Facility when Transmission Provider requests Interconnection Customer to operate its Large Generating Facility outside the range </w:t>
      </w:r>
      <w:r w:rsidRPr="001956D8">
        <w:t>specified in Article 9.6.1.  Payments shall be pursuant to Article 11.6 or such other agreement to which the Parties have otherwise agreed.”  Along with the other proposed revisions, this proposed revision</w:t>
      </w:r>
      <w:r w:rsidRPr="001956D8">
        <w:t xml:space="preserve"> </w:t>
      </w:r>
      <w:r w:rsidRPr="001956D8">
        <w:t>prohibit</w:t>
      </w:r>
      <w:r w:rsidR="00E47E16">
        <w:t>s</w:t>
      </w:r>
      <w:r w:rsidRPr="001956D8">
        <w:t xml:space="preserve"> a transmission provider from including in its transmission rates any charges associated with the supply of reactive power within the specified power factor range from a generating facility.  Accordingly, transmission providers would be required to pay an interconnection customer for reactive power only when the transmission provider requests the interconnection customer to operate its facility outside the power factor range set forth in its interconnection agreement.</w:t>
      </w:r>
    </w:p>
    <w:p w:rsidR="00104C1E" w:rsidRPr="00C06B6B" w:rsidP="009B7DD3" w14:paraId="7B5369F3" w14:textId="77777777">
      <w:pPr>
        <w:pStyle w:val="Heading3"/>
        <w:rPr>
          <w:u w:val="single"/>
        </w:rPr>
      </w:pPr>
      <w:bookmarkStart w:id="84" w:name="_bmk27"/>
      <w:bookmarkStart w:id="85" w:name="_Toc161847109"/>
      <w:bookmarkStart w:id="86" w:name="_Toc160209710"/>
      <w:bookmarkStart w:id="87" w:name="_Toc175819965"/>
      <w:r w:rsidRPr="00C06B6B">
        <w:rPr>
          <w:u w:val="single"/>
        </w:rPr>
        <w:t>R</w:t>
      </w:r>
      <w:bookmarkEnd w:id="84"/>
      <w:r w:rsidRPr="00C06B6B">
        <w:rPr>
          <w:u w:val="single"/>
        </w:rPr>
        <w:t xml:space="preserve">evise Section 1.8.2 of the </w:t>
      </w:r>
      <w:r w:rsidRPr="00C06B6B">
        <w:rPr>
          <w:i/>
          <w:iCs/>
          <w:u w:val="single"/>
        </w:rPr>
        <w:t>Pro Forma</w:t>
      </w:r>
      <w:r w:rsidRPr="00C06B6B">
        <w:rPr>
          <w:u w:val="single"/>
        </w:rPr>
        <w:t xml:space="preserve"> Small Generator Interconnection Agreement</w:t>
      </w:r>
      <w:bookmarkEnd w:id="85"/>
      <w:bookmarkEnd w:id="86"/>
      <w:bookmarkEnd w:id="87"/>
    </w:p>
    <w:p w:rsidR="00104C1E" w:rsidRPr="00104C1E" w:rsidP="00104C1E" w14:paraId="6F1A86E6" w14:textId="0E106952">
      <w:pPr>
        <w:pStyle w:val="FERCparanumber"/>
      </w:pPr>
      <w:r w:rsidRPr="001956D8">
        <w:t xml:space="preserve">We </w:t>
      </w:r>
      <w:r w:rsidR="00E11356">
        <w:t xml:space="preserve">similarly </w:t>
      </w:r>
      <w:r w:rsidR="00755A09">
        <w:t>are revising</w:t>
      </w:r>
      <w:r w:rsidRPr="001956D8">
        <w:t xml:space="preserve"> section 1.8.2 of the </w:t>
      </w:r>
      <w:r w:rsidRPr="001956D8">
        <w:rPr>
          <w:i/>
          <w:iCs/>
        </w:rPr>
        <w:t>pro forma</w:t>
      </w:r>
      <w:r w:rsidRPr="001956D8">
        <w:t xml:space="preserve"> SGIA to remove the following sentence</w:t>
      </w:r>
      <w:r w:rsidRPr="001956D8" w:rsidR="00442F18">
        <w:t xml:space="preserve">: </w:t>
      </w:r>
      <w:r w:rsidR="009551A9">
        <w:t xml:space="preserve"> </w:t>
      </w:r>
      <w:r w:rsidRPr="001956D8" w:rsidR="00442F18">
        <w:t>“</w:t>
      </w:r>
      <w:r w:rsidRPr="001956D8">
        <w:t xml:space="preserve">In addition, if the Transmission Provider pays its own or affiliated generators for reactive power service within the specified range, it must also pay the Interconnection Customer.”  Accordingly, under our proposal here, section 1.8.2 of the </w:t>
      </w:r>
      <w:r w:rsidRPr="001956D8">
        <w:rPr>
          <w:i/>
          <w:iCs/>
        </w:rPr>
        <w:t>pro forma</w:t>
      </w:r>
      <w:r w:rsidRPr="001956D8">
        <w:t xml:space="preserve"> SGIA would read as follows</w:t>
      </w:r>
      <w:r w:rsidRPr="001956D8" w:rsidR="00442F18">
        <w:t xml:space="preserve">: </w:t>
      </w:r>
      <w:r w:rsidR="009551A9">
        <w:t xml:space="preserve"> </w:t>
      </w:r>
      <w:r w:rsidRPr="001956D8" w:rsidR="00442F18">
        <w:t>“</w:t>
      </w:r>
      <w:r w:rsidRPr="001956D8">
        <w:t>The Transmission Provider is required to pay the Interconnection Customer for reactive power that the Interconnection Customer provides or absorbs from the Small Generating Facility when the Transmission Provider requests the Interconnection Customer to operate its Small Generating Facility outside the range specified in article 1.8.1.”</w:t>
      </w:r>
    </w:p>
    <w:p w:rsidR="008B22DF" w:rsidRPr="00C06B6B" w:rsidP="00504C1D" w14:paraId="77B8619E" w14:textId="686407CB">
      <w:pPr>
        <w:pStyle w:val="Heading3"/>
        <w:rPr>
          <w:u w:val="single"/>
        </w:rPr>
      </w:pPr>
      <w:bookmarkStart w:id="88" w:name="_bmk28"/>
      <w:r w:rsidRPr="00C06B6B">
        <w:rPr>
          <w:u w:val="single"/>
        </w:rPr>
        <w:t>C</w:t>
      </w:r>
      <w:bookmarkEnd w:id="88"/>
      <w:r w:rsidRPr="00C06B6B">
        <w:rPr>
          <w:u w:val="single"/>
        </w:rPr>
        <w:t>ompliance</w:t>
      </w:r>
      <w:r w:rsidRPr="00C06B6B" w:rsidR="0023330F">
        <w:rPr>
          <w:u w:val="single"/>
        </w:rPr>
        <w:t xml:space="preserve"> P</w:t>
      </w:r>
      <w:r w:rsidRPr="00C06B6B">
        <w:rPr>
          <w:u w:val="single"/>
        </w:rPr>
        <w:t>rocedures</w:t>
      </w:r>
    </w:p>
    <w:p w:rsidR="00F145B8" w:rsidRPr="004F174B" w:rsidP="004F174B" w14:paraId="4748AF70" w14:textId="565A9792">
      <w:pPr>
        <w:pStyle w:val="FERCparanumber"/>
        <w:rPr>
          <w:rFonts w:eastAsiaTheme="majorEastAsia"/>
          <w:kern w:val="32"/>
          <w:szCs w:val="32"/>
        </w:rPr>
      </w:pPr>
      <w:r w:rsidRPr="00D1689C">
        <w:rPr>
          <w:rFonts w:eastAsiaTheme="majorEastAsia"/>
          <w:kern w:val="32"/>
          <w:szCs w:val="32"/>
        </w:rPr>
        <w:t xml:space="preserve">To effectuate these changes, we require </w:t>
      </w:r>
      <w:r w:rsidR="00A50485">
        <w:rPr>
          <w:rFonts w:eastAsiaTheme="majorEastAsia"/>
          <w:kern w:val="32"/>
          <w:szCs w:val="32"/>
        </w:rPr>
        <w:t xml:space="preserve">each </w:t>
      </w:r>
      <w:r w:rsidRPr="00D1689C">
        <w:rPr>
          <w:rFonts w:eastAsiaTheme="majorEastAsia"/>
          <w:kern w:val="32"/>
          <w:szCs w:val="32"/>
        </w:rPr>
        <w:t>transmission provider</w:t>
      </w:r>
      <w:r w:rsidR="00A50485">
        <w:rPr>
          <w:rFonts w:eastAsiaTheme="majorEastAsia"/>
          <w:kern w:val="32"/>
          <w:szCs w:val="32"/>
        </w:rPr>
        <w:t xml:space="preserve"> </w:t>
      </w:r>
      <w:r w:rsidRPr="00D1689C" w:rsidR="00871F6B">
        <w:rPr>
          <w:rFonts w:eastAsiaTheme="majorEastAsia"/>
          <w:kern w:val="32"/>
          <w:szCs w:val="32"/>
        </w:rPr>
        <w:t xml:space="preserve">to </w:t>
      </w:r>
      <w:r w:rsidR="00A50485">
        <w:rPr>
          <w:rFonts w:eastAsiaTheme="majorEastAsia"/>
          <w:kern w:val="32"/>
          <w:szCs w:val="32"/>
        </w:rPr>
        <w:t xml:space="preserve">submit </w:t>
      </w:r>
      <w:r w:rsidR="00A50485">
        <w:t>a</w:t>
      </w:r>
      <w:r w:rsidR="00871F6B">
        <w:t xml:space="preserve"> compliance filing </w:t>
      </w:r>
      <w:r w:rsidR="00832E37">
        <w:t>as d</w:t>
      </w:r>
      <w:r w:rsidR="00F955F3">
        <w:t xml:space="preserve">iscussed below </w:t>
      </w:r>
      <w:r w:rsidR="00871F6B">
        <w:t xml:space="preserve">to make </w:t>
      </w:r>
      <w:r w:rsidR="00414880">
        <w:t xml:space="preserve">changes </w:t>
      </w:r>
      <w:r w:rsidR="00871F6B">
        <w:t>to their Schedule 2s</w:t>
      </w:r>
      <w:r w:rsidR="00E62C1F">
        <w:t xml:space="preserve"> or other </w:t>
      </w:r>
      <w:r w:rsidR="00980523">
        <w:t xml:space="preserve">OATT </w:t>
      </w:r>
      <w:r w:rsidR="00E62C1F">
        <w:t>provisions relating to charges and payments for reactive power</w:t>
      </w:r>
      <w:r w:rsidR="00871F6B">
        <w:t>,</w:t>
      </w:r>
      <w:r w:rsidR="00D1689C">
        <w:t xml:space="preserve"> as well as </w:t>
      </w:r>
      <w:r w:rsidR="00794112">
        <w:t xml:space="preserve">to </w:t>
      </w:r>
      <w:r w:rsidR="00D95572">
        <w:t>the</w:t>
      </w:r>
      <w:r w:rsidR="00B0273C">
        <w:t>ir</w:t>
      </w:r>
      <w:r w:rsidR="00D95572">
        <w:t xml:space="preserve"> </w:t>
      </w:r>
      <w:r w:rsidRPr="00D1689C" w:rsidR="00D95572">
        <w:rPr>
          <w:i/>
          <w:iCs/>
        </w:rPr>
        <w:t>pro forma</w:t>
      </w:r>
      <w:r w:rsidRPr="00C05B45" w:rsidR="00D95572">
        <w:rPr>
          <w:iCs/>
        </w:rPr>
        <w:t xml:space="preserve"> </w:t>
      </w:r>
      <w:r w:rsidR="00871F6B">
        <w:t xml:space="preserve">LGIAs and </w:t>
      </w:r>
      <w:r w:rsidR="00B0273C">
        <w:rPr>
          <w:i/>
          <w:iCs/>
        </w:rPr>
        <w:t xml:space="preserve">pro forma </w:t>
      </w:r>
      <w:r w:rsidR="00871F6B">
        <w:t>SGIAs</w:t>
      </w:r>
      <w:r w:rsidR="00D1689C">
        <w:t xml:space="preserve"> in their </w:t>
      </w:r>
      <w:r w:rsidRPr="001F6E58" w:rsidR="00980523">
        <w:t>OATTs</w:t>
      </w:r>
      <w:r w:rsidRPr="001F6E58" w:rsidR="00D1689C">
        <w:t>.</w:t>
      </w:r>
      <w:r w:rsidR="00D1689C">
        <w:rPr>
          <w:rFonts w:eastAsiaTheme="majorEastAsia"/>
          <w:kern w:val="32"/>
          <w:szCs w:val="32"/>
        </w:rPr>
        <w:t xml:space="preserve">  </w:t>
      </w:r>
      <w:r w:rsidRPr="00CD2C9F" w:rsidR="003E4092">
        <w:rPr>
          <w:rFonts w:eastAsiaTheme="majorEastAsia"/>
          <w:kern w:val="32"/>
          <w:szCs w:val="32"/>
        </w:rPr>
        <w:t xml:space="preserve">To the extent that any transmission provider believes that it already complies with the reforms adopted in </w:t>
      </w:r>
      <w:r w:rsidRPr="001F6E58" w:rsidR="002A1E97">
        <w:rPr>
          <w:rFonts w:eastAsiaTheme="majorEastAsia"/>
          <w:kern w:val="32"/>
          <w:szCs w:val="32"/>
        </w:rPr>
        <w:t xml:space="preserve">this </w:t>
      </w:r>
      <w:r w:rsidR="00126E54">
        <w:rPr>
          <w:rFonts w:eastAsiaTheme="majorEastAsia"/>
          <w:kern w:val="32"/>
          <w:szCs w:val="32"/>
        </w:rPr>
        <w:t>final rule</w:t>
      </w:r>
      <w:r w:rsidRPr="00CD2C9F" w:rsidR="003E4092">
        <w:rPr>
          <w:rFonts w:eastAsiaTheme="majorEastAsia"/>
          <w:kern w:val="32"/>
          <w:szCs w:val="32"/>
        </w:rPr>
        <w:t xml:space="preserve">, the transmission provider </w:t>
      </w:r>
      <w:r w:rsidRPr="009901CA" w:rsidR="00224037">
        <w:rPr>
          <w:rFonts w:eastAsiaTheme="majorEastAsia"/>
          <w:kern w:val="32"/>
          <w:szCs w:val="32"/>
        </w:rPr>
        <w:t>is</w:t>
      </w:r>
      <w:r w:rsidR="00224037">
        <w:rPr>
          <w:rFonts w:eastAsiaTheme="majorEastAsia"/>
          <w:kern w:val="32"/>
          <w:szCs w:val="32"/>
        </w:rPr>
        <w:t xml:space="preserve"> </w:t>
      </w:r>
      <w:r w:rsidRPr="00CD2C9F" w:rsidR="003E4092">
        <w:rPr>
          <w:rFonts w:eastAsiaTheme="majorEastAsia"/>
          <w:kern w:val="32"/>
          <w:szCs w:val="32"/>
        </w:rPr>
        <w:t xml:space="preserve">required to demonstrate how it complies in the compliance filing required 60 days after the effective date of </w:t>
      </w:r>
      <w:r w:rsidR="007B01F3">
        <w:rPr>
          <w:rFonts w:eastAsiaTheme="majorEastAsia"/>
          <w:kern w:val="32"/>
          <w:szCs w:val="32"/>
        </w:rPr>
        <w:t xml:space="preserve">the </w:t>
      </w:r>
      <w:r w:rsidR="00126E54">
        <w:rPr>
          <w:rFonts w:eastAsiaTheme="majorEastAsia"/>
          <w:kern w:val="32"/>
          <w:szCs w:val="32"/>
        </w:rPr>
        <w:t>final rule</w:t>
      </w:r>
      <w:r w:rsidRPr="001F6E58" w:rsidR="003E4092">
        <w:rPr>
          <w:rFonts w:eastAsiaTheme="majorEastAsia"/>
          <w:kern w:val="32"/>
          <w:szCs w:val="32"/>
        </w:rPr>
        <w:t>.</w:t>
      </w:r>
      <w:r w:rsidRPr="00CD2C9F" w:rsidR="003E4092">
        <w:rPr>
          <w:rFonts w:eastAsiaTheme="majorEastAsia"/>
          <w:kern w:val="32"/>
          <w:szCs w:val="32"/>
        </w:rPr>
        <w:t xml:space="preserve">  In reviewing compliance filings</w:t>
      </w:r>
      <w:r w:rsidRPr="00A968CD" w:rsidR="00A968CD">
        <w:rPr>
          <w:rFonts w:eastAsiaTheme="majorEastAsia"/>
          <w:kern w:val="32"/>
          <w:szCs w:val="32"/>
        </w:rPr>
        <w:t xml:space="preserve"> proposed by non-RTO/ISO transmission providers</w:t>
      </w:r>
      <w:r w:rsidRPr="00CD2C9F" w:rsidR="003E4092">
        <w:rPr>
          <w:rFonts w:eastAsiaTheme="majorEastAsia"/>
          <w:kern w:val="32"/>
          <w:szCs w:val="32"/>
        </w:rPr>
        <w:t xml:space="preserve">, the Commission will apply the “consistent with or superior to” standard to deviations from the adopted </w:t>
      </w:r>
      <w:r w:rsidRPr="00CD2C9F" w:rsidR="003E4092">
        <w:rPr>
          <w:rFonts w:eastAsiaTheme="majorEastAsia"/>
          <w:i/>
          <w:kern w:val="32"/>
          <w:szCs w:val="32"/>
        </w:rPr>
        <w:t>pro forma</w:t>
      </w:r>
      <w:r w:rsidRPr="00CD2C9F" w:rsidR="003E4092">
        <w:rPr>
          <w:rFonts w:eastAsiaTheme="majorEastAsia"/>
          <w:kern w:val="32"/>
          <w:szCs w:val="32"/>
        </w:rPr>
        <w:t xml:space="preserve"> </w:t>
      </w:r>
      <w:r w:rsidRPr="002D2D34" w:rsidR="002D2D34">
        <w:rPr>
          <w:rFonts w:eastAsiaTheme="majorEastAsia"/>
          <w:kern w:val="32"/>
          <w:szCs w:val="32"/>
        </w:rPr>
        <w:t>Schedule 2</w:t>
      </w:r>
      <w:r>
        <w:rPr>
          <w:rStyle w:val="FootnoteReference"/>
          <w:rFonts w:eastAsiaTheme="majorEastAsia"/>
          <w:kern w:val="32"/>
          <w:szCs w:val="32"/>
        </w:rPr>
        <w:footnoteReference w:id="568"/>
      </w:r>
      <w:r w:rsidRPr="002D2D34" w:rsidR="002D2D34">
        <w:rPr>
          <w:rFonts w:eastAsiaTheme="majorEastAsia"/>
          <w:kern w:val="32"/>
          <w:szCs w:val="32"/>
        </w:rPr>
        <w:t xml:space="preserve"> and to deviations from the </w:t>
      </w:r>
      <w:r w:rsidRPr="002D2D34" w:rsidR="002D2D34">
        <w:rPr>
          <w:rFonts w:eastAsiaTheme="majorEastAsia"/>
          <w:i/>
          <w:iCs/>
          <w:kern w:val="32"/>
          <w:szCs w:val="32"/>
        </w:rPr>
        <w:t>pro forma</w:t>
      </w:r>
      <w:r w:rsidRPr="002D2D34" w:rsidR="002D2D34">
        <w:rPr>
          <w:rFonts w:eastAsiaTheme="majorEastAsia"/>
          <w:kern w:val="32"/>
          <w:szCs w:val="32"/>
        </w:rPr>
        <w:t xml:space="preserve"> LGIA and </w:t>
      </w:r>
      <w:r w:rsidRPr="002D2D34" w:rsidR="002D2D34">
        <w:rPr>
          <w:rFonts w:eastAsiaTheme="majorEastAsia"/>
          <w:i/>
          <w:iCs/>
          <w:kern w:val="32"/>
          <w:szCs w:val="32"/>
        </w:rPr>
        <w:t>pro forma</w:t>
      </w:r>
      <w:r w:rsidRPr="002D2D34" w:rsidR="002D2D34">
        <w:rPr>
          <w:rFonts w:eastAsiaTheme="majorEastAsia"/>
          <w:kern w:val="32"/>
          <w:szCs w:val="32"/>
        </w:rPr>
        <w:t xml:space="preserve"> SGIA</w:t>
      </w:r>
      <w:r w:rsidR="00DA6FDF">
        <w:rPr>
          <w:rFonts w:eastAsiaTheme="majorEastAsia"/>
          <w:kern w:val="32"/>
          <w:szCs w:val="32"/>
        </w:rPr>
        <w:t>.</w:t>
      </w:r>
      <w:r>
        <w:rPr>
          <w:rStyle w:val="FootnoteReference"/>
          <w:rFonts w:eastAsiaTheme="majorEastAsia"/>
          <w:kern w:val="32"/>
          <w:szCs w:val="32"/>
        </w:rPr>
        <w:footnoteReference w:id="569"/>
      </w:r>
      <w:r w:rsidRPr="00CD2C9F" w:rsidR="003E4092">
        <w:rPr>
          <w:rFonts w:eastAsiaTheme="majorEastAsia"/>
          <w:kern w:val="32"/>
          <w:szCs w:val="32"/>
        </w:rPr>
        <w:t xml:space="preserve">  In evaluating compliance filings made by RTOs/ISOs, the Commission will apply the “consistent with or superior to” standard to deviations from the adopted </w:t>
      </w:r>
      <w:r w:rsidR="00484FF4">
        <w:rPr>
          <w:rFonts w:eastAsiaTheme="majorEastAsia"/>
          <w:kern w:val="32"/>
          <w:szCs w:val="32"/>
        </w:rPr>
        <w:t xml:space="preserve">         </w:t>
      </w:r>
      <w:r w:rsidRPr="00CD2C9F" w:rsidR="003E4092">
        <w:rPr>
          <w:rFonts w:eastAsiaTheme="majorEastAsia"/>
          <w:i/>
          <w:iCs/>
          <w:kern w:val="32"/>
          <w:szCs w:val="32"/>
        </w:rPr>
        <w:t>pro forma</w:t>
      </w:r>
      <w:r w:rsidRPr="00CD2C9F" w:rsidR="003E4092">
        <w:rPr>
          <w:rFonts w:eastAsiaTheme="majorEastAsia"/>
          <w:kern w:val="32"/>
          <w:szCs w:val="32"/>
        </w:rPr>
        <w:t xml:space="preserve"> Schedule 2 and the “independent entity variation standard” to deviations from the </w:t>
      </w:r>
      <w:r w:rsidRPr="00CD2C9F" w:rsidR="003E4092">
        <w:rPr>
          <w:rFonts w:eastAsiaTheme="majorEastAsia"/>
          <w:i/>
          <w:iCs/>
          <w:kern w:val="32"/>
          <w:szCs w:val="32"/>
        </w:rPr>
        <w:t xml:space="preserve">pro </w:t>
      </w:r>
      <w:r w:rsidRPr="005232B5" w:rsidR="003E4092">
        <w:rPr>
          <w:rFonts w:eastAsiaTheme="majorEastAsia"/>
          <w:i/>
          <w:iCs/>
          <w:kern w:val="32"/>
          <w:szCs w:val="32"/>
        </w:rPr>
        <w:t>forma</w:t>
      </w:r>
      <w:r w:rsidRPr="005232B5" w:rsidR="003E4092">
        <w:rPr>
          <w:rFonts w:eastAsiaTheme="majorEastAsia"/>
          <w:kern w:val="32"/>
          <w:szCs w:val="32"/>
        </w:rPr>
        <w:t xml:space="preserve"> LGIA and </w:t>
      </w:r>
      <w:r w:rsidRPr="005232B5" w:rsidR="003E4092">
        <w:rPr>
          <w:rFonts w:eastAsiaTheme="majorEastAsia"/>
          <w:i/>
          <w:iCs/>
          <w:kern w:val="32"/>
          <w:szCs w:val="32"/>
        </w:rPr>
        <w:t>pro forma</w:t>
      </w:r>
      <w:r w:rsidRPr="005232B5" w:rsidR="003E4092">
        <w:rPr>
          <w:rFonts w:eastAsiaTheme="majorEastAsia"/>
          <w:kern w:val="32"/>
          <w:szCs w:val="32"/>
        </w:rPr>
        <w:t xml:space="preserve"> SGIA.</w:t>
      </w:r>
      <w:r>
        <w:rPr>
          <w:rStyle w:val="FootnoteReference"/>
          <w:rFonts w:eastAsiaTheme="majorEastAsia"/>
          <w:kern w:val="32"/>
          <w:szCs w:val="32"/>
        </w:rPr>
        <w:footnoteReference w:id="570"/>
      </w:r>
    </w:p>
    <w:p w:rsidR="009B7DD3" w:rsidRPr="00C06B6B" w:rsidP="009B7DD3" w14:paraId="4CEBB93C" w14:textId="3A43C716">
      <w:pPr>
        <w:pStyle w:val="Heading2"/>
        <w:rPr>
          <w:u w:val="single"/>
        </w:rPr>
      </w:pPr>
      <w:bookmarkStart w:id="89" w:name="_bmk29"/>
      <w:bookmarkStart w:id="90" w:name="_Toc175819966"/>
      <w:bookmarkStart w:id="91" w:name="_Toc175819987"/>
      <w:bookmarkStart w:id="92" w:name="_Toc175819975"/>
      <w:bookmarkStart w:id="93" w:name="_Toc175819992"/>
      <w:r w:rsidRPr="00C06B6B">
        <w:rPr>
          <w:u w:val="single"/>
        </w:rPr>
        <w:t>T</w:t>
      </w:r>
      <w:bookmarkEnd w:id="89"/>
      <w:r w:rsidRPr="00C06B6B">
        <w:rPr>
          <w:u w:val="single"/>
        </w:rPr>
        <w:t>ransition Period</w:t>
      </w:r>
      <w:bookmarkEnd w:id="90"/>
      <w:bookmarkEnd w:id="91"/>
    </w:p>
    <w:p w:rsidR="009B7DD3" w:rsidP="009B7DD3" w14:paraId="0A2E194D" w14:textId="07A04027">
      <w:pPr>
        <w:pStyle w:val="FERCparanumber"/>
      </w:pPr>
      <w:r>
        <w:t xml:space="preserve">In the NOPR, the Commission proposed to require each transmission provider to submit a compliance filing within 60 days of the effective date of the </w:t>
      </w:r>
      <w:r w:rsidR="00126E54">
        <w:t>final rule</w:t>
      </w:r>
      <w:r>
        <w:t xml:space="preserve">.  The Commission further proposed to allow 90 days from the date of the compliance filing for </w:t>
      </w:r>
      <w:r>
        <w:t>implementation of the proposed reforms to become effective.</w:t>
      </w:r>
      <w:r>
        <w:rPr>
          <w:rStyle w:val="FootnoteReference"/>
        </w:rPr>
        <w:footnoteReference w:id="571"/>
      </w:r>
      <w:r>
        <w:t xml:space="preserve">  The NOPR sought comment on whether a transition period beyond the 90-day implementation period proposed was necessary and for what duration any transition period should last.</w:t>
      </w:r>
      <w:r>
        <w:rPr>
          <w:rStyle w:val="FootnoteReference"/>
        </w:rPr>
        <w:footnoteReference w:id="572"/>
      </w:r>
      <w:r>
        <w:t xml:space="preserve">  Specifically, the NOPR ask</w:t>
      </w:r>
      <w:r w:rsidR="00F0136D">
        <w:t>ed</w:t>
      </w:r>
      <w:r>
        <w:t xml:space="preserve"> if any factors, such as potential business or investment impacts, should be considered in determining whether any transition period is appropriate and what transition mechanisms other than delaying the implementation date of the </w:t>
      </w:r>
      <w:r w:rsidR="00126E54">
        <w:t>final rule</w:t>
      </w:r>
      <w:r>
        <w:t xml:space="preserve"> would minimize such disruptions.</w:t>
      </w:r>
    </w:p>
    <w:p w:rsidR="009B7DD3" w:rsidP="009B7DD3" w14:paraId="258D6508" w14:textId="77777777">
      <w:pPr>
        <w:pStyle w:val="FERCparanumber"/>
      </w:pPr>
      <w:r>
        <w:t>The NOPR also sought comment on whether existing generating facilities that have previously received compensation for reactive power capability should be allowed to continue to receive compensation for a limited period, as an interim rate during a transition period, while prohibiting new generating facilities from receiving reactive power capability compensation.</w:t>
      </w:r>
      <w:r>
        <w:rPr>
          <w:rStyle w:val="FootnoteReference"/>
        </w:rPr>
        <w:footnoteReference w:id="573"/>
      </w:r>
      <w:r>
        <w:t xml:space="preserve">  The NOPR asks how it should determine eligibility for continued compensation.</w:t>
      </w:r>
    </w:p>
    <w:p w:rsidR="009B7DD3" w:rsidP="009B7DD3" w14:paraId="3C69B760" w14:textId="29C9DA2E">
      <w:pPr>
        <w:pStyle w:val="FERCparanumber"/>
      </w:pPr>
      <w:r>
        <w:t xml:space="preserve">In addition, for regions that have an established capacity market, the NOPR sought comment on whether transmission providers should be allowed to make the implementation of their compliance filing align with the region’s capacity market  timelines to allow costs associated with reactive power production, if any, to be </w:t>
      </w:r>
      <w:r>
        <w:t>incorporated into capacity market bids.</w:t>
      </w:r>
      <w:r>
        <w:rPr>
          <w:rStyle w:val="FootnoteReference"/>
        </w:rPr>
        <w:footnoteReference w:id="574"/>
      </w:r>
      <w:r>
        <w:t xml:space="preserve">  For regions without a capacity market, the NOPR sought comment on whether a different transition mechanism, if any, would be necessary and whether it would be unduly discriminatory or preferential to set different implementation dates for the </w:t>
      </w:r>
      <w:r w:rsidR="00126E54">
        <w:t>final rule</w:t>
      </w:r>
      <w:r>
        <w:t xml:space="preserve"> in different markets and regions.</w:t>
      </w:r>
    </w:p>
    <w:p w:rsidR="009B7DD3" w:rsidRPr="00C06B6B" w:rsidP="009B7DD3" w14:paraId="3EACC50D" w14:textId="77777777">
      <w:pPr>
        <w:pStyle w:val="Heading3"/>
        <w:rPr>
          <w:u w:val="single"/>
        </w:rPr>
      </w:pPr>
      <w:bookmarkStart w:id="94" w:name="_bmk30"/>
      <w:bookmarkStart w:id="95" w:name="_Toc175819967"/>
      <w:bookmarkStart w:id="96" w:name="_Toc175819988"/>
      <w:r w:rsidRPr="00C06B6B">
        <w:rPr>
          <w:u w:val="single"/>
        </w:rPr>
        <w:t>C</w:t>
      </w:r>
      <w:bookmarkEnd w:id="94"/>
      <w:r w:rsidRPr="00C06B6B">
        <w:rPr>
          <w:u w:val="single"/>
        </w:rPr>
        <w:t>omments</w:t>
      </w:r>
      <w:bookmarkEnd w:id="95"/>
      <w:bookmarkEnd w:id="96"/>
    </w:p>
    <w:p w:rsidR="009B7DD3" w:rsidP="009B7DD3" w14:paraId="05106223" w14:textId="18369691">
      <w:pPr>
        <w:pStyle w:val="FERCparanumber"/>
      </w:pPr>
      <w:r w:rsidRPr="00921B5C">
        <w:t>Several commenters who support the NOPR assert that no transition beyond the 90-day transition period in the NOPR is necessary.</w:t>
      </w:r>
      <w:r>
        <w:rPr>
          <w:rStyle w:val="FootnoteReference"/>
        </w:rPr>
        <w:footnoteReference w:id="575"/>
      </w:r>
      <w:r>
        <w:t xml:space="preserve"> </w:t>
      </w:r>
      <w:r w:rsidRPr="00921B5C">
        <w:t xml:space="preserve"> </w:t>
      </w:r>
      <w:r w:rsidRPr="002766F1">
        <w:t xml:space="preserve">MISO Transmission Owners urge the Commission to neither provide a transition period nor compensate generators </w:t>
      </w:r>
      <w:r w:rsidR="003E6698">
        <w:t>that</w:t>
      </w:r>
      <w:r w:rsidRPr="002766F1">
        <w:t xml:space="preserve"> previously received reactive power compensation for a limited period.</w:t>
      </w:r>
      <w:r>
        <w:rPr>
          <w:b/>
          <w:bCs/>
          <w:vertAlign w:val="superscript"/>
        </w:rPr>
        <w:footnoteReference w:id="576"/>
      </w:r>
      <w:r w:rsidRPr="002766F1">
        <w:t xml:space="preserve"> </w:t>
      </w:r>
      <w:r>
        <w:t xml:space="preserve"> </w:t>
      </w:r>
      <w:r w:rsidRPr="002766F1">
        <w:t>MISO Transmission Owners urge the Commission to adopt the NOPR’s proposed rule to be effective immediately.</w:t>
      </w:r>
      <w:r>
        <w:rPr>
          <w:b/>
          <w:bCs/>
          <w:vertAlign w:val="superscript"/>
        </w:rPr>
        <w:footnoteReference w:id="577"/>
      </w:r>
      <w:r w:rsidRPr="002766F1">
        <w:t xml:space="preserve">  </w:t>
      </w:r>
      <w:r w:rsidRPr="00921B5C">
        <w:t>While Joint</w:t>
      </w:r>
      <w:r>
        <w:t xml:space="preserve"> Customers oppose a transition period, citing Commission policy and precedent,</w:t>
      </w:r>
      <w:r w:rsidRPr="002766F1">
        <w:rPr>
          <w:rFonts w:cstheme="minorBidi"/>
          <w:b/>
          <w:kern w:val="2"/>
          <w:vertAlign w:val="superscript"/>
          <w14:ligatures w14:val="standardContextual"/>
        </w:rPr>
        <w:t xml:space="preserve"> </w:t>
      </w:r>
      <w:r>
        <w:rPr>
          <w:b/>
          <w:vertAlign w:val="superscript"/>
        </w:rPr>
        <w:footnoteReference w:id="578"/>
      </w:r>
      <w:r>
        <w:t xml:space="preserve"> they state that </w:t>
      </w:r>
      <w:r w:rsidRPr="005E7ABD">
        <w:t>only a brief transition period, if any, is necessary for the implementation of the NOPR reforms.</w:t>
      </w:r>
      <w:r>
        <w:rPr>
          <w:b/>
          <w:vertAlign w:val="superscript"/>
        </w:rPr>
        <w:footnoteReference w:id="579"/>
      </w:r>
    </w:p>
    <w:p w:rsidR="009B7DD3" w:rsidP="009B7DD3" w14:paraId="60918718" w14:textId="77777777">
      <w:pPr>
        <w:pStyle w:val="FERCparanumber"/>
      </w:pPr>
      <w:r w:rsidRPr="007D2113">
        <w:t>PGE states that it does not believe the decision to implement these provisions in the 90-day implementation period will have a measurable impact on business or investment decisions.</w:t>
      </w:r>
      <w:r>
        <w:rPr>
          <w:b/>
          <w:vertAlign w:val="superscript"/>
        </w:rPr>
        <w:footnoteReference w:id="580"/>
      </w:r>
    </w:p>
    <w:p w:rsidR="009B7DD3" w:rsidP="009B7DD3" w14:paraId="49F88E44" w14:textId="66581646">
      <w:pPr>
        <w:pStyle w:val="FERCparanumber"/>
      </w:pPr>
      <w:r>
        <w:t>Joint Customers and MISO Transmission Owners suggest that generators should have made business or investment decisions in anticipation of the potential elimination of reactive power within the standard power factor range.</w:t>
      </w:r>
      <w:r>
        <w:rPr>
          <w:rStyle w:val="FootnoteReference"/>
        </w:rPr>
        <w:footnoteReference w:id="581"/>
      </w:r>
      <w:r>
        <w:t xml:space="preserve">  Joint Customers explain</w:t>
      </w:r>
      <w:r w:rsidRPr="006829F9">
        <w:t xml:space="preserve"> that the move towards these reforms has been ongoing for years, providing ample time for market participants to adjust their investment strategies.</w:t>
      </w:r>
      <w:r>
        <w:rPr>
          <w:b/>
          <w:vertAlign w:val="superscript"/>
        </w:rPr>
        <w:footnoteReference w:id="582"/>
      </w:r>
      <w:r>
        <w:t xml:space="preserve">  Similarly,</w:t>
      </w:r>
      <w:r w:rsidRPr="009E349F">
        <w:t xml:space="preserve"> MISO Transmission Owners </w:t>
      </w:r>
      <w:r>
        <w:t xml:space="preserve">assert </w:t>
      </w:r>
      <w:r w:rsidRPr="009E349F">
        <w:t>that generators have been on notice of the prospect of the elimination of reactive power since Order No. 2003 and reminded of it routinely since then</w:t>
      </w:r>
      <w:r>
        <w:t>.</w:t>
      </w:r>
      <w:r>
        <w:rPr>
          <w:b/>
          <w:vertAlign w:val="superscript"/>
        </w:rPr>
        <w:footnoteReference w:id="583"/>
      </w:r>
    </w:p>
    <w:p w:rsidR="009B7DD3" w:rsidRPr="00276A65" w:rsidP="009B7DD3" w14:paraId="5F76ABC8" w14:textId="22120658">
      <w:pPr>
        <w:pStyle w:val="FERCparanumber"/>
        <w:rPr>
          <w:szCs w:val="26"/>
        </w:rPr>
      </w:pPr>
      <w:r>
        <w:t>MISO Transmission Owners and TAPS both oppose a transition period so that reduced rate relief can be provided to customers.</w:t>
      </w:r>
      <w:r>
        <w:rPr>
          <w:rStyle w:val="FootnoteReference"/>
        </w:rPr>
        <w:footnoteReference w:id="584"/>
      </w:r>
      <w:r>
        <w:t xml:space="preserve">  MISO Transmission Owners emphasize that the Commission found that </w:t>
      </w:r>
      <w:r w:rsidR="00EA29C4">
        <w:t xml:space="preserve">by </w:t>
      </w:r>
      <w:r>
        <w:t xml:space="preserve">eliminating compensation for reactive </w:t>
      </w:r>
      <w:r>
        <w:t>power within the standard power factor range MISO would “reduce charges to MISO’s transmission customers</w:t>
      </w:r>
      <w:r w:rsidRPr="002020A5">
        <w:t>.”</w:t>
      </w:r>
      <w:r>
        <w:rPr>
          <w:b/>
          <w:bCs/>
          <w:vertAlign w:val="superscript"/>
        </w:rPr>
        <w:footnoteReference w:id="585"/>
      </w:r>
      <w:r>
        <w:t xml:space="preserve"> </w:t>
      </w:r>
      <w:r w:rsidRPr="002020A5">
        <w:t xml:space="preserve"> MISO Transmission Owners further state that the Commission should not compensate generators that previously received reactive power compensation for a limited period for such reasons.</w:t>
      </w:r>
      <w:r>
        <w:rPr>
          <w:b/>
          <w:bCs/>
          <w:vertAlign w:val="superscript"/>
        </w:rPr>
        <w:footnoteReference w:id="586"/>
      </w:r>
      <w:r>
        <w:t xml:space="preserve">  </w:t>
      </w:r>
      <w:r w:rsidR="00D461E5">
        <w:t>MISO Transmission Owners add that</w:t>
      </w:r>
      <w:r w:rsidR="00C40AD4">
        <w:t>, under the current compensation scheme, generating facilities are able</w:t>
      </w:r>
      <w:r w:rsidR="0058105B">
        <w:t xml:space="preserve"> to “gold-plate their reactive capa</w:t>
      </w:r>
      <w:r w:rsidR="00D37897">
        <w:t xml:space="preserve">bilities to the </w:t>
      </w:r>
      <w:r w:rsidR="005D225A">
        <w:t>detriment of ratepayers,” so the Commissio</w:t>
      </w:r>
      <w:r w:rsidR="00E17353">
        <w:t>n</w:t>
      </w:r>
      <w:r w:rsidR="008D228A">
        <w:t xml:space="preserve"> “should refrain from imposing any transition period </w:t>
      </w:r>
      <w:r w:rsidR="009921F1">
        <w:t xml:space="preserve">or vintaging </w:t>
      </w:r>
      <w:r w:rsidR="008A4CE7">
        <w:t xml:space="preserve">carve-outs that allow </w:t>
      </w:r>
      <w:r w:rsidR="00282F29">
        <w:t xml:space="preserve">   </w:t>
      </w:r>
      <w:r w:rsidR="008A4CE7">
        <w:t>capability-based compensation to continue</w:t>
      </w:r>
      <w:r w:rsidR="00F47610">
        <w:t>.”</w:t>
      </w:r>
      <w:r>
        <w:rPr>
          <w:rStyle w:val="FootnoteReference"/>
        </w:rPr>
        <w:footnoteReference w:id="587"/>
      </w:r>
      <w:r w:rsidR="00F47610">
        <w:t xml:space="preserve"> </w:t>
      </w:r>
      <w:r w:rsidR="00C40AD4">
        <w:t xml:space="preserve"> </w:t>
      </w:r>
      <w:r w:rsidRPr="00B4656C">
        <w:t xml:space="preserve">TAPS claims that customers, including TAPS members, have been harmed by excessive reactive power compensation thus far and accompanying inefficient, administratively burdensome, case-by-case </w:t>
      </w:r>
      <w:r w:rsidRPr="00B4656C">
        <w:rPr>
          <w:szCs w:val="26"/>
        </w:rPr>
        <w:t>determinations.</w:t>
      </w:r>
      <w:r>
        <w:rPr>
          <w:rStyle w:val="FootnoteReference"/>
          <w:szCs w:val="26"/>
        </w:rPr>
        <w:footnoteReference w:id="588"/>
      </w:r>
      <w:r w:rsidRPr="00B4656C">
        <w:rPr>
          <w:szCs w:val="26"/>
        </w:rPr>
        <w:t xml:space="preserve">  Therefore, TAPS argues against a transition period because generators should no longer benefit from currently unjust and unreasonable rates.</w:t>
      </w:r>
      <w:r>
        <w:rPr>
          <w:rStyle w:val="FootnoteReference"/>
          <w:szCs w:val="26"/>
        </w:rPr>
        <w:footnoteReference w:id="589"/>
      </w:r>
      <w:r>
        <w:rPr>
          <w:szCs w:val="26"/>
        </w:rPr>
        <w:t xml:space="preserve">  Likewise, </w:t>
      </w:r>
      <w:r w:rsidRPr="00276A65">
        <w:rPr>
          <w:szCs w:val="26"/>
        </w:rPr>
        <w:t xml:space="preserve">Joint Customers </w:t>
      </w:r>
      <w:r>
        <w:rPr>
          <w:szCs w:val="26"/>
        </w:rPr>
        <w:t>noted</w:t>
      </w:r>
      <w:r w:rsidRPr="00276A65">
        <w:rPr>
          <w:szCs w:val="26"/>
        </w:rPr>
        <w:t xml:space="preserve"> the Commission </w:t>
      </w:r>
      <w:r>
        <w:rPr>
          <w:szCs w:val="26"/>
        </w:rPr>
        <w:t xml:space="preserve">has previously </w:t>
      </w:r>
      <w:r w:rsidRPr="00276A65">
        <w:rPr>
          <w:szCs w:val="26"/>
        </w:rPr>
        <w:t>rejected the continuation of compensation beyond the tariff effective date.</w:t>
      </w:r>
      <w:r>
        <w:rPr>
          <w:b/>
          <w:szCs w:val="26"/>
          <w:vertAlign w:val="superscript"/>
        </w:rPr>
        <w:footnoteReference w:id="590"/>
      </w:r>
    </w:p>
    <w:p w:rsidR="009B7DD3" w:rsidRPr="006E5D60" w:rsidP="009B7DD3" w14:paraId="7A76449B" w14:textId="44709953">
      <w:pPr>
        <w:pStyle w:val="FERCparanumber"/>
        <w:rPr>
          <w:szCs w:val="26"/>
        </w:rPr>
      </w:pPr>
      <w:r>
        <w:rPr>
          <w:szCs w:val="26"/>
        </w:rPr>
        <w:t>Calpine and Indicated Trade Associations</w:t>
      </w:r>
      <w:r w:rsidRPr="008D6A16">
        <w:rPr>
          <w:szCs w:val="26"/>
        </w:rPr>
        <w:t xml:space="preserve"> oppose the </w:t>
      </w:r>
      <w:r>
        <w:rPr>
          <w:szCs w:val="26"/>
        </w:rPr>
        <w:t xml:space="preserve">NOPR </w:t>
      </w:r>
      <w:r w:rsidRPr="008D6A16">
        <w:rPr>
          <w:szCs w:val="26"/>
        </w:rPr>
        <w:t>proposal</w:t>
      </w:r>
      <w:r>
        <w:rPr>
          <w:szCs w:val="26"/>
        </w:rPr>
        <w:t xml:space="preserve"> and</w:t>
      </w:r>
      <w:r w:rsidRPr="008D6A16">
        <w:rPr>
          <w:szCs w:val="26"/>
        </w:rPr>
        <w:t xml:space="preserve"> request that if </w:t>
      </w:r>
      <w:r w:rsidR="008D4ED9">
        <w:rPr>
          <w:szCs w:val="26"/>
        </w:rPr>
        <w:t>the Commission were to</w:t>
      </w:r>
      <w:r w:rsidRPr="008D6A16">
        <w:rPr>
          <w:szCs w:val="26"/>
        </w:rPr>
        <w:t xml:space="preserve"> move forward, the Commission exempt existing resources</w:t>
      </w:r>
      <w:r w:rsidR="003E6698">
        <w:rPr>
          <w:szCs w:val="26"/>
        </w:rPr>
        <w:t>,</w:t>
      </w:r>
      <w:r w:rsidRPr="008D6A16">
        <w:rPr>
          <w:szCs w:val="26"/>
        </w:rPr>
        <w:t xml:space="preserve"> apply</w:t>
      </w:r>
      <w:r>
        <w:rPr>
          <w:szCs w:val="26"/>
        </w:rPr>
        <w:t>ing</w:t>
      </w:r>
      <w:r w:rsidRPr="008D6A16">
        <w:rPr>
          <w:szCs w:val="26"/>
        </w:rPr>
        <w:t xml:space="preserve"> the proposed reforms </w:t>
      </w:r>
      <w:r w:rsidR="000D7E49">
        <w:rPr>
          <w:szCs w:val="26"/>
        </w:rPr>
        <w:t xml:space="preserve">only </w:t>
      </w:r>
      <w:r w:rsidRPr="008D6A16">
        <w:rPr>
          <w:szCs w:val="26"/>
        </w:rPr>
        <w:t>to new resources.</w:t>
      </w:r>
      <w:r>
        <w:rPr>
          <w:szCs w:val="26"/>
        </w:rPr>
        <w:t xml:space="preserve"> </w:t>
      </w:r>
      <w:r w:rsidRPr="008D6A16">
        <w:rPr>
          <w:szCs w:val="26"/>
        </w:rPr>
        <w:t xml:space="preserve"> </w:t>
      </w:r>
      <w:r w:rsidRPr="00027F67">
        <w:rPr>
          <w:szCs w:val="26"/>
        </w:rPr>
        <w:t xml:space="preserve">Calpine </w:t>
      </w:r>
      <w:r>
        <w:rPr>
          <w:szCs w:val="26"/>
        </w:rPr>
        <w:t>reasons</w:t>
      </w:r>
      <w:r w:rsidRPr="00027F67">
        <w:rPr>
          <w:szCs w:val="26"/>
        </w:rPr>
        <w:t xml:space="preserve"> that the Commission exempted existing resources from new requirements in Order No</w:t>
      </w:r>
      <w:r w:rsidR="003E6698">
        <w:rPr>
          <w:szCs w:val="26"/>
        </w:rPr>
        <w:t>s</w:t>
      </w:r>
      <w:r w:rsidRPr="00027F67">
        <w:rPr>
          <w:szCs w:val="26"/>
        </w:rPr>
        <w:t xml:space="preserve">. 827 and 842 and that </w:t>
      </w:r>
      <w:r>
        <w:rPr>
          <w:szCs w:val="26"/>
        </w:rPr>
        <w:t>exemptions</w:t>
      </w:r>
      <w:r w:rsidRPr="00027F67">
        <w:rPr>
          <w:szCs w:val="26"/>
        </w:rPr>
        <w:t xml:space="preserve"> would support market stability and investments needed for reliability.</w:t>
      </w:r>
      <w:r>
        <w:rPr>
          <w:b/>
          <w:szCs w:val="26"/>
          <w:vertAlign w:val="superscript"/>
        </w:rPr>
        <w:footnoteReference w:id="591"/>
      </w:r>
      <w:r w:rsidRPr="004B0A2D">
        <w:rPr>
          <w:szCs w:val="26"/>
        </w:rPr>
        <w:t xml:space="preserve"> </w:t>
      </w:r>
      <w:r>
        <w:rPr>
          <w:szCs w:val="26"/>
        </w:rPr>
        <w:t xml:space="preserve"> </w:t>
      </w:r>
      <w:r w:rsidRPr="00176D10">
        <w:rPr>
          <w:szCs w:val="26"/>
        </w:rPr>
        <w:t xml:space="preserve">Indicated Trade Associations further assert that </w:t>
      </w:r>
      <w:r>
        <w:rPr>
          <w:szCs w:val="26"/>
        </w:rPr>
        <w:t xml:space="preserve">in addition to existing resources, </w:t>
      </w:r>
      <w:r w:rsidRPr="00176D10">
        <w:rPr>
          <w:szCs w:val="26"/>
        </w:rPr>
        <w:t>the exemption should also be allowed for resources in advanced stages of development.</w:t>
      </w:r>
      <w:r>
        <w:rPr>
          <w:b/>
          <w:bCs/>
          <w:szCs w:val="26"/>
          <w:vertAlign w:val="superscript"/>
        </w:rPr>
        <w:footnoteReference w:id="592"/>
      </w:r>
      <w:r>
        <w:rPr>
          <w:szCs w:val="26"/>
        </w:rPr>
        <w:t xml:space="preserve">  </w:t>
      </w:r>
      <w:r w:rsidRPr="00955118">
        <w:t>Indicated Reactive Power Supplie</w:t>
      </w:r>
      <w:r w:rsidR="00E73544">
        <w:t>r</w:t>
      </w:r>
      <w:r w:rsidRPr="00955118">
        <w:t xml:space="preserve">s state that </w:t>
      </w:r>
      <w:r w:rsidR="00C113A4">
        <w:t>Commission</w:t>
      </w:r>
      <w:r>
        <w:t>-approved cost-based tariffs</w:t>
      </w:r>
      <w:r w:rsidRPr="00955118">
        <w:t xml:space="preserve"> should last the remaining life</w:t>
      </w:r>
      <w:r>
        <w:t>,</w:t>
      </w:r>
      <w:r w:rsidRPr="00955118">
        <w:t xml:space="preserve"> transfer of ownership</w:t>
      </w:r>
      <w:r>
        <w:t>, or expiration</w:t>
      </w:r>
      <w:r w:rsidRPr="00955118">
        <w:t xml:space="preserve"> of </w:t>
      </w:r>
      <w:r>
        <w:t>PPAs for</w:t>
      </w:r>
      <w:r w:rsidRPr="00955118">
        <w:t xml:space="preserve"> existing resources.</w:t>
      </w:r>
      <w:r>
        <w:rPr>
          <w:rStyle w:val="FootnoteReference"/>
          <w:szCs w:val="26"/>
        </w:rPr>
        <w:footnoteReference w:id="593"/>
      </w:r>
      <w:r w:rsidRPr="00955118">
        <w:t xml:space="preserve">  </w:t>
      </w:r>
      <w:r>
        <w:t>Middle River Power requests that the Commission consider implementing a legacy rate provision for generators that have existing reactive rate tariffs</w:t>
      </w:r>
      <w:r w:rsidRPr="006927BC">
        <w:t xml:space="preserve"> </w:t>
      </w:r>
      <w:r>
        <w:t>to mitigate adverse impacts on its current investments and contends that the Commission has a history of adopting similar measures under similar circumstances.</w:t>
      </w:r>
      <w:r>
        <w:rPr>
          <w:b/>
          <w:vertAlign w:val="superscript"/>
        </w:rPr>
        <w:footnoteReference w:id="594"/>
      </w:r>
      <w:r>
        <w:t xml:space="preserve">  </w:t>
      </w:r>
      <w:r>
        <w:t>Reactive Service Providers</w:t>
      </w:r>
      <w:r w:rsidRPr="00955118">
        <w:t xml:space="preserve"> </w:t>
      </w:r>
      <w:r>
        <w:t>state that the Commission should consider grandfathering the agreements of existing or near-completion generating facilities.</w:t>
      </w:r>
      <w:r>
        <w:rPr>
          <w:b/>
          <w:vertAlign w:val="superscript"/>
        </w:rPr>
        <w:footnoteReference w:id="595"/>
      </w:r>
      <w:r>
        <w:rPr>
          <w:b/>
          <w:vertAlign w:val="superscript"/>
        </w:rPr>
        <w:t xml:space="preserve"> </w:t>
      </w:r>
      <w:r>
        <w:t xml:space="preserve"> </w:t>
      </w:r>
      <w:r w:rsidRPr="00695014">
        <w:t xml:space="preserve">Generation Developers argue that the Commission should not eliminate reactive power compensation for resources receiving compensation pursuant to a rate schedule or tariff in effect prior to the effective date of any </w:t>
      </w:r>
      <w:r w:rsidR="00126E54">
        <w:t>final rule</w:t>
      </w:r>
      <w:r w:rsidRPr="00695014">
        <w:t xml:space="preserve"> in this proceeding.</w:t>
      </w:r>
      <w:r>
        <w:rPr>
          <w:b/>
          <w:bCs/>
          <w:vertAlign w:val="superscript"/>
        </w:rPr>
        <w:footnoteReference w:id="596"/>
      </w:r>
      <w:r w:rsidR="00FA1EE8">
        <w:t xml:space="preserve">  </w:t>
      </w:r>
      <w:r w:rsidR="00FA1EE8">
        <w:rPr>
          <w:szCs w:val="26"/>
        </w:rPr>
        <w:t xml:space="preserve">EDPR also proposes that </w:t>
      </w:r>
      <w:r w:rsidRPr="008A48C0" w:rsidR="00FA1EE8">
        <w:t>facilities which have already concluded long</w:t>
      </w:r>
      <w:r w:rsidR="002B1030">
        <w:t>-</w:t>
      </w:r>
      <w:r w:rsidRPr="008A48C0" w:rsidR="00FA1EE8">
        <w:t>term PPAs but do not yet have an established rate be allowed to prove that the long</w:t>
      </w:r>
      <w:r w:rsidR="002B1030">
        <w:t>-</w:t>
      </w:r>
      <w:r w:rsidRPr="008A48C0" w:rsidR="00FA1EE8">
        <w:t>term PPA for a facility seeking reactive power compensation was executed prior to the issuance of the NOPR.</w:t>
      </w:r>
      <w:r>
        <w:rPr>
          <w:b/>
          <w:vertAlign w:val="superscript"/>
        </w:rPr>
        <w:footnoteReference w:id="597"/>
      </w:r>
    </w:p>
    <w:p w:rsidR="009B7DD3" w:rsidP="009B7DD3" w14:paraId="2632F4BB" w14:textId="4F568EFA">
      <w:pPr>
        <w:pStyle w:val="FERCparanumber"/>
        <w:rPr>
          <w:szCs w:val="26"/>
        </w:rPr>
      </w:pPr>
      <w:r w:rsidRPr="008D6A16">
        <w:rPr>
          <w:szCs w:val="26"/>
        </w:rPr>
        <w:t>In absence of an exemption for existing resources,</w:t>
      </w:r>
      <w:r>
        <w:rPr>
          <w:szCs w:val="26"/>
        </w:rPr>
        <w:t xml:space="preserve"> or grandfathering of existing rates and generator agreements,</w:t>
      </w:r>
      <w:r w:rsidRPr="008D6A16">
        <w:rPr>
          <w:szCs w:val="26"/>
        </w:rPr>
        <w:t xml:space="preserve"> commenters who oppose the proposal advocate for a transition period to comply with the </w:t>
      </w:r>
      <w:r w:rsidR="00126E54">
        <w:rPr>
          <w:szCs w:val="26"/>
        </w:rPr>
        <w:t>final rule</w:t>
      </w:r>
      <w:r w:rsidRPr="008D6A16">
        <w:rPr>
          <w:szCs w:val="26"/>
        </w:rPr>
        <w:t xml:space="preserve">. </w:t>
      </w:r>
      <w:r w:rsidR="00794D6B">
        <w:rPr>
          <w:szCs w:val="26"/>
        </w:rPr>
        <w:t xml:space="preserve"> </w:t>
      </w:r>
      <w:r>
        <w:rPr>
          <w:szCs w:val="26"/>
        </w:rPr>
        <w:t>Eagle Creek</w:t>
      </w:r>
      <w:r>
        <w:rPr>
          <w:b/>
          <w:szCs w:val="26"/>
          <w:vertAlign w:val="superscript"/>
        </w:rPr>
        <w:footnoteReference w:id="598"/>
      </w:r>
      <w:r w:rsidRPr="00151F65">
        <w:rPr>
          <w:szCs w:val="26"/>
        </w:rPr>
        <w:t xml:space="preserve"> recommends a transition period of at least three to five </w:t>
      </w:r>
      <w:r w:rsidRPr="00047F70">
        <w:rPr>
          <w:szCs w:val="26"/>
        </w:rPr>
        <w:t>years, Reactive Service Providers</w:t>
      </w:r>
      <w:r>
        <w:rPr>
          <w:b/>
          <w:szCs w:val="26"/>
          <w:vertAlign w:val="superscript"/>
        </w:rPr>
        <w:footnoteReference w:id="599"/>
      </w:r>
      <w:r w:rsidRPr="00047F70">
        <w:rPr>
          <w:szCs w:val="26"/>
        </w:rPr>
        <w:t xml:space="preserve"> </w:t>
      </w:r>
      <w:r>
        <w:rPr>
          <w:szCs w:val="26"/>
        </w:rPr>
        <w:t xml:space="preserve">a period of </w:t>
      </w:r>
      <w:r w:rsidRPr="00047F70">
        <w:rPr>
          <w:szCs w:val="26"/>
        </w:rPr>
        <w:t>five years, and</w:t>
      </w:r>
      <w:r w:rsidRPr="00FD3C5A">
        <w:rPr>
          <w:szCs w:val="26"/>
        </w:rPr>
        <w:t xml:space="preserve"> Indic</w:t>
      </w:r>
      <w:r>
        <w:rPr>
          <w:szCs w:val="26"/>
        </w:rPr>
        <w:t>ated Reactive Power Suppliers</w:t>
      </w:r>
      <w:r>
        <w:rPr>
          <w:rStyle w:val="FootnoteReference"/>
          <w:szCs w:val="26"/>
        </w:rPr>
        <w:footnoteReference w:id="600"/>
      </w:r>
      <w:r w:rsidRPr="005D1B10">
        <w:rPr>
          <w:szCs w:val="26"/>
        </w:rPr>
        <w:t xml:space="preserve"> </w:t>
      </w:r>
      <w:r>
        <w:rPr>
          <w:szCs w:val="26"/>
        </w:rPr>
        <w:t xml:space="preserve">a period of </w:t>
      </w:r>
      <w:r w:rsidRPr="005D1B10">
        <w:rPr>
          <w:szCs w:val="26"/>
        </w:rPr>
        <w:t>seven to ten years</w:t>
      </w:r>
      <w:r>
        <w:rPr>
          <w:szCs w:val="26"/>
        </w:rPr>
        <w:t xml:space="preserve"> </w:t>
      </w:r>
      <w:r w:rsidR="00775156">
        <w:rPr>
          <w:szCs w:val="26"/>
        </w:rPr>
        <w:t>respectively</w:t>
      </w:r>
      <w:r w:rsidRPr="005D1B10">
        <w:rPr>
          <w:szCs w:val="26"/>
        </w:rPr>
        <w:t>.</w:t>
      </w:r>
      <w:r>
        <w:rPr>
          <w:szCs w:val="26"/>
        </w:rPr>
        <w:t xml:space="preserve">  </w:t>
      </w:r>
      <w:r>
        <w:t>Other commenters who ask for a transition period include AEP</w:t>
      </w:r>
      <w:r>
        <w:rPr>
          <w:szCs w:val="26"/>
        </w:rPr>
        <w:t>,</w:t>
      </w:r>
      <w:r>
        <w:t xml:space="preserve"> requesting at least </w:t>
      </w:r>
      <w:r w:rsidR="00282F29">
        <w:t xml:space="preserve">       </w:t>
      </w:r>
      <w:r>
        <w:t>120 days,</w:t>
      </w:r>
      <w:r>
        <w:rPr>
          <w:b/>
          <w:szCs w:val="26"/>
          <w:vertAlign w:val="superscript"/>
        </w:rPr>
        <w:footnoteReference w:id="601"/>
      </w:r>
      <w:r>
        <w:t xml:space="preserve"> and ACORE, requesting a five to ten-year transition period.</w:t>
      </w:r>
      <w:r>
        <w:rPr>
          <w:b/>
          <w:szCs w:val="26"/>
          <w:vertAlign w:val="superscript"/>
        </w:rPr>
        <w:footnoteReference w:id="602"/>
      </w:r>
      <w:r>
        <w:rPr>
          <w:b/>
          <w:szCs w:val="26"/>
          <w:vertAlign w:val="superscript"/>
        </w:rPr>
        <w:t xml:space="preserve"> </w:t>
      </w:r>
      <w:r>
        <w:rPr>
          <w:szCs w:val="26"/>
        </w:rPr>
        <w:t xml:space="preserve"> </w:t>
      </w:r>
      <w:r w:rsidRPr="00841799">
        <w:rPr>
          <w:szCs w:val="26"/>
        </w:rPr>
        <w:t>Calpine</w:t>
      </w:r>
      <w:r>
        <w:rPr>
          <w:b/>
          <w:szCs w:val="26"/>
          <w:vertAlign w:val="superscript"/>
        </w:rPr>
        <w:footnoteReference w:id="603"/>
      </w:r>
      <w:r w:rsidRPr="00841799">
        <w:rPr>
          <w:szCs w:val="26"/>
        </w:rPr>
        <w:t xml:space="preserve"> and AEP</w:t>
      </w:r>
      <w:r>
        <w:rPr>
          <w:b/>
          <w:szCs w:val="26"/>
          <w:vertAlign w:val="superscript"/>
        </w:rPr>
        <w:footnoteReference w:id="604"/>
      </w:r>
      <w:r w:rsidRPr="00841799">
        <w:rPr>
          <w:szCs w:val="26"/>
        </w:rPr>
        <w:t xml:space="preserve"> both expressed concerns of affected generators’ ability to </w:t>
      </w:r>
      <w:r w:rsidRPr="00A31066">
        <w:rPr>
          <w:szCs w:val="26"/>
        </w:rPr>
        <w:t xml:space="preserve">recover their costs as justification for </w:t>
      </w:r>
      <w:r w:rsidRPr="000B2296">
        <w:rPr>
          <w:szCs w:val="26"/>
        </w:rPr>
        <w:t>a transition period and cite times that the Commission has approved of a transition period in the past.</w:t>
      </w:r>
    </w:p>
    <w:p w:rsidR="009B7DD3" w:rsidP="009B7DD3" w14:paraId="0BE37EAE" w14:textId="400AF4C3">
      <w:pPr>
        <w:pStyle w:val="FERCparanumber"/>
      </w:pPr>
      <w:r>
        <w:t xml:space="preserve">EDPR proposes a 10-year transition period for existing rates and PPAs. </w:t>
      </w:r>
      <w:r w:rsidR="0069345C">
        <w:t xml:space="preserve"> </w:t>
      </w:r>
      <w:r w:rsidRPr="00A93871">
        <w:rPr>
          <w:szCs w:val="26"/>
        </w:rPr>
        <w:t xml:space="preserve">EDPR </w:t>
      </w:r>
      <w:r>
        <w:rPr>
          <w:szCs w:val="26"/>
        </w:rPr>
        <w:t>explains</w:t>
      </w:r>
      <w:r w:rsidRPr="00A93871">
        <w:rPr>
          <w:szCs w:val="26"/>
        </w:rPr>
        <w:t xml:space="preserve"> that </w:t>
      </w:r>
      <w:r>
        <w:rPr>
          <w:szCs w:val="26"/>
        </w:rPr>
        <w:t xml:space="preserve">it </w:t>
      </w:r>
      <w:r w:rsidRPr="00A93871">
        <w:rPr>
          <w:szCs w:val="26"/>
        </w:rPr>
        <w:t>will under collect its revenues under PPAs</w:t>
      </w:r>
      <w:r>
        <w:rPr>
          <w:szCs w:val="26"/>
        </w:rPr>
        <w:t xml:space="preserve"> that include an offset for reactive power compensation</w:t>
      </w:r>
      <w:r w:rsidRPr="00A93871">
        <w:rPr>
          <w:szCs w:val="26"/>
        </w:rPr>
        <w:t>.</w:t>
      </w:r>
      <w:r>
        <w:rPr>
          <w:rStyle w:val="FootnoteReference"/>
        </w:rPr>
        <w:footnoteReference w:id="605"/>
      </w:r>
      <w:r>
        <w:t xml:space="preserve"> </w:t>
      </w:r>
      <w:r w:rsidRPr="00A93871">
        <w:rPr>
          <w:szCs w:val="26"/>
        </w:rPr>
        <w:t xml:space="preserve"> Therefore, ED</w:t>
      </w:r>
      <w:r w:rsidR="00166075">
        <w:rPr>
          <w:szCs w:val="26"/>
        </w:rPr>
        <w:t>PR</w:t>
      </w:r>
      <w:r w:rsidRPr="00A93871">
        <w:rPr>
          <w:szCs w:val="26"/>
        </w:rPr>
        <w:t xml:space="preserve"> </w:t>
      </w:r>
      <w:r>
        <w:rPr>
          <w:szCs w:val="26"/>
        </w:rPr>
        <w:t>proposes</w:t>
      </w:r>
      <w:r w:rsidRPr="00A93871">
        <w:rPr>
          <w:szCs w:val="26"/>
        </w:rPr>
        <w:t xml:space="preserve"> that facilities with an established reactive rate schedule should be allowed to keep that established rate on file </w:t>
      </w:r>
      <w:r w:rsidRPr="00A93871">
        <w:rPr>
          <w:szCs w:val="26"/>
        </w:rPr>
        <w:t xml:space="preserve">during a 10-year transition period. </w:t>
      </w:r>
      <w:r>
        <w:rPr>
          <w:szCs w:val="26"/>
        </w:rPr>
        <w:t xml:space="preserve"> </w:t>
      </w:r>
      <w:r w:rsidRPr="00A93871">
        <w:rPr>
          <w:szCs w:val="26"/>
        </w:rPr>
        <w:t xml:space="preserve">Similarly, Reactive </w:t>
      </w:r>
      <w:r w:rsidRPr="000744A7">
        <w:rPr>
          <w:szCs w:val="26"/>
        </w:rPr>
        <w:t>Service Providers argue that the Commission should allow PPAs to be reevaluated</w:t>
      </w:r>
      <w:r w:rsidRPr="000D3AD2">
        <w:rPr>
          <w:szCs w:val="26"/>
        </w:rPr>
        <w:t>.</w:t>
      </w:r>
      <w:r>
        <w:rPr>
          <w:rStyle w:val="FootnoteReference"/>
          <w:szCs w:val="26"/>
        </w:rPr>
        <w:footnoteReference w:id="606"/>
      </w:r>
    </w:p>
    <w:p w:rsidR="009B7DD3" w:rsidRPr="00A32DAF" w:rsidP="009B7DD3" w14:paraId="317F9D66" w14:textId="5ED73876">
      <w:pPr>
        <w:pStyle w:val="FERCparanumber"/>
      </w:pPr>
      <w:r>
        <w:t>Glenvale requests that i</w:t>
      </w:r>
      <w:r>
        <w:t xml:space="preserve">f cost recovery is not possible for certain projects, </w:t>
      </w:r>
      <w:r w:rsidRPr="00B240CA">
        <w:t xml:space="preserve">the </w:t>
      </w:r>
      <w:r w:rsidR="00282F29">
        <w:t xml:space="preserve">    </w:t>
      </w:r>
      <w:r w:rsidRPr="00B240CA">
        <w:t xml:space="preserve">run-off for legacy projects be extended to </w:t>
      </w:r>
      <w:r>
        <w:t>10</w:t>
      </w:r>
      <w:r w:rsidRPr="00B240CA">
        <w:t xml:space="preserve"> years. </w:t>
      </w:r>
      <w:r w:rsidR="00672015">
        <w:t xml:space="preserve"> </w:t>
      </w:r>
      <w:r>
        <w:t xml:space="preserve">Glenvale explains that </w:t>
      </w:r>
      <w:r w:rsidRPr="005B2E8B">
        <w:t xml:space="preserve">eligible projects </w:t>
      </w:r>
      <w:r>
        <w:t xml:space="preserve">would be </w:t>
      </w:r>
      <w:r w:rsidRPr="005B2E8B">
        <w:t>those which are unable to access revenue in the substitute market designated by the Commission, and reasonably rely on the current tariff.</w:t>
      </w:r>
      <w:r>
        <w:rPr>
          <w:rStyle w:val="FootnoteReference"/>
        </w:rPr>
        <w:footnoteReference w:id="607"/>
      </w:r>
      <w:r w:rsidRPr="005B2E8B">
        <w:rPr>
          <w:vertAlign w:val="superscript"/>
        </w:rPr>
        <w:t xml:space="preserve"> </w:t>
      </w:r>
      <w:r>
        <w:rPr>
          <w:vertAlign w:val="superscript"/>
        </w:rPr>
        <w:t xml:space="preserve"> </w:t>
      </w:r>
      <w:r w:rsidRPr="00ED1D10">
        <w:t xml:space="preserve">Glenvale </w:t>
      </w:r>
      <w:r>
        <w:t>claims that</w:t>
      </w:r>
      <w:r w:rsidRPr="00ED1D10">
        <w:t xml:space="preserve"> an extension would motivate these generators to build technologies that both support the </w:t>
      </w:r>
      <w:r w:rsidR="00C00B3C">
        <w:t>transmission system</w:t>
      </w:r>
      <w:r w:rsidRPr="00ED1D10">
        <w:t xml:space="preserve"> and are a low cost to </w:t>
      </w:r>
      <w:r w:rsidR="001363F5">
        <w:t>consumer</w:t>
      </w:r>
      <w:r w:rsidRPr="00ED1D10" w:rsidR="001363F5">
        <w:t>s</w:t>
      </w:r>
      <w:r w:rsidRPr="00ED1D10">
        <w:t>.</w:t>
      </w:r>
      <w:r>
        <w:rPr>
          <w:rStyle w:val="FootnoteReference"/>
        </w:rPr>
        <w:footnoteReference w:id="608"/>
      </w:r>
    </w:p>
    <w:p w:rsidR="003D0AE3" w:rsidP="003D0AE3" w14:paraId="484BCE26" w14:textId="1D35A89F">
      <w:pPr>
        <w:pStyle w:val="FERCparanumber"/>
      </w:pPr>
      <w:r>
        <w:t>Several commenters</w:t>
      </w:r>
      <w:r>
        <w:t xml:space="preserve"> </w:t>
      </w:r>
      <w:r w:rsidR="001E3B33">
        <w:t>argue</w:t>
      </w:r>
      <w:r>
        <w:t xml:space="preserve"> that a transition period is necessary for RTOs/ISOs to </w:t>
      </w:r>
      <w:r w:rsidRPr="000744A7">
        <w:t>implement the NOPR</w:t>
      </w:r>
      <w:r>
        <w:t xml:space="preserve">. </w:t>
      </w:r>
      <w:r w:rsidR="009F2791">
        <w:t xml:space="preserve"> </w:t>
      </w:r>
      <w:r w:rsidR="00712283">
        <w:t>The</w:t>
      </w:r>
      <w:r w:rsidR="009F2791">
        <w:t xml:space="preserve"> </w:t>
      </w:r>
      <w:r w:rsidRPr="00944D40">
        <w:t xml:space="preserve">NHA </w:t>
      </w:r>
      <w:r>
        <w:t>explains that</w:t>
      </w:r>
      <w:r w:rsidRPr="00944D40">
        <w:t xml:space="preserve"> a transition period </w:t>
      </w:r>
      <w:r>
        <w:t xml:space="preserve">would </w:t>
      </w:r>
      <w:r w:rsidRPr="00944D40">
        <w:t xml:space="preserve">allow </w:t>
      </w:r>
      <w:r w:rsidRPr="00944D40" w:rsidR="009F2791">
        <w:t>RTOs/</w:t>
      </w:r>
      <w:r w:rsidRPr="00944D40">
        <w:t>ISO</w:t>
      </w:r>
      <w:r w:rsidR="009F2791">
        <w:t>s</w:t>
      </w:r>
      <w:r w:rsidRPr="00944D40">
        <w:t xml:space="preserve"> to adjust their tariffs and market designs accordingly.</w:t>
      </w:r>
      <w:r>
        <w:rPr>
          <w:b/>
          <w:vertAlign w:val="superscript"/>
        </w:rPr>
        <w:footnoteReference w:id="609"/>
      </w:r>
      <w:r>
        <w:t xml:space="preserve">  </w:t>
      </w:r>
      <w:r w:rsidRPr="001D0EBC">
        <w:t>Generation Developers assert that the Commission should direct RTOs</w:t>
      </w:r>
      <w:r w:rsidR="00D516B0">
        <w:t>/</w:t>
      </w:r>
      <w:r w:rsidRPr="001D0EBC">
        <w:t>ISOs to propose a transition period that accounts for discrepancies between implementation of any market rule changes and when resources will be able to benefit from these changes.</w:t>
      </w:r>
      <w:r>
        <w:rPr>
          <w:b/>
          <w:bCs/>
          <w:vertAlign w:val="superscript"/>
        </w:rPr>
        <w:footnoteReference w:id="610"/>
      </w:r>
      <w:r>
        <w:t xml:space="preserve">  Similarly, </w:t>
      </w:r>
      <w:r w:rsidRPr="00944D40">
        <w:t xml:space="preserve">NAGF states that a transition period specific to each market based on their design and rules </w:t>
      </w:r>
      <w:r>
        <w:t>allows</w:t>
      </w:r>
      <w:r w:rsidRPr="00944D40">
        <w:t xml:space="preserve"> generators to evaluate </w:t>
      </w:r>
      <w:r>
        <w:t xml:space="preserve">lost revenue, cost recovery options, and the possibility </w:t>
      </w:r>
      <w:r>
        <w:t>of retiring, all while also providing</w:t>
      </w:r>
      <w:r w:rsidRPr="00944D40">
        <w:t xml:space="preserve"> time for planners to contemplate other generation options.</w:t>
      </w:r>
      <w:r>
        <w:rPr>
          <w:b/>
          <w:vertAlign w:val="superscript"/>
        </w:rPr>
        <w:footnoteReference w:id="611"/>
      </w:r>
      <w:r>
        <w:t xml:space="preserve"> </w:t>
      </w:r>
      <w:r w:rsidRPr="00C52A02">
        <w:t xml:space="preserve"> </w:t>
      </w:r>
      <w:r w:rsidRPr="00D3727B">
        <w:t>Clean Energy Associations ask that the Commission</w:t>
      </w:r>
      <w:r w:rsidR="00781817">
        <w:t>, should it</w:t>
      </w:r>
      <w:r w:rsidRPr="00D3727B">
        <w:t xml:space="preserve"> proceed with its proposal, implement a transition period that takes into consideration regional and market differences.</w:t>
      </w:r>
      <w:r>
        <w:rPr>
          <w:b/>
          <w:vertAlign w:val="superscript"/>
        </w:rPr>
        <w:footnoteReference w:id="612"/>
      </w:r>
      <w:r>
        <w:t xml:space="preserve">  </w:t>
      </w:r>
      <w:r>
        <w:t xml:space="preserve">Additionally, </w:t>
      </w:r>
      <w:r w:rsidRPr="00583E28">
        <w:t xml:space="preserve">Indicated Trade Associations state that PJM, </w:t>
      </w:r>
      <w:r w:rsidR="00484FF4">
        <w:t xml:space="preserve">      </w:t>
      </w:r>
      <w:r w:rsidRPr="00583E28">
        <w:t xml:space="preserve">ISO-NE, and NYISO each currently subtract expected energy and ancillary services revenues, including reactive power revenues, from the Net CONE </w:t>
      </w:r>
      <w:r>
        <w:t xml:space="preserve">value </w:t>
      </w:r>
      <w:r w:rsidRPr="00583E28">
        <w:t>used to develop demand curves for capacity market auctions.</w:t>
      </w:r>
      <w:r>
        <w:rPr>
          <w:b/>
          <w:bCs/>
          <w:vertAlign w:val="superscript"/>
        </w:rPr>
        <w:footnoteReference w:id="613"/>
      </w:r>
      <w:r>
        <w:t xml:space="preserve">  Relatedly</w:t>
      </w:r>
      <w:r w:rsidRPr="00583E28">
        <w:t xml:space="preserve">, Reactive Service Providers </w:t>
      </w:r>
      <w:r>
        <w:t xml:space="preserve">explain </w:t>
      </w:r>
      <w:r w:rsidRPr="00583E28">
        <w:t xml:space="preserve">that PJM, ISO-NE, and NYISO </w:t>
      </w:r>
      <w:r w:rsidRPr="00F611F3">
        <w:t>have completed capacity auctions and assigned capacity obligations for years from now</w:t>
      </w:r>
      <w:r w:rsidRPr="00583E28">
        <w:t xml:space="preserve"> and that the Commission cannot reopen those auctions to make up for lost revenue.</w:t>
      </w:r>
      <w:r>
        <w:rPr>
          <w:b/>
          <w:vertAlign w:val="superscript"/>
        </w:rPr>
        <w:footnoteReference w:id="614"/>
      </w:r>
    </w:p>
    <w:p w:rsidR="005C10F8" w:rsidP="009B7DD3" w14:paraId="51136991" w14:textId="4D686F3A">
      <w:pPr>
        <w:pStyle w:val="FERCparanumber"/>
      </w:pPr>
      <w:r>
        <w:t xml:space="preserve">NYISO notes that </w:t>
      </w:r>
      <w:r w:rsidR="003F19C2">
        <w:t>s</w:t>
      </w:r>
      <w:r w:rsidRPr="003F19C2" w:rsidR="003F19C2">
        <w:t xml:space="preserve">hifting to event-specific reactive power compensation </w:t>
      </w:r>
      <w:r w:rsidR="000D2BFD">
        <w:t xml:space="preserve">only </w:t>
      </w:r>
      <w:r w:rsidRPr="003F19C2" w:rsidR="003F19C2">
        <w:t>when a resource is instructed to operate outside its standard power factor range</w:t>
      </w:r>
      <w:r w:rsidR="003F19C2">
        <w:t xml:space="preserve"> </w:t>
      </w:r>
      <w:r w:rsidRPr="003F19C2" w:rsidR="003F19C2">
        <w:t>would require complex market design rules</w:t>
      </w:r>
      <w:r w:rsidRPr="004A1152" w:rsidR="004A1152">
        <w:t>—</w:t>
      </w:r>
      <w:r w:rsidR="003F11D4">
        <w:t xml:space="preserve">including </w:t>
      </w:r>
      <w:r w:rsidRPr="003F11D4" w:rsidR="003F11D4">
        <w:t xml:space="preserve">developing market rules, incorporating reactive power into the NYISO’s co-optimization of real power (i.e., energy to meet load), </w:t>
      </w:r>
      <w:r w:rsidR="00D10244">
        <w:t>o</w:t>
      </w:r>
      <w:r w:rsidRPr="003F11D4" w:rsidR="003F11D4">
        <w:t xml:space="preserve">perating </w:t>
      </w:r>
      <w:r w:rsidR="00D10244">
        <w:t>r</w:t>
      </w:r>
      <w:r w:rsidRPr="003F11D4" w:rsidR="003F11D4">
        <w:t>eserves,</w:t>
      </w:r>
      <w:r w:rsidRPr="00E0663A" w:rsidR="00E0663A">
        <w:t xml:space="preserve"> and </w:t>
      </w:r>
      <w:r w:rsidR="00D10244">
        <w:t>r</w:t>
      </w:r>
      <w:r w:rsidRPr="00E0663A" w:rsidR="00E0663A">
        <w:t xml:space="preserve">egulation </w:t>
      </w:r>
      <w:r w:rsidR="00D10244">
        <w:t>s</w:t>
      </w:r>
      <w:r w:rsidRPr="00E0663A" w:rsidR="00E0663A">
        <w:t xml:space="preserve">ervice </w:t>
      </w:r>
      <w:r w:rsidR="00EA2DC7">
        <w:t xml:space="preserve">which </w:t>
      </w:r>
      <w:r w:rsidRPr="00E0663A" w:rsidR="00E0663A">
        <w:t xml:space="preserve">would require extensive software changes that would take years to develop and implement based on current obligations and </w:t>
      </w:r>
      <w:r w:rsidRPr="00E0663A" w:rsidR="00E0663A">
        <w:t>initiatives</w:t>
      </w:r>
      <w:r>
        <w:t>.</w:t>
      </w:r>
      <w:r>
        <w:rPr>
          <w:rStyle w:val="FootnoteReference"/>
        </w:rPr>
        <w:footnoteReference w:id="615"/>
      </w:r>
      <w:r>
        <w:t xml:space="preserve">  </w:t>
      </w:r>
      <w:r w:rsidRPr="00484D57" w:rsidR="009B7DD3">
        <w:t>PJM requests that as part of their compliance filings implementing the new rate paradigm, RTOs/ISOs be permitted to propose rules around testing, monitoring, and penalties</w:t>
      </w:r>
      <w:r w:rsidR="00957A34">
        <w:t xml:space="preserve">.  PJM </w:t>
      </w:r>
      <w:r w:rsidR="00E652CE">
        <w:t>argues that this is</w:t>
      </w:r>
      <w:r w:rsidRPr="00484D57" w:rsidR="009B7DD3">
        <w:t xml:space="preserve"> to ensure that generators provide the reactive power capability that they are required to provide under their Commission-jurisdictional interconnection agreements when called upon, as correctly identified in the NOPR.</w:t>
      </w:r>
      <w:r>
        <w:rPr>
          <w:b/>
          <w:vertAlign w:val="superscript"/>
        </w:rPr>
        <w:footnoteReference w:id="616"/>
      </w:r>
      <w:r w:rsidR="00A851FB">
        <w:t xml:space="preserve">  </w:t>
      </w:r>
    </w:p>
    <w:p w:rsidR="009B7DD3" w:rsidRPr="00637A8A" w:rsidP="009B7DD3" w14:paraId="547E30AE" w14:textId="59A72054">
      <w:pPr>
        <w:pStyle w:val="FERCparanumber"/>
      </w:pPr>
      <w:r>
        <w:t>NAGF</w:t>
      </w:r>
      <w:r>
        <w:rPr>
          <w:b/>
          <w:vertAlign w:val="superscript"/>
        </w:rPr>
        <w:footnoteReference w:id="617"/>
      </w:r>
      <w:r>
        <w:t xml:space="preserve"> and PJM</w:t>
      </w:r>
      <w:r>
        <w:rPr>
          <w:b/>
          <w:vertAlign w:val="superscript"/>
        </w:rPr>
        <w:footnoteReference w:id="618"/>
      </w:r>
      <w:r>
        <w:t xml:space="preserve"> both propose allowing transmission providers the flexibility </w:t>
      </w:r>
      <w:r w:rsidR="00F37220">
        <w:t>to propose</w:t>
      </w:r>
      <w:r w:rsidR="0008560A">
        <w:t xml:space="preserve"> </w:t>
      </w:r>
      <w:r>
        <w:t>effective dates on compliance that will align with regional capacity market timelines</w:t>
      </w:r>
      <w:r w:rsidR="00C227BE">
        <w:t xml:space="preserve">.  </w:t>
      </w:r>
      <w:r>
        <w:t>PJM</w:t>
      </w:r>
      <w:r w:rsidR="00C227BE">
        <w:t xml:space="preserve"> </w:t>
      </w:r>
      <w:r w:rsidR="00DA5B7C">
        <w:t xml:space="preserve">further </w:t>
      </w:r>
      <w:r w:rsidR="00C227BE">
        <w:t>notes</w:t>
      </w:r>
      <w:r>
        <w:t xml:space="preserve"> that compliance dates should align with billing and settlements timelines as well.</w:t>
      </w:r>
      <w:r>
        <w:rPr>
          <w:b/>
          <w:vertAlign w:val="superscript"/>
        </w:rPr>
        <w:footnoteReference w:id="619"/>
      </w:r>
      <w:r w:rsidRPr="00944D40">
        <w:t xml:space="preserve"> </w:t>
      </w:r>
      <w:r>
        <w:t xml:space="preserve"> In a similar manner, </w:t>
      </w:r>
      <w:r w:rsidRPr="00637A8A">
        <w:t>Calpine suggests that in PJM, any new reactive service compensation policy should take effect no sooner than the first delivery year of the first PJM capacity auction</w:t>
      </w:r>
      <w:r w:rsidR="001935D1">
        <w:t xml:space="preserve"> </w:t>
      </w:r>
      <w:r w:rsidRPr="001935D1" w:rsidR="001935D1">
        <w:t>administered under comprehensively updated new rules</w:t>
      </w:r>
      <w:r w:rsidRPr="00637A8A">
        <w:t>.</w:t>
      </w:r>
      <w:r>
        <w:rPr>
          <w:b/>
          <w:vertAlign w:val="superscript"/>
        </w:rPr>
        <w:footnoteReference w:id="620"/>
      </w:r>
      <w:r>
        <w:t xml:space="preserve">  </w:t>
      </w:r>
      <w:r w:rsidRPr="0064041A">
        <w:t xml:space="preserve">NAGF explains that </w:t>
      </w:r>
      <w:r>
        <w:t>alignment with capacity market timelines</w:t>
      </w:r>
      <w:r w:rsidRPr="0064041A">
        <w:t xml:space="preserve"> </w:t>
      </w:r>
      <w:r w:rsidRPr="0064041A">
        <w:t>would</w:t>
      </w:r>
      <w:r w:rsidRPr="00944D40">
        <w:t xml:space="preserve"> allow costs associated with reactive power production to be incorporated into capacity market bids if the capacity market reforms permit recovery and to allow generators to better evaluate their cost recovery process and probability.</w:t>
      </w:r>
      <w:r>
        <w:rPr>
          <w:b/>
          <w:vertAlign w:val="superscript"/>
        </w:rPr>
        <w:footnoteReference w:id="621"/>
      </w:r>
      <w:r w:rsidRPr="00944D40">
        <w:t xml:space="preserve">  </w:t>
      </w:r>
      <w:r>
        <w:t xml:space="preserve">Likewise, </w:t>
      </w:r>
      <w:r w:rsidRPr="00944D40">
        <w:t xml:space="preserve">PJM argues that </w:t>
      </w:r>
      <w:r>
        <w:t>such timeline alignments will</w:t>
      </w:r>
      <w:r w:rsidRPr="00944D40">
        <w:t xml:space="preserve"> permit generators currently receiving reactive power revenues to continue to do so until the related offsets are removed from the capacity market auction parameters.</w:t>
      </w:r>
      <w:r>
        <w:rPr>
          <w:b/>
          <w:vertAlign w:val="superscript"/>
        </w:rPr>
        <w:footnoteReference w:id="622"/>
      </w:r>
    </w:p>
    <w:p w:rsidR="009B7DD3" w:rsidRPr="0002145E" w:rsidP="009B7DD3" w14:paraId="081E5842" w14:textId="511EA36E">
      <w:pPr>
        <w:pStyle w:val="FERCparanumber"/>
      </w:pPr>
      <w:r w:rsidRPr="0002145E">
        <w:t xml:space="preserve">The </w:t>
      </w:r>
      <w:r>
        <w:t xml:space="preserve">PJM IMM </w:t>
      </w:r>
      <w:r w:rsidRPr="0002145E">
        <w:t xml:space="preserve">recommends </w:t>
      </w:r>
      <w:r w:rsidRPr="006056E4">
        <w:t xml:space="preserve">a transition period as </w:t>
      </w:r>
      <w:r w:rsidR="00E55955">
        <w:t>short</w:t>
      </w:r>
      <w:r w:rsidRPr="006056E4">
        <w:t xml:space="preserve"> as possible</w:t>
      </w:r>
      <w:r>
        <w:t xml:space="preserve">, emphasizing </w:t>
      </w:r>
      <w:r w:rsidRPr="0002145E">
        <w:t xml:space="preserve">that a faster transition </w:t>
      </w:r>
      <w:r>
        <w:t xml:space="preserve">will speed up benefits to customers and </w:t>
      </w:r>
      <w:r w:rsidRPr="0002145E">
        <w:t>reduce</w:t>
      </w:r>
      <w:r>
        <w:t>d</w:t>
      </w:r>
      <w:r w:rsidRPr="0002145E">
        <w:t xml:space="preserve"> revenues to generation owners.</w:t>
      </w:r>
      <w:r>
        <w:rPr>
          <w:rStyle w:val="FootnoteReference"/>
        </w:rPr>
        <w:footnoteReference w:id="623"/>
      </w:r>
      <w:r w:rsidRPr="0002145E">
        <w:t xml:space="preserve"> </w:t>
      </w:r>
      <w:r>
        <w:t xml:space="preserve"> The PJM IMM recommends reducing current approved rates under Schedule 2 that exceed the </w:t>
      </w:r>
      <w:r w:rsidR="001363F5">
        <w:t xml:space="preserve">E&amp;AS </w:t>
      </w:r>
      <w:r>
        <w:t xml:space="preserve">Offset to the level of the </w:t>
      </w:r>
      <w:r w:rsidR="001363F5">
        <w:t xml:space="preserve">E&amp;AS </w:t>
      </w:r>
      <w:r>
        <w:t xml:space="preserve">Offset that was applicable to the auctions for each RPM Delivery Year.  The PJM IMM also suggests that pending reactive filings submitted prior to the NOPR proposal should not be approved exceeding the same aforementioned level of the </w:t>
      </w:r>
      <w:r w:rsidR="001363F5">
        <w:t xml:space="preserve">E&amp;AS </w:t>
      </w:r>
      <w:r>
        <w:t xml:space="preserve">Offset.  The PJM IMM proposes that the </w:t>
      </w:r>
      <w:r w:rsidR="001363F5">
        <w:t xml:space="preserve">E&amp;AS </w:t>
      </w:r>
      <w:r>
        <w:t xml:space="preserve">Offset be reduced to zero dollars and removed from the rules </w:t>
      </w:r>
      <w:r>
        <w:t xml:space="preserve">immediately.  As for Schedule 2 to the PJM OATT, the </w:t>
      </w:r>
      <w:r w:rsidR="004F2F4C">
        <w:t>PJM</w:t>
      </w:r>
      <w:r>
        <w:t xml:space="preserve"> IMM believes it should be revised to immediately remove the ability to file for new reactive capability rates and then eliminated in its entirety effective at the start of the first Delivery Year where the </w:t>
      </w:r>
      <w:r w:rsidR="001363F5">
        <w:t xml:space="preserve">E&amp;AS </w:t>
      </w:r>
      <w:r>
        <w:t>Offset included in the capacity market base residual a</w:t>
      </w:r>
      <w:r w:rsidR="00A53FD1">
        <w:t>u</w:t>
      </w:r>
      <w:r>
        <w:t>ctions for such Delivery Year is zero dollars.</w:t>
      </w:r>
      <w:r>
        <w:rPr>
          <w:rStyle w:val="FootnoteReference"/>
        </w:rPr>
        <w:footnoteReference w:id="624"/>
      </w:r>
    </w:p>
    <w:p w:rsidR="009B7DD3" w:rsidRPr="0002145E" w:rsidP="009B7DD3" w14:paraId="0F2C95AD" w14:textId="24E08552">
      <w:pPr>
        <w:pStyle w:val="FERCparanumber"/>
      </w:pPr>
      <w:r>
        <w:t>T</w:t>
      </w:r>
      <w:r w:rsidR="00FB3EDE">
        <w:t xml:space="preserve">he PJM IMM makes similar recommendations </w:t>
      </w:r>
      <w:r>
        <w:t>i</w:t>
      </w:r>
      <w:r>
        <w:t xml:space="preserve">f PJM eliminates the </w:t>
      </w:r>
      <w:r w:rsidR="001363F5">
        <w:t>E&amp;AS</w:t>
      </w:r>
      <w:r>
        <w:t xml:space="preserve"> </w:t>
      </w:r>
      <w:r w:rsidR="00A928FD">
        <w:t>Offset</w:t>
      </w:r>
      <w:r>
        <w:t xml:space="preserve"> as a component of the market seller offer caps in the capacity market prior to the end of the proposed transition period: </w:t>
      </w:r>
      <w:r w:rsidR="001363F5">
        <w:t xml:space="preserve"> </w:t>
      </w:r>
      <w:r>
        <w:t xml:space="preserve">(1) </w:t>
      </w:r>
      <w:r w:rsidR="001363F5">
        <w:t xml:space="preserve">that </w:t>
      </w:r>
      <w:r>
        <w:t xml:space="preserve">the </w:t>
      </w:r>
      <w:r w:rsidR="001363F5">
        <w:t>E&amp;AS</w:t>
      </w:r>
      <w:r>
        <w:t xml:space="preserve"> Offset be reduced to </w:t>
      </w:r>
      <w:r w:rsidR="00282F29">
        <w:t xml:space="preserve">             </w:t>
      </w:r>
      <w:r>
        <w:t xml:space="preserve">zero dollars and removed from the rules immediately; (2) </w:t>
      </w:r>
      <w:r w:rsidR="001363F5">
        <w:t xml:space="preserve">that </w:t>
      </w:r>
      <w:r>
        <w:t>Schedule 2 be eliminated from the OATT.</w:t>
      </w:r>
      <w:r>
        <w:rPr>
          <w:rStyle w:val="FootnoteReference"/>
        </w:rPr>
        <w:footnoteReference w:id="625"/>
      </w:r>
    </w:p>
    <w:p w:rsidR="009B7DD3" w:rsidRPr="00BB72DF" w:rsidP="009B7DD3" w14:paraId="321A27E1" w14:textId="61049ABC">
      <w:pPr>
        <w:pStyle w:val="FERCparanumber"/>
      </w:pPr>
      <w:r w:rsidRPr="00BB72DF">
        <w:t>PJM states that it would like flexibility to implement an interim rate during the transition period.</w:t>
      </w:r>
      <w:r>
        <w:rPr>
          <w:b/>
          <w:vertAlign w:val="superscript"/>
        </w:rPr>
        <w:footnoteReference w:id="626"/>
      </w:r>
      <w:r w:rsidRPr="00BB72DF">
        <w:t xml:space="preserve">  PJM </w:t>
      </w:r>
      <w:r w:rsidR="000B5C9E">
        <w:t>notes</w:t>
      </w:r>
      <w:r w:rsidRPr="00BB72DF">
        <w:t xml:space="preserve"> that it contemplates a number of different scenarios, including disallowing any units without existing reactive power rate schedules to collect reactive power revenue or an interim flat rate per MVA</w:t>
      </w:r>
      <w:r w:rsidR="006F540B">
        <w:t>r</w:t>
      </w:r>
      <w:r w:rsidRPr="00BB72DF">
        <w:t xml:space="preserve"> of capability.</w:t>
      </w:r>
    </w:p>
    <w:p w:rsidR="009B7DD3" w:rsidRPr="00C06B6B" w:rsidP="009B7DD3" w14:paraId="3078A9B2" w14:textId="1DB1758A">
      <w:pPr>
        <w:pStyle w:val="Heading3"/>
        <w:rPr>
          <w:u w:val="single"/>
        </w:rPr>
      </w:pPr>
      <w:bookmarkStart w:id="97" w:name="_bmk31"/>
      <w:bookmarkStart w:id="98" w:name="_Toc175819968"/>
      <w:bookmarkStart w:id="99" w:name="_Toc175819989"/>
      <w:bookmarkStart w:id="100" w:name="_Ref177940598"/>
      <w:bookmarkStart w:id="101" w:name="_Ref177566406"/>
      <w:bookmarkStart w:id="102" w:name="_Ref177729781"/>
      <w:bookmarkStart w:id="103" w:name="_Ref178157997"/>
      <w:r w:rsidRPr="00C06B6B">
        <w:rPr>
          <w:u w:val="single"/>
        </w:rPr>
        <w:t>C</w:t>
      </w:r>
      <w:bookmarkEnd w:id="97"/>
      <w:r w:rsidRPr="00C06B6B">
        <w:rPr>
          <w:u w:val="single"/>
        </w:rPr>
        <w:t>ommission Determination</w:t>
      </w:r>
      <w:bookmarkEnd w:id="98"/>
      <w:bookmarkEnd w:id="99"/>
      <w:bookmarkEnd w:id="100"/>
      <w:bookmarkEnd w:id="101"/>
      <w:bookmarkEnd w:id="102"/>
      <w:bookmarkEnd w:id="103"/>
    </w:p>
    <w:p w:rsidR="00E20A23" w:rsidP="00E20A23" w14:paraId="77BB1F6E" w14:textId="0C1EAD06">
      <w:pPr>
        <w:pStyle w:val="FERCparanumber"/>
      </w:pPr>
      <w:r>
        <w:t xml:space="preserve">For all </w:t>
      </w:r>
      <w:r w:rsidR="009B222B">
        <w:t>transmission</w:t>
      </w:r>
      <w:r>
        <w:t xml:space="preserve"> providers in </w:t>
      </w:r>
      <w:r w:rsidR="006745EE">
        <w:t>an RTO/ISO or non-RTO/ISO region,</w:t>
      </w:r>
      <w:r w:rsidR="000F66FB">
        <w:t xml:space="preserve"> we direct a compliance filing within 60 days of the effective date of the </w:t>
      </w:r>
      <w:r w:rsidR="00126E54">
        <w:t>final rule</w:t>
      </w:r>
      <w:r w:rsidRPr="008459A9" w:rsidR="008459A9">
        <w:t xml:space="preserve">, including a </w:t>
      </w:r>
      <w:r w:rsidR="008459A9">
        <w:t>propos</w:t>
      </w:r>
      <w:r w:rsidR="0072052D">
        <w:t>ed</w:t>
      </w:r>
      <w:r w:rsidRPr="008459A9" w:rsidR="008459A9">
        <w:t xml:space="preserve"> effective date </w:t>
      </w:r>
      <w:r w:rsidR="009E3103">
        <w:t xml:space="preserve">within </w:t>
      </w:r>
      <w:r w:rsidR="006745EE">
        <w:t>9</w:t>
      </w:r>
      <w:r w:rsidRPr="008459A9" w:rsidR="006745EE">
        <w:t xml:space="preserve">0 </w:t>
      </w:r>
      <w:r w:rsidRPr="003D2E68" w:rsidR="008459A9">
        <w:t xml:space="preserve">days </w:t>
      </w:r>
      <w:r w:rsidRPr="003D2E68" w:rsidR="006833BD">
        <w:t>from</w:t>
      </w:r>
      <w:r w:rsidRPr="003D2E68" w:rsidR="008459A9">
        <w:t xml:space="preserve"> the</w:t>
      </w:r>
      <w:r w:rsidRPr="008459A9" w:rsidR="008459A9">
        <w:t xml:space="preserve"> date of the compliance filing</w:t>
      </w:r>
      <w:r w:rsidR="006745EE">
        <w:t>, as proposed by the NOPR</w:t>
      </w:r>
      <w:r w:rsidR="00B01C5E">
        <w:t>.</w:t>
      </w:r>
      <w:r>
        <w:rPr>
          <w:rStyle w:val="FootnoteReference"/>
        </w:rPr>
        <w:footnoteReference w:id="627"/>
      </w:r>
      <w:r w:rsidR="001365A1">
        <w:t xml:space="preserve">  </w:t>
      </w:r>
      <w:r w:rsidRPr="00991FF4" w:rsidR="00991FF4">
        <w:t xml:space="preserve">We find that the NOPR’s proposal to only allow 90 days from the date of the compliance filing for implementation of the proposed reforms to become effective is appropriate. </w:t>
      </w:r>
      <w:r w:rsidR="00CF0DB5">
        <w:t xml:space="preserve"> </w:t>
      </w:r>
      <w:r w:rsidRPr="00991FF4" w:rsidR="00991FF4">
        <w:t xml:space="preserve">However, in </w:t>
      </w:r>
      <w:r w:rsidR="00746825">
        <w:t xml:space="preserve">recognition of the </w:t>
      </w:r>
      <w:r w:rsidRPr="00746825" w:rsidR="00746825">
        <w:rPr>
          <w:bCs/>
        </w:rPr>
        <w:t>concern</w:t>
      </w:r>
      <w:r w:rsidR="00746825">
        <w:rPr>
          <w:bCs/>
        </w:rPr>
        <w:t>s</w:t>
      </w:r>
      <w:r w:rsidRPr="00746825" w:rsidR="00746825">
        <w:rPr>
          <w:bCs/>
        </w:rPr>
        <w:t xml:space="preserve"> raised by commenters with respect to the interplay between </w:t>
      </w:r>
      <w:r w:rsidR="00E03649">
        <w:rPr>
          <w:bCs/>
        </w:rPr>
        <w:t xml:space="preserve">existing </w:t>
      </w:r>
      <w:r w:rsidRPr="00746825" w:rsidR="00746825">
        <w:rPr>
          <w:bCs/>
        </w:rPr>
        <w:t>reactive power revenue</w:t>
      </w:r>
      <w:r w:rsidR="00E03649">
        <w:rPr>
          <w:bCs/>
        </w:rPr>
        <w:t xml:space="preserve"> compensation mechanisms </w:t>
      </w:r>
      <w:r w:rsidR="00153903">
        <w:rPr>
          <w:bCs/>
        </w:rPr>
        <w:t>and</w:t>
      </w:r>
      <w:r w:rsidRPr="00746825" w:rsidR="00746825">
        <w:t xml:space="preserve"> </w:t>
      </w:r>
      <w:r w:rsidR="00153903">
        <w:t xml:space="preserve">energy and capacity </w:t>
      </w:r>
      <w:r w:rsidR="00460F32">
        <w:t xml:space="preserve">market rules in </w:t>
      </w:r>
      <w:r w:rsidRPr="00746825" w:rsidR="00746825">
        <w:t>ISO-NE, NYISO, and PJM</w:t>
      </w:r>
      <w:r w:rsidR="00746825">
        <w:t>,</w:t>
      </w:r>
      <w:r w:rsidRPr="00746825" w:rsidR="00746825">
        <w:t xml:space="preserve"> </w:t>
      </w:r>
      <w:r w:rsidR="003A2736">
        <w:t xml:space="preserve">we </w:t>
      </w:r>
      <w:r w:rsidR="00D73CD3">
        <w:t xml:space="preserve">will </w:t>
      </w:r>
      <w:r w:rsidR="003A2736">
        <w:t xml:space="preserve">permit </w:t>
      </w:r>
      <w:r w:rsidR="00E71B01">
        <w:t>th</w:t>
      </w:r>
      <w:r w:rsidR="0051326C">
        <w:t>ose</w:t>
      </w:r>
      <w:r w:rsidR="00E71B01">
        <w:t xml:space="preserve"> RTOs/ISOs</w:t>
      </w:r>
      <w:r w:rsidR="001666FF">
        <w:t xml:space="preserve"> </w:t>
      </w:r>
      <w:r w:rsidRPr="00EE158F" w:rsidR="00EE158F">
        <w:t xml:space="preserve">to </w:t>
      </w:r>
      <w:r w:rsidR="00EB069D">
        <w:t xml:space="preserve">each </w:t>
      </w:r>
      <w:r w:rsidR="005E4284">
        <w:t xml:space="preserve">request </w:t>
      </w:r>
      <w:r w:rsidR="004211C7">
        <w:t>a later</w:t>
      </w:r>
      <w:r w:rsidRPr="00EE158F" w:rsidR="00EE158F">
        <w:t xml:space="preserve"> effective date</w:t>
      </w:r>
      <w:r w:rsidR="00E53AB9">
        <w:t>,</w:t>
      </w:r>
      <w:r>
        <w:rPr>
          <w:rStyle w:val="FootnoteReference"/>
        </w:rPr>
        <w:footnoteReference w:id="628"/>
      </w:r>
      <w:r w:rsidRPr="00EE158F" w:rsidR="00EE158F">
        <w:t xml:space="preserve"> </w:t>
      </w:r>
      <w:r w:rsidR="00E53AB9">
        <w:t>for the Commission’s consideration</w:t>
      </w:r>
      <w:r w:rsidR="00DD20AA">
        <w:t>,</w:t>
      </w:r>
      <w:r w:rsidR="00E53AB9">
        <w:t xml:space="preserve"> </w:t>
      </w:r>
      <w:r w:rsidR="00153903">
        <w:t>in order to allow them</w:t>
      </w:r>
      <w:r w:rsidRPr="00A30A7E" w:rsidR="004B2261">
        <w:t xml:space="preserve"> </w:t>
      </w:r>
      <w:r w:rsidRPr="00A30A7E" w:rsidR="00EE158F">
        <w:t xml:space="preserve">to develop </w:t>
      </w:r>
      <w:r w:rsidR="00153903">
        <w:t xml:space="preserve">and propose </w:t>
      </w:r>
      <w:r w:rsidRPr="00A30A7E" w:rsidR="00EE158F">
        <w:t>any changes to their market</w:t>
      </w:r>
      <w:r w:rsidR="00565D58">
        <w:t xml:space="preserve"> rules</w:t>
      </w:r>
      <w:r w:rsidRPr="00A30A7E" w:rsidR="00EE158F">
        <w:t xml:space="preserve"> that may be </w:t>
      </w:r>
      <w:r w:rsidRPr="009901CA" w:rsidR="003E2132">
        <w:t>necessary</w:t>
      </w:r>
      <w:r w:rsidRPr="00A30A7E" w:rsidR="003E2132">
        <w:t xml:space="preserve"> </w:t>
      </w:r>
      <w:r w:rsidRPr="00A30A7E" w:rsidR="00EE158F">
        <w:t xml:space="preserve">in order to </w:t>
      </w:r>
      <w:r w:rsidR="00153903">
        <w:t>accommodate</w:t>
      </w:r>
      <w:r w:rsidRPr="00A30A7E" w:rsidR="00EE158F">
        <w:t xml:space="preserve"> this </w:t>
      </w:r>
      <w:r w:rsidR="00126E54">
        <w:t>final rule</w:t>
      </w:r>
      <w:r w:rsidR="00153903">
        <w:t xml:space="preserve">’s elimination of compensation for the provision of reactive power within the standard power factor range.  </w:t>
      </w:r>
      <w:r w:rsidR="00C87FBD">
        <w:t>With</w:t>
      </w:r>
      <w:r w:rsidR="004D3AB3">
        <w:t xml:space="preserve"> a</w:t>
      </w:r>
      <w:r w:rsidR="006D2E7D">
        <w:t>ny such request</w:t>
      </w:r>
      <w:r w:rsidR="004D3AB3">
        <w:t>, the RTO/ISO</w:t>
      </w:r>
      <w:r w:rsidRPr="009901CA" w:rsidR="006D2E7D">
        <w:t xml:space="preserve"> must</w:t>
      </w:r>
      <w:r w:rsidR="00876811">
        <w:t xml:space="preserve"> affir</w:t>
      </w:r>
      <w:r w:rsidR="006478F2">
        <w:t>matively</w:t>
      </w:r>
      <w:r w:rsidRPr="009901CA" w:rsidR="003F1282">
        <w:t xml:space="preserve"> </w:t>
      </w:r>
      <w:r w:rsidR="004D3AB3">
        <w:t xml:space="preserve">demonstrate </w:t>
      </w:r>
      <w:r w:rsidRPr="009901CA" w:rsidR="00A002E3">
        <w:t xml:space="preserve">why </w:t>
      </w:r>
      <w:r w:rsidRPr="009901CA" w:rsidR="004D1EFF">
        <w:t xml:space="preserve">such </w:t>
      </w:r>
      <w:r w:rsidR="00844FF3">
        <w:t xml:space="preserve">a requested </w:t>
      </w:r>
      <w:r w:rsidRPr="009901CA" w:rsidR="004D1EFF">
        <w:t>effective date</w:t>
      </w:r>
      <w:r w:rsidRPr="009901CA" w:rsidR="00A002E3">
        <w:t xml:space="preserve"> is </w:t>
      </w:r>
      <w:r w:rsidRPr="009901CA" w:rsidR="00A54DE1">
        <w:t>necessary</w:t>
      </w:r>
      <w:r w:rsidRPr="00A52360" w:rsidR="004F5892">
        <w:t>,</w:t>
      </w:r>
      <w:r w:rsidRPr="00A52360" w:rsidR="00F26E3D">
        <w:t xml:space="preserve"> g</w:t>
      </w:r>
      <w:r w:rsidR="00F26E3D">
        <w:t>iven</w:t>
      </w:r>
      <w:r w:rsidR="00584A07">
        <w:t>, for example,</w:t>
      </w:r>
      <w:r w:rsidR="00F26E3D">
        <w:t xml:space="preserve"> </w:t>
      </w:r>
      <w:r w:rsidR="009913C3">
        <w:t>its</w:t>
      </w:r>
      <w:r w:rsidR="00F26E3D">
        <w:t xml:space="preserve"> existing market rules</w:t>
      </w:r>
      <w:r w:rsidRPr="009901CA" w:rsidR="00A54DE1">
        <w:t>,</w:t>
      </w:r>
      <w:r w:rsidRPr="009901CA" w:rsidR="00FC0829">
        <w:t xml:space="preserve"> and what </w:t>
      </w:r>
      <w:r w:rsidRPr="009901CA" w:rsidR="001167ED">
        <w:t xml:space="preserve">market rule </w:t>
      </w:r>
      <w:r w:rsidRPr="009901CA" w:rsidR="00FC0829">
        <w:t xml:space="preserve">changes </w:t>
      </w:r>
      <w:r w:rsidRPr="009901CA" w:rsidR="00FC3473">
        <w:t xml:space="preserve">the RTO/ISO </w:t>
      </w:r>
      <w:r w:rsidRPr="009901CA" w:rsidR="001167ED">
        <w:t>believe</w:t>
      </w:r>
      <w:r w:rsidR="0038027B">
        <w:t>s</w:t>
      </w:r>
      <w:r w:rsidRPr="009901CA" w:rsidR="001167ED">
        <w:t xml:space="preserve"> may be needed</w:t>
      </w:r>
      <w:r w:rsidR="00CF2B62">
        <w:t xml:space="preserve"> to </w:t>
      </w:r>
      <w:r w:rsidR="00C30C8F">
        <w:t>accommodate</w:t>
      </w:r>
      <w:r w:rsidR="008A7A00">
        <w:t xml:space="preserve"> th</w:t>
      </w:r>
      <w:r w:rsidR="008E45E9">
        <w:t>is</w:t>
      </w:r>
      <w:r w:rsidR="008A7A00">
        <w:t xml:space="preserve"> </w:t>
      </w:r>
      <w:r w:rsidR="00B044E5">
        <w:t>final rule</w:t>
      </w:r>
      <w:r w:rsidRPr="009901CA" w:rsidR="001D31A2">
        <w:t>.</w:t>
      </w:r>
      <w:r w:rsidRPr="009901CA" w:rsidR="006E63FF">
        <w:t xml:space="preserve">  </w:t>
      </w:r>
      <w:r w:rsidRPr="009901CA" w:rsidR="000F14CF">
        <w:t>We find t</w:t>
      </w:r>
      <w:r w:rsidR="000F14CF">
        <w:t xml:space="preserve">hat this approach reasonably balances concerns about expediently addressing unjust and </w:t>
      </w:r>
      <w:r w:rsidR="00780238">
        <w:t>un</w:t>
      </w:r>
      <w:r w:rsidR="000F14CF">
        <w:t xml:space="preserve">reasonable </w:t>
      </w:r>
      <w:r w:rsidR="00637863">
        <w:t xml:space="preserve">transmission </w:t>
      </w:r>
      <w:r w:rsidR="00AA455B">
        <w:t xml:space="preserve">rates for </w:t>
      </w:r>
      <w:r w:rsidR="000F14CF">
        <w:t xml:space="preserve">reactive power with concerns raised by commenters </w:t>
      </w:r>
      <w:r w:rsidR="009F4A23">
        <w:t xml:space="preserve">about existing cost recovery rules in the organized markets </w:t>
      </w:r>
      <w:r w:rsidR="000F14CF">
        <w:t xml:space="preserve">and </w:t>
      </w:r>
      <w:r w:rsidR="008D2A0A">
        <w:t xml:space="preserve">will </w:t>
      </w:r>
      <w:r w:rsidR="006F5A5E">
        <w:t xml:space="preserve">ensure that </w:t>
      </w:r>
      <w:r w:rsidR="001E7A21">
        <w:t>the ability of generating facilities to seek</w:t>
      </w:r>
      <w:r w:rsidR="006F5A5E">
        <w:t xml:space="preserve"> </w:t>
      </w:r>
      <w:r w:rsidR="00E61EEC">
        <w:t xml:space="preserve">any appropriate </w:t>
      </w:r>
      <w:r w:rsidR="00311A6A">
        <w:t xml:space="preserve">cost </w:t>
      </w:r>
      <w:r w:rsidR="006F5A5E">
        <w:t>recover</w:t>
      </w:r>
      <w:r w:rsidR="006C6604">
        <w:t>y</w:t>
      </w:r>
      <w:r w:rsidR="006F5A5E">
        <w:t xml:space="preserve"> </w:t>
      </w:r>
      <w:r w:rsidR="00D1089B">
        <w:t>will not be impeded</w:t>
      </w:r>
      <w:r w:rsidR="006F5A5E">
        <w:t>.</w:t>
      </w:r>
      <w:r w:rsidR="008D2A0A">
        <w:t xml:space="preserve">  </w:t>
      </w:r>
    </w:p>
    <w:p w:rsidR="00A33406" w14:paraId="6BAF48A6" w14:textId="61F16752">
      <w:pPr>
        <w:pStyle w:val="FERCparanumber"/>
      </w:pPr>
      <w:r>
        <w:t>This flexibility would accommodate</w:t>
      </w:r>
      <w:r w:rsidR="00DE448E">
        <w:t xml:space="preserve"> </w:t>
      </w:r>
      <w:r w:rsidR="00B805A8">
        <w:t xml:space="preserve">the </w:t>
      </w:r>
      <w:r w:rsidR="00E20A23">
        <w:t xml:space="preserve">potential section 205 filings that </w:t>
      </w:r>
      <w:r w:rsidR="00B805A8">
        <w:t>some RTOs/ISOs mentioned may</w:t>
      </w:r>
      <w:r w:rsidR="00E20A23">
        <w:t xml:space="preserve"> accompany </w:t>
      </w:r>
      <w:r w:rsidR="00803526">
        <w:t>any</w:t>
      </w:r>
      <w:r w:rsidR="00E52197">
        <w:t xml:space="preserve"> </w:t>
      </w:r>
      <w:r w:rsidR="00126E54">
        <w:t>final rule</w:t>
      </w:r>
      <w:r w:rsidR="00E20A23">
        <w:t xml:space="preserve"> compliance filings, such as </w:t>
      </w:r>
      <w:r w:rsidR="005E6441">
        <w:t xml:space="preserve">PJM’s </w:t>
      </w:r>
      <w:r w:rsidR="00E20A23">
        <w:t>adjustments to</w:t>
      </w:r>
      <w:r w:rsidRPr="00C1645C" w:rsidR="00E20A23">
        <w:t xml:space="preserve"> market rules to remove </w:t>
      </w:r>
      <w:r w:rsidR="001422E2">
        <w:t>the</w:t>
      </w:r>
      <w:r w:rsidRPr="00C1645C" w:rsidR="00E20A23">
        <w:t xml:space="preserve"> offset in auction parameters as well as “propose rules around testing, monitoring, and penalties, to ensure that generators actually provide the reactive power capability that they are required to provide under their Commission-jurisdictional interconnection agreements when called upon.”</w:t>
      </w:r>
      <w:r>
        <w:rPr>
          <w:b/>
          <w:vertAlign w:val="superscript"/>
        </w:rPr>
        <w:footnoteReference w:id="629"/>
      </w:r>
      <w:r w:rsidR="00E20A23">
        <w:t xml:space="preserve">  The Commission welcomes these </w:t>
      </w:r>
      <w:r w:rsidR="009A4EA8">
        <w:t>and similar</w:t>
      </w:r>
      <w:r w:rsidR="00E20A23">
        <w:t xml:space="preserve"> section 205 filings to adapt markets to accommodate the </w:t>
      </w:r>
      <w:r w:rsidR="00126E54">
        <w:t>final rule</w:t>
      </w:r>
      <w:r w:rsidR="00E20A23">
        <w:t xml:space="preserve"> as well as to clarify each RTO</w:t>
      </w:r>
      <w:r w:rsidR="00681C55">
        <w:t>’s</w:t>
      </w:r>
      <w:r w:rsidR="00E20A23">
        <w:t xml:space="preserve">/ISO’s compensation scheme for reactive power service </w:t>
      </w:r>
      <w:r w:rsidRPr="00504C1D" w:rsidR="00E20A23">
        <w:rPr>
          <w:i/>
          <w:iCs/>
        </w:rPr>
        <w:t>outside</w:t>
      </w:r>
      <w:r w:rsidR="00E20A23">
        <w:t xml:space="preserve"> of the standard power factor range, if necessary.</w:t>
      </w:r>
      <w:r>
        <w:rPr>
          <w:rStyle w:val="FootnoteReference"/>
        </w:rPr>
        <w:footnoteReference w:id="630"/>
      </w:r>
    </w:p>
    <w:p w:rsidR="005565F2" w14:paraId="17CD21B4" w14:textId="4F391ACA">
      <w:pPr>
        <w:pStyle w:val="FERCparanumber"/>
      </w:pPr>
      <w:r>
        <w:t xml:space="preserve">We decline to </w:t>
      </w:r>
      <w:r w:rsidR="00194939">
        <w:t xml:space="preserve">adopt a transition period </w:t>
      </w:r>
      <w:r w:rsidR="00AE6F50">
        <w:t xml:space="preserve">in </w:t>
      </w:r>
      <w:r w:rsidR="004C2120">
        <w:t>non-RTO</w:t>
      </w:r>
      <w:r w:rsidR="00D2473A">
        <w:t>/ISO</w:t>
      </w:r>
      <w:r w:rsidR="004C2120">
        <w:t xml:space="preserve"> regions</w:t>
      </w:r>
      <w:r w:rsidR="00546B57">
        <w:t xml:space="preserve"> beyond the </w:t>
      </w:r>
      <w:r w:rsidR="00484FF4">
        <w:t xml:space="preserve">      </w:t>
      </w:r>
      <w:r w:rsidR="00546B57">
        <w:t>90-day implementation period proposed in the NOPR</w:t>
      </w:r>
      <w:r w:rsidR="00DE61EB">
        <w:t xml:space="preserve">.  </w:t>
      </w:r>
      <w:r w:rsidR="001523D1">
        <w:t>S</w:t>
      </w:r>
      <w:r w:rsidR="00E4762B">
        <w:t xml:space="preserve">ome </w:t>
      </w:r>
      <w:r w:rsidR="00416017">
        <w:t>generat</w:t>
      </w:r>
      <w:r w:rsidR="00E66B70">
        <w:t>ing facilities</w:t>
      </w:r>
      <w:r w:rsidR="00416017">
        <w:t xml:space="preserve"> </w:t>
      </w:r>
      <w:r w:rsidR="00E4762B">
        <w:t>in</w:t>
      </w:r>
      <w:r w:rsidR="00484FF4">
        <w:t xml:space="preserve">     </w:t>
      </w:r>
      <w:r w:rsidR="00E4762B">
        <w:t xml:space="preserve"> non-RTO/ISO regions</w:t>
      </w:r>
      <w:r w:rsidR="00416017">
        <w:t xml:space="preserve"> contend that the </w:t>
      </w:r>
      <w:r w:rsidR="00F54C14">
        <w:t>compliance</w:t>
      </w:r>
      <w:r w:rsidR="00416017">
        <w:t xml:space="preserve"> period should extend until the termination of existing PPAs</w:t>
      </w:r>
      <w:r w:rsidR="005173BC">
        <w:t xml:space="preserve"> or request that we</w:t>
      </w:r>
      <w:r w:rsidR="006125B0">
        <w:t xml:space="preserve"> require </w:t>
      </w:r>
      <w:r w:rsidR="00363D14">
        <w:t xml:space="preserve">all </w:t>
      </w:r>
      <w:r w:rsidR="006125B0">
        <w:t>PPA</w:t>
      </w:r>
      <w:r w:rsidR="00363D14">
        <w:t>s</w:t>
      </w:r>
      <w:r w:rsidR="006125B0">
        <w:t xml:space="preserve"> to be reevalu</w:t>
      </w:r>
      <w:r w:rsidR="006D3DA5">
        <w:t>a</w:t>
      </w:r>
      <w:r w:rsidR="006125B0">
        <w:t>ted</w:t>
      </w:r>
      <w:r w:rsidRPr="00540A91" w:rsidR="00540A91">
        <w:t xml:space="preserve"> </w:t>
      </w:r>
      <w:r w:rsidR="008A0793">
        <w:t xml:space="preserve">to </w:t>
      </w:r>
      <w:r w:rsidR="00540A91">
        <w:t>cover the foregone revenue</w:t>
      </w:r>
      <w:r w:rsidR="006125B0">
        <w:t xml:space="preserve">. </w:t>
      </w:r>
      <w:r w:rsidR="00BC19F4">
        <w:t xml:space="preserve"> </w:t>
      </w:r>
      <w:r w:rsidR="001228DF">
        <w:t xml:space="preserve">As explained above, </w:t>
      </w:r>
      <w:r w:rsidRPr="00561063" w:rsidR="001228DF">
        <w:t xml:space="preserve">the record lacks any concrete evidence showing whether, and to what extent, generating facilities factored reactive power revenues into their PPAs.  </w:t>
      </w:r>
      <w:r w:rsidR="008E4785">
        <w:t>And e</w:t>
      </w:r>
      <w:r w:rsidRPr="00561063" w:rsidR="001228DF">
        <w:t>ven if a generat</w:t>
      </w:r>
      <w:r w:rsidR="00714B84">
        <w:t>ing facility</w:t>
      </w:r>
      <w:r w:rsidRPr="00561063" w:rsidR="001228DF">
        <w:t xml:space="preserve"> were able to demonstrate that eliminating compensation under our rule might</w:t>
      </w:r>
      <w:r w:rsidRPr="00561063" w:rsidR="001228DF">
        <w:t xml:space="preserve"> </w:t>
      </w:r>
      <w:r w:rsidRPr="00561063" w:rsidR="001228DF">
        <w:t xml:space="preserve">impact some generating </w:t>
      </w:r>
      <w:r w:rsidR="001228DF">
        <w:t>facility’s</w:t>
      </w:r>
      <w:r w:rsidRPr="00561063" w:rsidR="001228DF">
        <w:t xml:space="preserve"> profitability, </w:t>
      </w:r>
      <w:r w:rsidR="00AE1F2E">
        <w:t>which they have</w:t>
      </w:r>
      <w:r w:rsidR="00D12F83">
        <w:t xml:space="preserve"> not</w:t>
      </w:r>
      <w:r w:rsidR="00FD2501">
        <w:t xml:space="preserve">, </w:t>
      </w:r>
      <w:r w:rsidRPr="00561063" w:rsidR="001228DF">
        <w:t>we do not believe that potential disrupted expectations weigh in favor of a different outcome in this situation.  As a general matter, the risk of regulatory change is inherent in any long-term PPA.</w:t>
      </w:r>
      <w:r>
        <w:rPr>
          <w:rStyle w:val="FootnoteReference"/>
        </w:rPr>
        <w:footnoteReference w:id="631"/>
      </w:r>
      <w:r w:rsidRPr="00561063" w:rsidR="001228DF">
        <w:t xml:space="preserve">  Moreover, as explained above, </w:t>
      </w:r>
      <w:r w:rsidR="00CF3ED0">
        <w:t xml:space="preserve">we are skeptical of any purported reliance interests </w:t>
      </w:r>
      <w:r w:rsidR="00771FC9">
        <w:t>given th</w:t>
      </w:r>
      <w:r w:rsidR="003E287E">
        <w:t>at</w:t>
      </w:r>
      <w:r w:rsidR="00771FC9">
        <w:t xml:space="preserve"> </w:t>
      </w:r>
      <w:r w:rsidR="00E7307D">
        <w:t>generating facilities have not had</w:t>
      </w:r>
      <w:r w:rsidRPr="00561063" w:rsidR="001228DF">
        <w:t xml:space="preserve"> an inherent right to separate compensation for reactive power capability within the standard power factor range since Order Nos. 2003 and 2003-A (</w:t>
      </w:r>
      <w:r w:rsidRPr="00C06B6B" w:rsidR="001228DF">
        <w:rPr>
          <w:iCs/>
        </w:rPr>
        <w:t>i.e.</w:t>
      </w:r>
      <w:r w:rsidRPr="00561063" w:rsidR="001228DF">
        <w:t>, because such compensation is required only to ensure “comparability”)</w:t>
      </w:r>
      <w:r w:rsidR="001F2F95">
        <w:t xml:space="preserve">.  </w:t>
      </w:r>
      <w:r w:rsidRPr="00923AD6" w:rsidR="004C5425">
        <w:t>Finally</w:t>
      </w:r>
      <w:r w:rsidRPr="00561063" w:rsidR="001228DF">
        <w:t xml:space="preserve">, developers and generating facilities have been on notice since at least 2003 that the Commission regards reactive power compensation within the standard power factor range as non-compensable (other than where the comparability </w:t>
      </w:r>
      <w:r w:rsidR="00D53F70">
        <w:t>standard</w:t>
      </w:r>
      <w:r w:rsidRPr="00561063" w:rsidR="001228DF">
        <w:t xml:space="preserve"> applies) – a conclusion that was patent in those orders, and reinforced repeatedly in subsequent Commission orders accepting </w:t>
      </w:r>
      <w:r w:rsidRPr="00561063" w:rsidR="001228DF">
        <w:t>transmission owner filings under section 205 that eliminated reactive power compensation within the standard power factor range.</w:t>
      </w:r>
      <w:r>
        <w:rPr>
          <w:rStyle w:val="FootnoteReference"/>
        </w:rPr>
        <w:footnoteReference w:id="632"/>
      </w:r>
      <w:r w:rsidRPr="00561063" w:rsidR="001228DF">
        <w:t xml:space="preserve">  </w:t>
      </w:r>
    </w:p>
    <w:p w:rsidR="00C4096C" w:rsidP="00C4096C" w14:paraId="335C1DEB" w14:textId="29746A40">
      <w:pPr>
        <w:pStyle w:val="FERCparanumber"/>
      </w:pPr>
      <w:r>
        <w:rPr>
          <w:bCs/>
        </w:rPr>
        <w:t>We</w:t>
      </w:r>
      <w:r>
        <w:rPr>
          <w:bCs/>
        </w:rPr>
        <w:t xml:space="preserve"> disagree with </w:t>
      </w:r>
      <w:r w:rsidRPr="00C4096C">
        <w:rPr>
          <w:bCs/>
        </w:rPr>
        <w:t xml:space="preserve">commenters </w:t>
      </w:r>
      <w:r w:rsidR="008D687D">
        <w:rPr>
          <w:bCs/>
        </w:rPr>
        <w:t>who request</w:t>
      </w:r>
      <w:r w:rsidRPr="00C4096C">
        <w:rPr>
          <w:bCs/>
        </w:rPr>
        <w:t xml:space="preserve"> that generating facilities with reactive rates on file prior to the effective date of </w:t>
      </w:r>
      <w:r w:rsidR="00B93E64">
        <w:rPr>
          <w:bCs/>
        </w:rPr>
        <w:t>the</w:t>
      </w:r>
      <w:r w:rsidRPr="00C4096C">
        <w:rPr>
          <w:bCs/>
        </w:rPr>
        <w:t xml:space="preserve"> </w:t>
      </w:r>
      <w:r w:rsidR="00126E54">
        <w:rPr>
          <w:bCs/>
        </w:rPr>
        <w:t>final rule</w:t>
      </w:r>
      <w:r w:rsidRPr="00C4096C">
        <w:rPr>
          <w:bCs/>
        </w:rPr>
        <w:t xml:space="preserve"> be provided legacy treatment.</w:t>
      </w:r>
      <w:r>
        <w:rPr>
          <w:b/>
          <w:vertAlign w:val="superscript"/>
        </w:rPr>
        <w:footnoteReference w:id="633"/>
      </w:r>
      <w:r w:rsidRPr="00C4096C">
        <w:rPr>
          <w:bCs/>
        </w:rPr>
        <w:t xml:space="preserve">  Given that the Commission </w:t>
      </w:r>
      <w:r w:rsidR="00364CBF">
        <w:rPr>
          <w:bCs/>
        </w:rPr>
        <w:t>finds above</w:t>
      </w:r>
      <w:r w:rsidRPr="00C4096C">
        <w:rPr>
          <w:bCs/>
        </w:rPr>
        <w:t xml:space="preserve"> that </w:t>
      </w:r>
      <w:r w:rsidRPr="00C55982" w:rsidR="00DD0D24">
        <w:t>allowing transmission providers to compensate generating facilities, affiliated and unaffiliated, for providing reactive power within the standard power factor range has resulted in unjust and unreasonable transmission rates</w:t>
      </w:r>
      <w:r w:rsidRPr="00C4096C">
        <w:rPr>
          <w:bCs/>
        </w:rPr>
        <w:t>, it would raise undue discrimination concerns to continue to provide payment through Schedule 2 for reactive power supply within the standard power factor range to generating facilities with rates already on file when those rates have been found to be unjust and unreasonable.</w:t>
      </w:r>
      <w:r>
        <w:rPr>
          <w:b/>
          <w:vertAlign w:val="superscript"/>
        </w:rPr>
        <w:footnoteReference w:id="634"/>
      </w:r>
      <w:r w:rsidRPr="00C4096C">
        <w:rPr>
          <w:bCs/>
        </w:rPr>
        <w:t xml:space="preserve">  Although commenters point to other situations where the Commission has provided legacy treatment for existing rates, in those situations the existing rate had not been found to be unjust and unreasonable.</w:t>
      </w:r>
      <w:r>
        <w:rPr>
          <w:b/>
          <w:vertAlign w:val="superscript"/>
        </w:rPr>
        <w:footnoteReference w:id="635"/>
      </w:r>
      <w:r w:rsidRPr="00C4096C">
        <w:rPr>
          <w:bCs/>
        </w:rPr>
        <w:t xml:space="preserve">  </w:t>
      </w:r>
    </w:p>
    <w:p w:rsidR="002C4A10" w:rsidRPr="00C06B6B" w:rsidP="001E676C" w14:paraId="53FCC964" w14:textId="43FF085C">
      <w:pPr>
        <w:pStyle w:val="Heading1"/>
        <w:rPr>
          <w:u w:val="single"/>
        </w:rPr>
      </w:pPr>
      <w:bookmarkStart w:id="104" w:name="_bmk32"/>
      <w:r w:rsidRPr="00C06B6B">
        <w:rPr>
          <w:u w:val="single"/>
        </w:rPr>
        <w:t>I</w:t>
      </w:r>
      <w:bookmarkEnd w:id="104"/>
      <w:r w:rsidRPr="00C06B6B">
        <w:rPr>
          <w:u w:val="single"/>
        </w:rPr>
        <w:t>nformation Collection Statement</w:t>
      </w:r>
      <w:bookmarkEnd w:id="92"/>
      <w:bookmarkEnd w:id="93"/>
    </w:p>
    <w:p w:rsidR="009C17AE" w:rsidRPr="009C17AE" w:rsidP="009C17AE" w14:paraId="69284698" w14:textId="77777777">
      <w:pPr>
        <w:pStyle w:val="FERCparanumber"/>
      </w:pPr>
      <w:r w:rsidRPr="009C17AE">
        <w:t>The Office of Management and Budget’s (OMB) regulations require approval of certain information collection requirements imposed by agency rules.  Upon approval of a collection(s) of information, OMB will assign an OMB control number and an expiration date.  Respondents subject to the filing requirements of a rule will not be penalized for failing to respond to these collections of information unless the collections of information display a valid OMB control number.</w:t>
      </w:r>
    </w:p>
    <w:p w:rsidR="009C17AE" w:rsidRPr="009C17AE" w:rsidP="009C17AE" w14:paraId="4929302D" w14:textId="0A4772CE">
      <w:pPr>
        <w:pStyle w:val="FERCparanumber"/>
      </w:pPr>
      <w:r w:rsidRPr="009C17AE">
        <w:t xml:space="preserve">This </w:t>
      </w:r>
      <w:r w:rsidR="00126E54">
        <w:t>final rule</w:t>
      </w:r>
      <w:r w:rsidRPr="009C17AE">
        <w:t xml:space="preserve"> </w:t>
      </w:r>
      <w:r w:rsidR="005E7FE1">
        <w:t>will</w:t>
      </w:r>
      <w:r w:rsidRPr="009C17AE">
        <w:t xml:space="preserve"> amend the Commission’s regulations pursuant to section 206 of the </w:t>
      </w:r>
      <w:r w:rsidR="00237B0B">
        <w:t>FPA</w:t>
      </w:r>
      <w:r w:rsidRPr="009C17AE">
        <w:t xml:space="preserve">, to eliminate compensation to generating facilities for the provision of reactive power within the standard power factor range set forth in each generating facility’s individual interconnection agreement.  To accomplish this, the Commission proposes to require each transmission provider to amend the </w:t>
      </w:r>
      <w:r w:rsidRPr="00FD4F8A" w:rsidR="00FD4F8A">
        <w:rPr>
          <w:i/>
          <w:iCs/>
        </w:rPr>
        <w:t>pro forma</w:t>
      </w:r>
      <w:r w:rsidR="00FD4F8A">
        <w:t xml:space="preserve"> </w:t>
      </w:r>
      <w:r w:rsidR="005E7FE1">
        <w:t>LGIA</w:t>
      </w:r>
      <w:r w:rsidR="002E5955">
        <w:t xml:space="preserve">, </w:t>
      </w:r>
      <w:r w:rsidR="00AA3A1C">
        <w:t>the</w:t>
      </w:r>
      <w:r w:rsidRPr="009C17AE">
        <w:t xml:space="preserve"> </w:t>
      </w:r>
      <w:r w:rsidRPr="00FD4F8A" w:rsidR="00FD4F8A">
        <w:rPr>
          <w:i/>
          <w:iCs/>
        </w:rPr>
        <w:t>pro forma</w:t>
      </w:r>
      <w:r w:rsidR="00FD4F8A">
        <w:t xml:space="preserve"> </w:t>
      </w:r>
      <w:r w:rsidR="005E7FE1">
        <w:t>SGIA</w:t>
      </w:r>
      <w:r w:rsidR="002E5955">
        <w:t>, and Schedule 2</w:t>
      </w:r>
      <w:r w:rsidRPr="009C17AE">
        <w:t xml:space="preserve"> in its </w:t>
      </w:r>
      <w:r w:rsidR="00980523">
        <w:t xml:space="preserve">OATT </w:t>
      </w:r>
      <w:r w:rsidRPr="009C17AE">
        <w:t xml:space="preserve">to implement the reforms proposed in this </w:t>
      </w:r>
      <w:r w:rsidR="00126E54">
        <w:t>final rule</w:t>
      </w:r>
      <w:r w:rsidRPr="009C17AE">
        <w:t xml:space="preserve">.  Such filings should be made under Part 35 of the Commission’s regulations.  Subsequently, the </w:t>
      </w:r>
      <w:r w:rsidR="00126E54">
        <w:t>final rule</w:t>
      </w:r>
      <w:r w:rsidRPr="009C17AE">
        <w:t xml:space="preserve"> would revise the following currently approved information collections:  </w:t>
      </w:r>
      <w:r w:rsidRPr="009C17AE">
        <w:rPr>
          <w:i/>
        </w:rPr>
        <w:t xml:space="preserve">FERC 516H (OMB control. No. 1902-0303): </w:t>
      </w:r>
      <w:r w:rsidR="00282F29">
        <w:rPr>
          <w:i/>
        </w:rPr>
        <w:t xml:space="preserve"> </w:t>
      </w:r>
      <w:r w:rsidRPr="009C17AE">
        <w:rPr>
          <w:i/>
        </w:rPr>
        <w:t xml:space="preserve">Pro Forma Open Access Transmission Tariff, </w:t>
      </w:r>
      <w:r w:rsidRPr="009C17AE">
        <w:rPr>
          <w:i/>
        </w:rPr>
        <w:t xml:space="preserve">FERC 516 (OMB control No. 1902-0096): </w:t>
      </w:r>
      <w:r w:rsidR="00282F29">
        <w:rPr>
          <w:i/>
        </w:rPr>
        <w:t xml:space="preserve"> </w:t>
      </w:r>
      <w:r w:rsidRPr="009C17AE">
        <w:rPr>
          <w:i/>
        </w:rPr>
        <w:t xml:space="preserve">Electric Tariff Filings, and FERC 516A (OMB control No. </w:t>
      </w:r>
      <w:r w:rsidRPr="009C17AE">
        <w:rPr>
          <w:i/>
          <w:iCs/>
        </w:rPr>
        <w:t>1902-0203):  Standardization of Small Generator Interconnection Agreements and Procedures [SGIA and SGIP].</w:t>
      </w:r>
    </w:p>
    <w:p w:rsidR="009C17AE" w:rsidRPr="009C17AE" w:rsidP="009C17AE" w14:paraId="4C2A0AF5" w14:textId="721D25E9">
      <w:pPr>
        <w:pStyle w:val="FERCparanumber"/>
      </w:pPr>
      <w:r w:rsidRPr="009C17AE">
        <w:t xml:space="preserve">The Commission is submitting these reporting requirements to OMB for its review and approval under section 3507(d) of the Paperwork Reduction Act.  Comments </w:t>
      </w:r>
      <w:r w:rsidR="00D7664B">
        <w:t xml:space="preserve">are accepted </w:t>
      </w:r>
      <w:r w:rsidRPr="009C17AE">
        <w:t>on whether the information will have practical utility, the accuracy of provided burden estimates, ways to enhance the quality, utility, and clarity of the information to be collected, and any suggested methods for minimizing the respondent’s burden, including the use of automated information techniques.</w:t>
      </w:r>
    </w:p>
    <w:p w:rsidR="009C17AE" w:rsidRPr="009C17AE" w:rsidP="009C17AE" w14:paraId="03F34654" w14:textId="6565A8F8">
      <w:pPr>
        <w:pStyle w:val="FERCparanumber"/>
      </w:pPr>
      <w:r w:rsidRPr="009C17AE">
        <w:t xml:space="preserve">Please send comments concerning the collection of information and the associated burden estimates to:  Office of Information and Regulatory Affairs, Office of Management and Budget, 725 17th Street, NW, Washington, DC </w:t>
      </w:r>
      <w:r w:rsidR="005C0257">
        <w:t xml:space="preserve"> </w:t>
      </w:r>
      <w:r w:rsidRPr="009C17AE">
        <w:t>20503, Attention:   Desk Officer for the Federal Energy Regulatory Commission.  Due to security concerns, comments should be sent electronically to the following e-mail address: oira_submission@omb.eop.gov.  Comments submitted to OMB should refer to OMB Control No. 1902-0303, 1902-0096, or 1902-0203.</w:t>
      </w:r>
    </w:p>
    <w:p w:rsidR="009C17AE" w:rsidRPr="009C17AE" w:rsidP="009C17AE" w14:paraId="26DDB885" w14:textId="081021BE">
      <w:pPr>
        <w:pStyle w:val="FERCparanumber"/>
      </w:pPr>
      <w:r w:rsidRPr="009C17AE">
        <w:t>Please submit a copy of your comments on the information collection to the Commission via the eFiling link on the Commission’s website at http</w:t>
      </w:r>
      <w:r w:rsidR="00070474">
        <w:t>s</w:t>
      </w:r>
      <w:r w:rsidRPr="009C17AE">
        <w:t>://www.ferc.gov</w:t>
      </w:r>
      <w:r w:rsidRPr="009C17AE">
        <w:rPr>
          <w:i/>
          <w:iCs/>
        </w:rPr>
        <w:t>.</w:t>
      </w:r>
      <w:r w:rsidRPr="009C17AE">
        <w:t xml:space="preserve">  If you are not able to file comments electronically, please send a copy of your comments to: </w:t>
      </w:r>
      <w:r w:rsidR="005C0257">
        <w:t xml:space="preserve"> </w:t>
      </w:r>
      <w:r w:rsidRPr="009C17AE">
        <w:t>Federal Energy Regulatory Commission, Secretary of the Commission, 888 First Street NE, Washington, DC  20426.  Comments on the information collection that are sent to FERC should refer to Docket No. RM22-2-000.</w:t>
      </w:r>
    </w:p>
    <w:p w:rsidR="009C17AE" w:rsidRPr="009C17AE" w:rsidP="009C17AE" w14:paraId="22FC7C0B" w14:textId="77777777">
      <w:pPr>
        <w:pStyle w:val="FERCparanumber"/>
      </w:pPr>
      <w:r w:rsidRPr="009C17AE">
        <w:rPr>
          <w:u w:val="single"/>
        </w:rPr>
        <w:t>Title</w:t>
      </w:r>
      <w:r w:rsidRPr="009C17AE">
        <w:t xml:space="preserve">:  </w:t>
      </w:r>
      <w:r w:rsidRPr="009C17AE">
        <w:rPr>
          <w:iCs/>
        </w:rPr>
        <w:t xml:space="preserve">FERC 516H:  </w:t>
      </w:r>
      <w:r w:rsidRPr="00FD4F8A">
        <w:rPr>
          <w:i/>
        </w:rPr>
        <w:t>Pro Forma Open Access Transmission Tariff</w:t>
      </w:r>
      <w:r w:rsidRPr="009C17AE">
        <w:rPr>
          <w:iCs/>
        </w:rPr>
        <w:t>, FERC 516</w:t>
      </w:r>
      <w:r w:rsidRPr="00FD4F8A">
        <w:rPr>
          <w:i/>
        </w:rPr>
        <w:t>: Electric Tariff Filings</w:t>
      </w:r>
      <w:r w:rsidRPr="009C17AE">
        <w:rPr>
          <w:iCs/>
        </w:rPr>
        <w:t xml:space="preserve">, and FERC 516A:  </w:t>
      </w:r>
      <w:r w:rsidRPr="00FD4F8A">
        <w:rPr>
          <w:i/>
        </w:rPr>
        <w:t>Standardization of Small Generator Interconnection Agreements and Procedures [SGIA and SGIP]</w:t>
      </w:r>
      <w:r w:rsidRPr="009C17AE">
        <w:rPr>
          <w:iCs/>
        </w:rPr>
        <w:t>.</w:t>
      </w:r>
    </w:p>
    <w:p w:rsidR="009C17AE" w:rsidRPr="009C17AE" w:rsidP="009C17AE" w14:paraId="4B2F6E8A" w14:textId="25B79E92">
      <w:pPr>
        <w:pStyle w:val="FERCparanumber"/>
      </w:pPr>
      <w:r w:rsidRPr="009C17AE">
        <w:rPr>
          <w:u w:val="single"/>
        </w:rPr>
        <w:t>Action</w:t>
      </w:r>
      <w:r w:rsidRPr="009C17AE">
        <w:t xml:space="preserve">:  </w:t>
      </w:r>
      <w:r w:rsidR="00070474">
        <w:t>R</w:t>
      </w:r>
      <w:r w:rsidRPr="009C17AE">
        <w:t xml:space="preserve">evision of the information collection in accordance with </w:t>
      </w:r>
      <w:r w:rsidR="00070474">
        <w:t xml:space="preserve">Docket </w:t>
      </w:r>
      <w:r w:rsidR="005C0257">
        <w:t xml:space="preserve">        </w:t>
      </w:r>
      <w:r w:rsidR="00070474">
        <w:t>No.</w:t>
      </w:r>
      <w:r w:rsidRPr="009C17AE">
        <w:t xml:space="preserve"> RM22-2-000.</w:t>
      </w:r>
    </w:p>
    <w:p w:rsidR="009C17AE" w:rsidRPr="009C17AE" w:rsidP="009C17AE" w14:paraId="75B074FA" w14:textId="343AFCCE">
      <w:pPr>
        <w:pStyle w:val="FERCparanumber"/>
      </w:pPr>
      <w:r w:rsidRPr="009C17AE">
        <w:rPr>
          <w:u w:val="single"/>
        </w:rPr>
        <w:t>OMB Control No.</w:t>
      </w:r>
      <w:r w:rsidRPr="009C17AE">
        <w:t>:  1902-0303, 1902-0096, 1902-0203</w:t>
      </w:r>
    </w:p>
    <w:p w:rsidR="009C17AE" w:rsidRPr="009C17AE" w:rsidP="009C17AE" w14:paraId="0D849AA7" w14:textId="77777777">
      <w:pPr>
        <w:pStyle w:val="FERCparanumber"/>
      </w:pPr>
      <w:r w:rsidRPr="009C17AE">
        <w:rPr>
          <w:u w:val="single"/>
        </w:rPr>
        <w:t>Respondents for this Rulemaking</w:t>
      </w:r>
      <w:r w:rsidRPr="009C17AE">
        <w:t>:  Public utility transmission providers, including RTOs/ISOs.</w:t>
      </w:r>
    </w:p>
    <w:p w:rsidR="009C17AE" w:rsidRPr="009C17AE" w:rsidP="009C17AE" w14:paraId="332DA7A6" w14:textId="77777777">
      <w:pPr>
        <w:pStyle w:val="FERCparanumber"/>
      </w:pPr>
      <w:r w:rsidRPr="009C17AE">
        <w:rPr>
          <w:u w:val="single"/>
        </w:rPr>
        <w:t>Frequency of Information Collection</w:t>
      </w:r>
      <w:r w:rsidRPr="009C17AE">
        <w:t>:  One-time compliance filing.</w:t>
      </w:r>
    </w:p>
    <w:p w:rsidR="009C17AE" w:rsidRPr="009C17AE" w:rsidP="009C17AE" w14:paraId="798560DF" w14:textId="143D4202">
      <w:pPr>
        <w:pStyle w:val="FERCparanumber"/>
      </w:pPr>
      <w:r w:rsidRPr="009C17AE">
        <w:rPr>
          <w:u w:val="single"/>
        </w:rPr>
        <w:t>Necessity of Information</w:t>
      </w:r>
      <w:r w:rsidRPr="009C17AE">
        <w:t xml:space="preserve">:  The </w:t>
      </w:r>
      <w:r w:rsidR="00126E54">
        <w:t>final rule</w:t>
      </w:r>
      <w:r w:rsidRPr="009C17AE">
        <w:t xml:space="preserve"> will require that transmission providers submit to the Commission a one-time compliance filing proposing tariff revisions. </w:t>
      </w:r>
    </w:p>
    <w:p w:rsidR="009C17AE" w:rsidRPr="009C17AE" w:rsidP="009C17AE" w14:paraId="0CE2357D" w14:textId="77777777">
      <w:pPr>
        <w:pStyle w:val="FERCparanumber"/>
      </w:pPr>
      <w:r w:rsidRPr="009C17AE">
        <w:rPr>
          <w:u w:val="single"/>
        </w:rPr>
        <w:t>Internal Review</w:t>
      </w:r>
      <w:r w:rsidRPr="009C17AE">
        <w:t>:  The Commission has reviewed the changes and has determined that such changes are necessary.  These requirements conform to the Commission’s need for efficient information collection, communication, and management within the energy industry in support of the Commission’s ensuring just and reasonable rates.  The Commission has specific, objective support for the burden estimates associated with the information collection requirements.</w:t>
      </w:r>
    </w:p>
    <w:p w:rsidR="009C17AE" w:rsidRPr="009C17AE" w:rsidP="00A96352" w14:paraId="4A5121A3" w14:textId="048966D2">
      <w:pPr>
        <w:pStyle w:val="FERCparanumber"/>
      </w:pPr>
      <w:r w:rsidRPr="009C17AE">
        <w:rPr>
          <w:u w:val="single"/>
        </w:rPr>
        <w:t>Public Reporting Burden</w:t>
      </w:r>
      <w:r w:rsidRPr="009C17AE">
        <w:t xml:space="preserve">:  The Commission’s estimate consists of our estimated effort related to updating the proposed revisions to the </w:t>
      </w:r>
      <w:r w:rsidRPr="00FD4F8A" w:rsidR="00FD4F8A">
        <w:rPr>
          <w:i/>
          <w:iCs/>
        </w:rPr>
        <w:t>p</w:t>
      </w:r>
      <w:r w:rsidRPr="00FD4F8A">
        <w:rPr>
          <w:i/>
          <w:iCs/>
        </w:rPr>
        <w:t xml:space="preserve">ro </w:t>
      </w:r>
      <w:r w:rsidRPr="00FD4F8A" w:rsidR="00FD4F8A">
        <w:rPr>
          <w:i/>
          <w:iCs/>
        </w:rPr>
        <w:t>f</w:t>
      </w:r>
      <w:r w:rsidRPr="00FD4F8A">
        <w:rPr>
          <w:i/>
          <w:iCs/>
        </w:rPr>
        <w:t>orma</w:t>
      </w:r>
      <w:r w:rsidRPr="009C17AE">
        <w:t xml:space="preserve"> </w:t>
      </w:r>
      <w:r w:rsidR="00FD4F8A">
        <w:t>OATT</w:t>
      </w:r>
      <w:r w:rsidRPr="009C17AE">
        <w:t xml:space="preserve">, and subsequent revisions to the </w:t>
      </w:r>
      <w:r w:rsidRPr="00FD4F8A" w:rsidR="00FD4F8A">
        <w:rPr>
          <w:i/>
          <w:iCs/>
        </w:rPr>
        <w:t>pro forma</w:t>
      </w:r>
      <w:r w:rsidR="00FD4F8A">
        <w:t xml:space="preserve"> </w:t>
      </w:r>
      <w:r w:rsidR="00D621BF">
        <w:t>LGIA</w:t>
      </w:r>
      <w:r w:rsidRPr="009C17AE">
        <w:t xml:space="preserve"> and </w:t>
      </w:r>
      <w:r w:rsidRPr="00FD4F8A" w:rsidR="00FD4F8A">
        <w:rPr>
          <w:i/>
          <w:iCs/>
        </w:rPr>
        <w:t>pro forma</w:t>
      </w:r>
      <w:r w:rsidR="00FD4F8A">
        <w:t xml:space="preserve"> SGIA</w:t>
      </w:r>
      <w:r w:rsidR="00EC129B">
        <w:t>,</w:t>
      </w:r>
      <w:r w:rsidRPr="009C17AE">
        <w:t xml:space="preserve"> and the effort related to submitting a one-time compliance filing. </w:t>
      </w:r>
    </w:p>
    <w:p w:rsidR="009C17AE" w:rsidRPr="009C17AE" w:rsidP="009C17AE" w14:paraId="25843AC4" w14:textId="37E3D7F5">
      <w:pPr>
        <w:pStyle w:val="FERCparanumber"/>
      </w:pPr>
      <w:r w:rsidRPr="009C17AE">
        <w:t>The Commission estimates burden</w:t>
      </w:r>
      <w:r>
        <w:rPr>
          <w:b/>
          <w:vertAlign w:val="superscript"/>
        </w:rPr>
        <w:footnoteReference w:id="636"/>
      </w:r>
      <w:r w:rsidRPr="009C17AE">
        <w:t xml:space="preserve"> and cost</w:t>
      </w:r>
      <w:r>
        <w:rPr>
          <w:b/>
          <w:vertAlign w:val="superscript"/>
        </w:rPr>
        <w:footnoteReference w:id="637"/>
      </w:r>
      <w:r w:rsidRPr="009C17AE">
        <w:t xml:space="preserve"> as follows:</w:t>
      </w:r>
    </w:p>
    <w:tbl>
      <w:tblPr>
        <w:tblStyle w:val="TableGrid1"/>
        <w:tblW w:w="0" w:type="auto"/>
        <w:tblLook w:val="04A0"/>
      </w:tblPr>
      <w:tblGrid>
        <w:gridCol w:w="1566"/>
        <w:gridCol w:w="1364"/>
        <w:gridCol w:w="1228"/>
        <w:gridCol w:w="1323"/>
        <w:gridCol w:w="1017"/>
        <w:gridCol w:w="1561"/>
        <w:gridCol w:w="1291"/>
      </w:tblGrid>
      <w:tr w14:paraId="7BDC68F3" w14:textId="77777777" w:rsidTr="001A3524">
        <w:tblPrEx>
          <w:tblW w:w="0" w:type="auto"/>
          <w:tblLook w:val="04A0"/>
        </w:tblPrEx>
        <w:trPr>
          <w:cantSplit/>
          <w:tblHeader/>
        </w:trPr>
        <w:tc>
          <w:tcPr>
            <w:tcW w:w="0" w:type="auto"/>
          </w:tcPr>
          <w:p w:rsidR="004209EE" w:rsidRPr="004209EE" w:rsidP="004209EE" w14:paraId="444529A1" w14:textId="77777777">
            <w:pPr>
              <w:widowControl/>
              <w:jc w:val="center"/>
              <w:rPr>
                <w:rFonts w:eastAsia="Times New Roman"/>
                <w:b/>
                <w:sz w:val="20"/>
                <w:szCs w:val="24"/>
              </w:rPr>
            </w:pPr>
            <w:r w:rsidRPr="004209EE">
              <w:rPr>
                <w:rFonts w:eastAsia="Times New Roman"/>
                <w:b/>
                <w:sz w:val="20"/>
                <w:szCs w:val="24"/>
              </w:rPr>
              <w:t>A.</w:t>
            </w:r>
          </w:p>
          <w:p w:rsidR="004209EE" w:rsidRPr="004209EE" w:rsidP="004209EE" w14:paraId="2C5AEB18" w14:textId="77777777">
            <w:pPr>
              <w:widowControl/>
              <w:jc w:val="center"/>
              <w:rPr>
                <w:rFonts w:eastAsia="Times New Roman"/>
                <w:b/>
                <w:sz w:val="20"/>
                <w:szCs w:val="24"/>
              </w:rPr>
            </w:pPr>
            <w:r w:rsidRPr="004209EE">
              <w:rPr>
                <w:rFonts w:eastAsia="Times New Roman"/>
                <w:b/>
                <w:sz w:val="20"/>
                <w:szCs w:val="24"/>
              </w:rPr>
              <w:t>Collection</w:t>
            </w:r>
          </w:p>
        </w:tc>
        <w:tc>
          <w:tcPr>
            <w:tcW w:w="0" w:type="auto"/>
          </w:tcPr>
          <w:p w:rsidR="004209EE" w:rsidRPr="004209EE" w:rsidP="004209EE" w14:paraId="36F9B6E2" w14:textId="77777777">
            <w:pPr>
              <w:widowControl/>
              <w:jc w:val="center"/>
              <w:rPr>
                <w:rFonts w:eastAsia="Times New Roman"/>
                <w:b/>
                <w:sz w:val="20"/>
                <w:szCs w:val="24"/>
              </w:rPr>
            </w:pPr>
            <w:r w:rsidRPr="004209EE">
              <w:rPr>
                <w:rFonts w:eastAsia="Times New Roman"/>
                <w:b/>
                <w:sz w:val="20"/>
                <w:szCs w:val="24"/>
              </w:rPr>
              <w:t>B.</w:t>
            </w:r>
          </w:p>
          <w:p w:rsidR="004209EE" w:rsidRPr="004209EE" w:rsidP="004209EE" w14:paraId="24E9DAAA" w14:textId="77777777">
            <w:pPr>
              <w:widowControl/>
              <w:jc w:val="center"/>
              <w:rPr>
                <w:rFonts w:eastAsia="Times New Roman"/>
                <w:b/>
                <w:sz w:val="20"/>
                <w:szCs w:val="24"/>
              </w:rPr>
            </w:pPr>
            <w:r w:rsidRPr="004209EE">
              <w:rPr>
                <w:rFonts w:eastAsia="Times New Roman"/>
                <w:b/>
                <w:sz w:val="20"/>
                <w:szCs w:val="24"/>
              </w:rPr>
              <w:t>Number of Respondents</w:t>
            </w:r>
          </w:p>
        </w:tc>
        <w:tc>
          <w:tcPr>
            <w:tcW w:w="1228" w:type="dxa"/>
          </w:tcPr>
          <w:p w:rsidR="004209EE" w:rsidRPr="004209EE" w:rsidP="004209EE" w14:paraId="3A766813" w14:textId="77777777">
            <w:pPr>
              <w:widowControl/>
              <w:jc w:val="center"/>
              <w:rPr>
                <w:rFonts w:eastAsia="Times New Roman"/>
                <w:b/>
                <w:sz w:val="20"/>
                <w:szCs w:val="24"/>
              </w:rPr>
            </w:pPr>
            <w:r w:rsidRPr="004209EE">
              <w:rPr>
                <w:rFonts w:eastAsia="Times New Roman"/>
                <w:b/>
                <w:sz w:val="20"/>
                <w:szCs w:val="24"/>
              </w:rPr>
              <w:t>C.</w:t>
            </w:r>
          </w:p>
          <w:p w:rsidR="004209EE" w:rsidRPr="004209EE" w:rsidP="004209EE" w14:paraId="6B838335" w14:textId="77777777">
            <w:pPr>
              <w:widowControl/>
              <w:jc w:val="center"/>
              <w:rPr>
                <w:rFonts w:eastAsia="Times New Roman"/>
                <w:b/>
                <w:sz w:val="20"/>
                <w:szCs w:val="24"/>
              </w:rPr>
            </w:pPr>
            <w:r w:rsidRPr="004209EE">
              <w:rPr>
                <w:rFonts w:eastAsia="Times New Roman"/>
                <w:b/>
                <w:sz w:val="20"/>
                <w:szCs w:val="24"/>
              </w:rPr>
              <w:t>Annual Number of Responses per Respondent</w:t>
            </w:r>
          </w:p>
        </w:tc>
        <w:tc>
          <w:tcPr>
            <w:tcW w:w="1323" w:type="dxa"/>
          </w:tcPr>
          <w:p w:rsidR="004209EE" w:rsidRPr="004209EE" w:rsidP="004209EE" w14:paraId="2F4D6E15" w14:textId="77777777">
            <w:pPr>
              <w:widowControl/>
              <w:jc w:val="center"/>
              <w:rPr>
                <w:rFonts w:eastAsia="Times New Roman"/>
                <w:b/>
                <w:sz w:val="20"/>
                <w:szCs w:val="24"/>
              </w:rPr>
            </w:pPr>
            <w:r w:rsidRPr="004209EE">
              <w:rPr>
                <w:rFonts w:eastAsia="Times New Roman"/>
                <w:b/>
                <w:sz w:val="20"/>
                <w:szCs w:val="24"/>
              </w:rPr>
              <w:t>D.</w:t>
            </w:r>
          </w:p>
          <w:p w:rsidR="004209EE" w:rsidRPr="004209EE" w:rsidP="004209EE" w14:paraId="4884EFC6" w14:textId="77777777">
            <w:pPr>
              <w:widowControl/>
              <w:jc w:val="center"/>
              <w:rPr>
                <w:rFonts w:eastAsia="Times New Roman"/>
                <w:b/>
                <w:sz w:val="20"/>
                <w:szCs w:val="24"/>
              </w:rPr>
            </w:pPr>
            <w:r w:rsidRPr="004209EE">
              <w:rPr>
                <w:rFonts w:eastAsia="Times New Roman"/>
                <w:b/>
                <w:sz w:val="20"/>
                <w:szCs w:val="24"/>
              </w:rPr>
              <w:t>Total Number of Responses</w:t>
            </w:r>
          </w:p>
          <w:p w:rsidR="004209EE" w:rsidRPr="004209EE" w:rsidP="004209EE" w14:paraId="2EEF5819" w14:textId="77777777">
            <w:pPr>
              <w:widowControl/>
              <w:jc w:val="center"/>
              <w:rPr>
                <w:rFonts w:eastAsia="Times New Roman"/>
                <w:b/>
                <w:sz w:val="20"/>
                <w:szCs w:val="24"/>
              </w:rPr>
            </w:pPr>
            <w:r w:rsidRPr="004209EE">
              <w:rPr>
                <w:rFonts w:eastAsia="Times New Roman"/>
                <w:b/>
                <w:sz w:val="20"/>
                <w:szCs w:val="24"/>
              </w:rPr>
              <w:t>(Column B x Column C)</w:t>
            </w:r>
          </w:p>
        </w:tc>
        <w:tc>
          <w:tcPr>
            <w:tcW w:w="1017" w:type="dxa"/>
          </w:tcPr>
          <w:p w:rsidR="004209EE" w:rsidRPr="004209EE" w:rsidP="004209EE" w14:paraId="2F137067" w14:textId="77777777">
            <w:pPr>
              <w:widowControl/>
              <w:jc w:val="center"/>
              <w:rPr>
                <w:rFonts w:eastAsia="Times New Roman"/>
                <w:b/>
                <w:sz w:val="20"/>
                <w:szCs w:val="24"/>
              </w:rPr>
            </w:pPr>
            <w:r w:rsidRPr="004209EE">
              <w:rPr>
                <w:rFonts w:eastAsia="Times New Roman"/>
                <w:b/>
                <w:sz w:val="20"/>
                <w:szCs w:val="24"/>
              </w:rPr>
              <w:t>E.</w:t>
            </w:r>
          </w:p>
          <w:p w:rsidR="004209EE" w:rsidRPr="004209EE" w:rsidP="004209EE" w14:paraId="17CBF789" w14:textId="77777777">
            <w:pPr>
              <w:widowControl/>
              <w:jc w:val="center"/>
              <w:rPr>
                <w:rFonts w:eastAsia="Times New Roman"/>
                <w:b/>
                <w:sz w:val="20"/>
                <w:szCs w:val="24"/>
              </w:rPr>
            </w:pPr>
            <w:r w:rsidRPr="004209EE">
              <w:rPr>
                <w:rFonts w:eastAsia="Times New Roman"/>
                <w:b/>
                <w:sz w:val="20"/>
                <w:szCs w:val="24"/>
              </w:rPr>
              <w:t>Average Burden Hrs. &amp;</w:t>
            </w:r>
          </w:p>
          <w:p w:rsidR="004209EE" w:rsidRPr="004209EE" w:rsidP="004209EE" w14:paraId="06E40DA0" w14:textId="77777777">
            <w:pPr>
              <w:widowControl/>
              <w:jc w:val="center"/>
              <w:rPr>
                <w:rFonts w:eastAsia="Times New Roman"/>
                <w:b/>
                <w:sz w:val="20"/>
                <w:szCs w:val="24"/>
              </w:rPr>
            </w:pPr>
            <w:r w:rsidRPr="004209EE">
              <w:rPr>
                <w:rFonts w:eastAsia="Times New Roman"/>
                <w:b/>
                <w:sz w:val="20"/>
                <w:szCs w:val="24"/>
              </w:rPr>
              <w:t>Cost per  Response</w:t>
            </w:r>
          </w:p>
        </w:tc>
        <w:tc>
          <w:tcPr>
            <w:tcW w:w="1561" w:type="dxa"/>
          </w:tcPr>
          <w:p w:rsidR="004209EE" w:rsidRPr="004209EE" w:rsidP="004209EE" w14:paraId="75EB7835" w14:textId="77777777">
            <w:pPr>
              <w:widowControl/>
              <w:jc w:val="center"/>
              <w:rPr>
                <w:rFonts w:eastAsia="Times New Roman"/>
                <w:b/>
                <w:sz w:val="20"/>
                <w:szCs w:val="24"/>
              </w:rPr>
            </w:pPr>
            <w:r w:rsidRPr="004209EE">
              <w:rPr>
                <w:rFonts w:eastAsia="Times New Roman"/>
                <w:b/>
                <w:sz w:val="20"/>
                <w:szCs w:val="24"/>
              </w:rPr>
              <w:t>F.</w:t>
            </w:r>
          </w:p>
          <w:p w:rsidR="004209EE" w:rsidRPr="004209EE" w:rsidP="004209EE" w14:paraId="656F7539" w14:textId="77777777">
            <w:pPr>
              <w:widowControl/>
              <w:jc w:val="center"/>
              <w:rPr>
                <w:rFonts w:eastAsia="Times New Roman"/>
                <w:b/>
                <w:sz w:val="20"/>
                <w:szCs w:val="24"/>
              </w:rPr>
            </w:pPr>
            <w:r w:rsidRPr="004209EE">
              <w:rPr>
                <w:rFonts w:eastAsia="Times New Roman"/>
                <w:b/>
                <w:sz w:val="20"/>
                <w:szCs w:val="24"/>
              </w:rPr>
              <w:t>Total Annual Hr. Burdens &amp; Total Annual Cost</w:t>
            </w:r>
          </w:p>
          <w:p w:rsidR="004209EE" w:rsidRPr="004209EE" w:rsidP="004209EE" w14:paraId="7FF1022A" w14:textId="77777777">
            <w:pPr>
              <w:widowControl/>
              <w:jc w:val="center"/>
              <w:rPr>
                <w:rFonts w:eastAsia="Times New Roman"/>
                <w:b/>
                <w:sz w:val="20"/>
                <w:szCs w:val="24"/>
              </w:rPr>
            </w:pPr>
            <w:r w:rsidRPr="004209EE">
              <w:rPr>
                <w:rFonts w:eastAsia="Times New Roman"/>
                <w:b/>
                <w:sz w:val="20"/>
                <w:szCs w:val="24"/>
              </w:rPr>
              <w:t>(Column D x Column E)</w:t>
            </w:r>
          </w:p>
        </w:tc>
        <w:tc>
          <w:tcPr>
            <w:tcW w:w="0" w:type="auto"/>
          </w:tcPr>
          <w:p w:rsidR="004209EE" w:rsidRPr="004209EE" w:rsidP="004209EE" w14:paraId="5BED0C21" w14:textId="77777777">
            <w:pPr>
              <w:widowControl/>
              <w:jc w:val="center"/>
              <w:rPr>
                <w:rFonts w:eastAsia="Times New Roman"/>
                <w:b/>
                <w:sz w:val="20"/>
                <w:szCs w:val="24"/>
              </w:rPr>
            </w:pPr>
            <w:r w:rsidRPr="004209EE">
              <w:rPr>
                <w:rFonts w:eastAsia="Times New Roman"/>
                <w:b/>
                <w:sz w:val="20"/>
                <w:szCs w:val="24"/>
              </w:rPr>
              <w:t>G.</w:t>
            </w:r>
          </w:p>
          <w:p w:rsidR="004209EE" w:rsidRPr="004209EE" w:rsidP="004209EE" w14:paraId="2FF72608" w14:textId="77777777">
            <w:pPr>
              <w:widowControl/>
              <w:jc w:val="center"/>
              <w:rPr>
                <w:rFonts w:eastAsia="Times New Roman"/>
                <w:b/>
                <w:sz w:val="20"/>
                <w:szCs w:val="24"/>
              </w:rPr>
            </w:pPr>
            <w:r w:rsidRPr="004209EE">
              <w:rPr>
                <w:rFonts w:eastAsia="Times New Roman"/>
                <w:b/>
                <w:sz w:val="20"/>
                <w:szCs w:val="24"/>
              </w:rPr>
              <w:t>Cost per  Respondent</w:t>
            </w:r>
          </w:p>
          <w:p w:rsidR="004209EE" w:rsidRPr="004209EE" w:rsidP="004209EE" w14:paraId="377AC4CB" w14:textId="77777777">
            <w:pPr>
              <w:widowControl/>
              <w:jc w:val="center"/>
              <w:rPr>
                <w:rFonts w:eastAsia="Times New Roman"/>
                <w:b/>
                <w:sz w:val="20"/>
                <w:szCs w:val="24"/>
              </w:rPr>
            </w:pPr>
            <w:r w:rsidRPr="004209EE">
              <w:rPr>
                <w:rFonts w:eastAsia="Times New Roman"/>
                <w:b/>
                <w:sz w:val="20"/>
                <w:szCs w:val="24"/>
              </w:rPr>
              <w:t>(Column F ÷ Column B)</w:t>
            </w:r>
          </w:p>
        </w:tc>
      </w:tr>
      <w:tr w14:paraId="5F8DEDEB" w14:textId="77777777" w:rsidTr="001A3524">
        <w:tblPrEx>
          <w:tblW w:w="0" w:type="auto"/>
          <w:tblLook w:val="04A0"/>
        </w:tblPrEx>
        <w:trPr>
          <w:cantSplit/>
        </w:trPr>
        <w:tc>
          <w:tcPr>
            <w:tcW w:w="9350" w:type="dxa"/>
            <w:gridSpan w:val="7"/>
            <w:shd w:val="clear" w:color="auto" w:fill="D9D9D9" w:themeFill="background1" w:themeFillShade="D9"/>
            <w:vAlign w:val="bottom"/>
          </w:tcPr>
          <w:p w:rsidR="004209EE" w:rsidRPr="004209EE" w:rsidP="004209EE" w14:paraId="51B31DE0" w14:textId="77777777">
            <w:pPr>
              <w:widowControl/>
              <w:jc w:val="center"/>
              <w:rPr>
                <w:rFonts w:eastAsia="Times New Roman"/>
                <w:sz w:val="20"/>
                <w:szCs w:val="24"/>
              </w:rPr>
            </w:pPr>
            <w:r w:rsidRPr="004209EE">
              <w:rPr>
                <w:rFonts w:eastAsia="Times New Roman"/>
                <w:sz w:val="20"/>
                <w:szCs w:val="24"/>
              </w:rPr>
              <w:t>FERC 516H</w:t>
            </w:r>
            <w:r w:rsidRPr="004209EE">
              <w:rPr>
                <w:rFonts w:eastAsia="Times New Roman"/>
                <w:sz w:val="14"/>
                <w:szCs w:val="18"/>
              </w:rPr>
              <w:t xml:space="preserve">: </w:t>
            </w:r>
            <w:r w:rsidRPr="004209EE">
              <w:rPr>
                <w:iCs/>
                <w:sz w:val="20"/>
                <w:szCs w:val="20"/>
              </w:rPr>
              <w:t>Pro Forma Open Access Transmission Tariff</w:t>
            </w:r>
          </w:p>
        </w:tc>
      </w:tr>
      <w:tr w14:paraId="5E035BFF" w14:textId="77777777" w:rsidTr="001A3524">
        <w:tblPrEx>
          <w:tblW w:w="0" w:type="auto"/>
          <w:tblLook w:val="04A0"/>
        </w:tblPrEx>
        <w:trPr>
          <w:cantSplit/>
        </w:trPr>
        <w:tc>
          <w:tcPr>
            <w:tcW w:w="0" w:type="auto"/>
            <w:vAlign w:val="bottom"/>
          </w:tcPr>
          <w:p w:rsidR="004209EE" w:rsidRPr="004209EE" w:rsidP="004209EE" w14:paraId="62ED3E84" w14:textId="49434A1D">
            <w:pPr>
              <w:widowControl/>
              <w:jc w:val="right"/>
              <w:rPr>
                <w:rFonts w:eastAsia="Times New Roman"/>
                <w:sz w:val="20"/>
                <w:szCs w:val="24"/>
              </w:rPr>
            </w:pPr>
            <w:r w:rsidRPr="004209EE">
              <w:rPr>
                <w:rFonts w:eastAsia="Times New Roman"/>
                <w:sz w:val="20"/>
                <w:szCs w:val="24"/>
              </w:rPr>
              <w:t>Transmission Providers (</w:t>
            </w:r>
            <w:r w:rsidR="00EB2833">
              <w:rPr>
                <w:rFonts w:eastAsia="Times New Roman"/>
                <w:sz w:val="20"/>
                <w:szCs w:val="24"/>
              </w:rPr>
              <w:t xml:space="preserve">Schedule 2 </w:t>
            </w:r>
            <w:r w:rsidRPr="004209EE">
              <w:rPr>
                <w:rFonts w:eastAsia="Times New Roman"/>
                <w:sz w:val="20"/>
                <w:szCs w:val="24"/>
              </w:rPr>
              <w:t>one-time compliance filing)</w:t>
            </w:r>
          </w:p>
        </w:tc>
        <w:tc>
          <w:tcPr>
            <w:tcW w:w="0" w:type="auto"/>
            <w:vAlign w:val="bottom"/>
          </w:tcPr>
          <w:p w:rsidR="004209EE" w:rsidRPr="004209EE" w:rsidP="004209EE" w14:paraId="4284283E" w14:textId="77777777">
            <w:pPr>
              <w:widowControl/>
              <w:jc w:val="right"/>
              <w:rPr>
                <w:rFonts w:eastAsia="Times New Roman"/>
                <w:sz w:val="20"/>
                <w:szCs w:val="24"/>
              </w:rPr>
            </w:pPr>
            <w:r w:rsidRPr="004209EE">
              <w:rPr>
                <w:rFonts w:eastAsia="Times New Roman"/>
                <w:sz w:val="20"/>
                <w:szCs w:val="24"/>
              </w:rPr>
              <w:t>40</w:t>
            </w:r>
          </w:p>
        </w:tc>
        <w:tc>
          <w:tcPr>
            <w:tcW w:w="1228" w:type="dxa"/>
            <w:vAlign w:val="bottom"/>
          </w:tcPr>
          <w:p w:rsidR="004209EE" w:rsidRPr="004209EE" w:rsidP="004209EE" w14:paraId="6308A7A4" w14:textId="77777777">
            <w:pPr>
              <w:widowControl/>
              <w:jc w:val="right"/>
              <w:rPr>
                <w:rFonts w:eastAsia="Times New Roman"/>
                <w:sz w:val="20"/>
                <w:szCs w:val="24"/>
              </w:rPr>
            </w:pPr>
            <w:r w:rsidRPr="004209EE">
              <w:rPr>
                <w:rFonts w:eastAsia="Times New Roman"/>
                <w:sz w:val="20"/>
                <w:szCs w:val="24"/>
              </w:rPr>
              <w:t>1</w:t>
            </w:r>
          </w:p>
        </w:tc>
        <w:tc>
          <w:tcPr>
            <w:tcW w:w="1323" w:type="dxa"/>
            <w:vAlign w:val="bottom"/>
          </w:tcPr>
          <w:p w:rsidR="004209EE" w:rsidRPr="004209EE" w:rsidP="004209EE" w14:paraId="5E14259A" w14:textId="77777777">
            <w:pPr>
              <w:widowControl/>
              <w:jc w:val="right"/>
              <w:rPr>
                <w:rFonts w:eastAsia="Times New Roman"/>
                <w:sz w:val="20"/>
                <w:szCs w:val="24"/>
              </w:rPr>
            </w:pPr>
            <w:r w:rsidRPr="004209EE">
              <w:rPr>
                <w:rFonts w:eastAsia="Times New Roman"/>
                <w:sz w:val="20"/>
                <w:szCs w:val="24"/>
              </w:rPr>
              <w:t>40</w:t>
            </w:r>
          </w:p>
        </w:tc>
        <w:tc>
          <w:tcPr>
            <w:tcW w:w="1017" w:type="dxa"/>
            <w:vAlign w:val="bottom"/>
          </w:tcPr>
          <w:p w:rsidR="004209EE" w:rsidRPr="004209EE" w:rsidP="004209EE" w14:paraId="45F37BC8" w14:textId="77777777">
            <w:pPr>
              <w:widowControl/>
              <w:jc w:val="right"/>
              <w:rPr>
                <w:rFonts w:eastAsia="Times New Roman"/>
                <w:sz w:val="20"/>
                <w:szCs w:val="24"/>
              </w:rPr>
            </w:pPr>
            <w:r w:rsidRPr="004209EE">
              <w:rPr>
                <w:rFonts w:eastAsia="Times New Roman"/>
                <w:sz w:val="20"/>
                <w:szCs w:val="24"/>
              </w:rPr>
              <w:t>4 hrs.; $400</w:t>
            </w:r>
          </w:p>
        </w:tc>
        <w:tc>
          <w:tcPr>
            <w:tcW w:w="1561" w:type="dxa"/>
            <w:vAlign w:val="bottom"/>
          </w:tcPr>
          <w:p w:rsidR="004209EE" w:rsidRPr="004209EE" w:rsidP="004209EE" w14:paraId="28E084A5" w14:textId="77777777">
            <w:pPr>
              <w:widowControl/>
              <w:jc w:val="right"/>
              <w:rPr>
                <w:rFonts w:eastAsia="Times New Roman"/>
                <w:sz w:val="20"/>
                <w:szCs w:val="24"/>
              </w:rPr>
            </w:pPr>
            <w:r w:rsidRPr="004209EE">
              <w:rPr>
                <w:rFonts w:eastAsia="Times New Roman"/>
                <w:sz w:val="20"/>
                <w:szCs w:val="24"/>
              </w:rPr>
              <w:t>160 hrs.; $16,000</w:t>
            </w:r>
          </w:p>
        </w:tc>
        <w:tc>
          <w:tcPr>
            <w:tcW w:w="0" w:type="auto"/>
            <w:vAlign w:val="bottom"/>
          </w:tcPr>
          <w:p w:rsidR="004209EE" w:rsidRPr="004209EE" w:rsidP="004209EE" w14:paraId="484D7160" w14:textId="77777777">
            <w:pPr>
              <w:widowControl/>
              <w:jc w:val="right"/>
              <w:rPr>
                <w:rFonts w:eastAsia="Times New Roman"/>
                <w:sz w:val="20"/>
                <w:szCs w:val="24"/>
              </w:rPr>
            </w:pPr>
            <w:r w:rsidRPr="004209EE">
              <w:rPr>
                <w:rFonts w:eastAsia="Times New Roman"/>
                <w:sz w:val="20"/>
                <w:szCs w:val="24"/>
              </w:rPr>
              <w:t>$400</w:t>
            </w:r>
          </w:p>
        </w:tc>
      </w:tr>
      <w:tr w14:paraId="417B75E1" w14:textId="77777777" w:rsidTr="001A3524">
        <w:tblPrEx>
          <w:tblW w:w="0" w:type="auto"/>
          <w:tblLook w:val="04A0"/>
        </w:tblPrEx>
        <w:trPr>
          <w:cantSplit/>
        </w:trPr>
        <w:tc>
          <w:tcPr>
            <w:tcW w:w="9350" w:type="dxa"/>
            <w:gridSpan w:val="7"/>
            <w:shd w:val="clear" w:color="auto" w:fill="D9D9D9" w:themeFill="background1" w:themeFillShade="D9"/>
            <w:vAlign w:val="bottom"/>
          </w:tcPr>
          <w:p w:rsidR="004209EE" w:rsidRPr="004209EE" w:rsidP="004209EE" w14:paraId="41ED2399" w14:textId="77777777">
            <w:pPr>
              <w:widowControl/>
              <w:jc w:val="center"/>
              <w:rPr>
                <w:rFonts w:eastAsia="Times New Roman"/>
                <w:sz w:val="20"/>
                <w:szCs w:val="24"/>
              </w:rPr>
            </w:pPr>
            <w:r w:rsidRPr="004209EE">
              <w:rPr>
                <w:rFonts w:eastAsia="Times New Roman"/>
                <w:sz w:val="20"/>
                <w:szCs w:val="24"/>
              </w:rPr>
              <w:t>FERC 516: Electric Tariff Filings</w:t>
            </w:r>
          </w:p>
        </w:tc>
      </w:tr>
      <w:tr w14:paraId="7D8E1164" w14:textId="77777777" w:rsidTr="001A3524">
        <w:tblPrEx>
          <w:tblW w:w="0" w:type="auto"/>
          <w:tblLook w:val="04A0"/>
        </w:tblPrEx>
        <w:trPr>
          <w:cantSplit/>
        </w:trPr>
        <w:tc>
          <w:tcPr>
            <w:tcW w:w="0" w:type="auto"/>
            <w:vAlign w:val="bottom"/>
          </w:tcPr>
          <w:p w:rsidR="004209EE" w:rsidRPr="004209EE" w:rsidP="004209EE" w14:paraId="386615A6" w14:textId="0D1A0A64">
            <w:pPr>
              <w:widowControl/>
              <w:jc w:val="right"/>
              <w:rPr>
                <w:rFonts w:eastAsia="Times New Roman"/>
                <w:sz w:val="20"/>
                <w:szCs w:val="24"/>
              </w:rPr>
            </w:pPr>
            <w:r w:rsidRPr="004209EE">
              <w:rPr>
                <w:rFonts w:eastAsia="Times New Roman"/>
                <w:sz w:val="20"/>
                <w:szCs w:val="24"/>
              </w:rPr>
              <w:t>Transmission Providers (</w:t>
            </w:r>
            <w:r w:rsidR="009F5AEB">
              <w:rPr>
                <w:rFonts w:eastAsia="Times New Roman"/>
                <w:sz w:val="20"/>
                <w:szCs w:val="24"/>
              </w:rPr>
              <w:t>pro</w:t>
            </w:r>
            <w:r w:rsidR="00072E9A">
              <w:rPr>
                <w:rFonts w:eastAsia="Times New Roman"/>
                <w:sz w:val="20"/>
                <w:szCs w:val="24"/>
              </w:rPr>
              <w:t xml:space="preserve"> </w:t>
            </w:r>
            <w:r w:rsidR="009F5AEB">
              <w:rPr>
                <w:rFonts w:eastAsia="Times New Roman"/>
                <w:sz w:val="20"/>
                <w:szCs w:val="24"/>
              </w:rPr>
              <w:t>forma</w:t>
            </w:r>
            <w:r w:rsidR="00072E9A">
              <w:rPr>
                <w:rFonts w:eastAsia="Times New Roman"/>
                <w:sz w:val="20"/>
                <w:szCs w:val="24"/>
              </w:rPr>
              <w:t xml:space="preserve"> </w:t>
            </w:r>
            <w:r w:rsidR="009F5AEB">
              <w:rPr>
                <w:rFonts w:eastAsia="Times New Roman"/>
                <w:sz w:val="20"/>
                <w:szCs w:val="24"/>
              </w:rPr>
              <w:t xml:space="preserve">LGIA  </w:t>
            </w:r>
            <w:r w:rsidRPr="004209EE">
              <w:rPr>
                <w:rFonts w:eastAsia="Times New Roman"/>
                <w:sz w:val="20"/>
                <w:szCs w:val="24"/>
              </w:rPr>
              <w:t>one-time compliance filing)</w:t>
            </w:r>
          </w:p>
        </w:tc>
        <w:tc>
          <w:tcPr>
            <w:tcW w:w="0" w:type="auto"/>
            <w:vAlign w:val="bottom"/>
          </w:tcPr>
          <w:p w:rsidR="004209EE" w:rsidRPr="004209EE" w:rsidP="004209EE" w14:paraId="3F596423" w14:textId="77777777">
            <w:pPr>
              <w:widowControl/>
              <w:jc w:val="right"/>
              <w:rPr>
                <w:rFonts w:eastAsia="Times New Roman"/>
                <w:sz w:val="20"/>
                <w:szCs w:val="24"/>
              </w:rPr>
            </w:pPr>
            <w:r w:rsidRPr="004209EE">
              <w:rPr>
                <w:rFonts w:eastAsia="Times New Roman"/>
                <w:sz w:val="20"/>
                <w:szCs w:val="24"/>
              </w:rPr>
              <w:t>43</w:t>
            </w:r>
          </w:p>
        </w:tc>
        <w:tc>
          <w:tcPr>
            <w:tcW w:w="1228" w:type="dxa"/>
            <w:vAlign w:val="bottom"/>
          </w:tcPr>
          <w:p w:rsidR="004209EE" w:rsidRPr="004209EE" w:rsidP="004209EE" w14:paraId="63635C98" w14:textId="77777777">
            <w:pPr>
              <w:widowControl/>
              <w:jc w:val="right"/>
              <w:rPr>
                <w:rFonts w:eastAsia="Times New Roman"/>
                <w:sz w:val="20"/>
                <w:szCs w:val="24"/>
              </w:rPr>
            </w:pPr>
            <w:r w:rsidRPr="004209EE">
              <w:rPr>
                <w:rFonts w:eastAsia="Times New Roman"/>
                <w:sz w:val="20"/>
                <w:szCs w:val="24"/>
              </w:rPr>
              <w:t>1</w:t>
            </w:r>
          </w:p>
        </w:tc>
        <w:tc>
          <w:tcPr>
            <w:tcW w:w="1323" w:type="dxa"/>
            <w:vAlign w:val="bottom"/>
          </w:tcPr>
          <w:p w:rsidR="004209EE" w:rsidRPr="004209EE" w:rsidP="004209EE" w14:paraId="75E410CD" w14:textId="77777777">
            <w:pPr>
              <w:widowControl/>
              <w:jc w:val="right"/>
              <w:rPr>
                <w:rFonts w:eastAsia="Times New Roman"/>
                <w:sz w:val="20"/>
                <w:szCs w:val="24"/>
              </w:rPr>
            </w:pPr>
            <w:r w:rsidRPr="004209EE">
              <w:rPr>
                <w:rFonts w:eastAsia="Times New Roman"/>
                <w:sz w:val="20"/>
                <w:szCs w:val="24"/>
              </w:rPr>
              <w:t>43</w:t>
            </w:r>
          </w:p>
        </w:tc>
        <w:tc>
          <w:tcPr>
            <w:tcW w:w="1017" w:type="dxa"/>
            <w:vAlign w:val="bottom"/>
          </w:tcPr>
          <w:p w:rsidR="004209EE" w:rsidRPr="004209EE" w:rsidP="004209EE" w14:paraId="496583A8" w14:textId="77777777">
            <w:pPr>
              <w:widowControl/>
              <w:jc w:val="right"/>
              <w:rPr>
                <w:rFonts w:eastAsia="Times New Roman"/>
                <w:sz w:val="20"/>
                <w:szCs w:val="24"/>
              </w:rPr>
            </w:pPr>
            <w:r w:rsidRPr="004209EE">
              <w:rPr>
                <w:rFonts w:eastAsia="Times New Roman"/>
                <w:sz w:val="20"/>
                <w:szCs w:val="24"/>
              </w:rPr>
              <w:t>4 hrs.; $400</w:t>
            </w:r>
          </w:p>
        </w:tc>
        <w:tc>
          <w:tcPr>
            <w:tcW w:w="1561" w:type="dxa"/>
            <w:vAlign w:val="bottom"/>
          </w:tcPr>
          <w:p w:rsidR="004209EE" w:rsidRPr="004209EE" w:rsidP="004209EE" w14:paraId="56788F2F" w14:textId="77777777">
            <w:pPr>
              <w:widowControl/>
              <w:jc w:val="right"/>
              <w:rPr>
                <w:rFonts w:eastAsia="Times New Roman"/>
                <w:sz w:val="20"/>
                <w:szCs w:val="24"/>
              </w:rPr>
            </w:pPr>
            <w:r w:rsidRPr="004209EE">
              <w:rPr>
                <w:rFonts w:eastAsia="Times New Roman"/>
                <w:sz w:val="20"/>
                <w:szCs w:val="24"/>
              </w:rPr>
              <w:t>172 hrs.; $17,200</w:t>
            </w:r>
          </w:p>
        </w:tc>
        <w:tc>
          <w:tcPr>
            <w:tcW w:w="0" w:type="auto"/>
            <w:vAlign w:val="bottom"/>
          </w:tcPr>
          <w:p w:rsidR="004209EE" w:rsidRPr="004209EE" w:rsidP="004209EE" w14:paraId="6A19DF07" w14:textId="77777777">
            <w:pPr>
              <w:widowControl/>
              <w:jc w:val="right"/>
              <w:rPr>
                <w:rFonts w:eastAsia="Times New Roman"/>
                <w:sz w:val="20"/>
                <w:szCs w:val="24"/>
              </w:rPr>
            </w:pPr>
            <w:r w:rsidRPr="004209EE">
              <w:rPr>
                <w:rFonts w:eastAsia="Times New Roman"/>
                <w:sz w:val="20"/>
                <w:szCs w:val="24"/>
              </w:rPr>
              <w:t>$400</w:t>
            </w:r>
          </w:p>
        </w:tc>
      </w:tr>
      <w:tr w14:paraId="408D066F" w14:textId="77777777" w:rsidTr="001A3524">
        <w:tblPrEx>
          <w:tblW w:w="0" w:type="auto"/>
          <w:tblLook w:val="04A0"/>
        </w:tblPrEx>
        <w:trPr>
          <w:cantSplit/>
        </w:trPr>
        <w:tc>
          <w:tcPr>
            <w:tcW w:w="9350" w:type="dxa"/>
            <w:gridSpan w:val="7"/>
            <w:shd w:val="clear" w:color="auto" w:fill="D9D9D9" w:themeFill="background1" w:themeFillShade="D9"/>
            <w:vAlign w:val="bottom"/>
          </w:tcPr>
          <w:p w:rsidR="004209EE" w:rsidRPr="004209EE" w:rsidP="004209EE" w14:paraId="4E3E2136" w14:textId="77777777">
            <w:pPr>
              <w:widowControl/>
              <w:jc w:val="right"/>
              <w:rPr>
                <w:rFonts w:eastAsia="Times New Roman"/>
                <w:sz w:val="20"/>
                <w:szCs w:val="24"/>
              </w:rPr>
            </w:pPr>
            <w:r w:rsidRPr="004209EE">
              <w:rPr>
                <w:rFonts w:eastAsia="Times New Roman"/>
                <w:sz w:val="20"/>
                <w:szCs w:val="24"/>
              </w:rPr>
              <w:t xml:space="preserve">FERC 516A: Standardization of Small Generator Interconnection Agreements and Procedures </w:t>
            </w:r>
          </w:p>
        </w:tc>
      </w:tr>
      <w:tr w14:paraId="3E11F64B" w14:textId="77777777" w:rsidTr="001A3524">
        <w:tblPrEx>
          <w:tblW w:w="0" w:type="auto"/>
          <w:tblLook w:val="04A0"/>
        </w:tblPrEx>
        <w:trPr>
          <w:cantSplit/>
        </w:trPr>
        <w:tc>
          <w:tcPr>
            <w:tcW w:w="0" w:type="auto"/>
            <w:vAlign w:val="bottom"/>
          </w:tcPr>
          <w:p w:rsidR="004209EE" w:rsidRPr="004209EE" w:rsidP="004209EE" w14:paraId="7D3CA6CA" w14:textId="7184FD7C">
            <w:pPr>
              <w:widowControl/>
              <w:jc w:val="right"/>
              <w:rPr>
                <w:rFonts w:eastAsia="Times New Roman"/>
                <w:sz w:val="20"/>
                <w:szCs w:val="24"/>
              </w:rPr>
            </w:pPr>
            <w:r w:rsidRPr="004209EE">
              <w:rPr>
                <w:rFonts w:eastAsia="Times New Roman"/>
                <w:sz w:val="20"/>
                <w:szCs w:val="24"/>
              </w:rPr>
              <w:t>Transmission Providers (</w:t>
            </w:r>
            <w:r w:rsidR="001B27E1">
              <w:rPr>
                <w:rFonts w:eastAsia="Times New Roman"/>
                <w:sz w:val="20"/>
                <w:szCs w:val="24"/>
              </w:rPr>
              <w:t xml:space="preserve">pro forma SGIA </w:t>
            </w:r>
            <w:r w:rsidRPr="004209EE">
              <w:rPr>
                <w:rFonts w:eastAsia="Times New Roman"/>
                <w:sz w:val="20"/>
                <w:szCs w:val="24"/>
              </w:rPr>
              <w:t>one-time compliance filing)</w:t>
            </w:r>
          </w:p>
        </w:tc>
        <w:tc>
          <w:tcPr>
            <w:tcW w:w="0" w:type="auto"/>
            <w:vAlign w:val="bottom"/>
          </w:tcPr>
          <w:p w:rsidR="004209EE" w:rsidRPr="004209EE" w:rsidP="004209EE" w14:paraId="1AD784C0" w14:textId="77777777">
            <w:pPr>
              <w:widowControl/>
              <w:jc w:val="right"/>
              <w:rPr>
                <w:rFonts w:eastAsia="Times New Roman"/>
                <w:sz w:val="20"/>
                <w:szCs w:val="24"/>
              </w:rPr>
            </w:pPr>
            <w:r w:rsidRPr="004209EE">
              <w:rPr>
                <w:rFonts w:eastAsia="Times New Roman"/>
                <w:sz w:val="20"/>
                <w:szCs w:val="24"/>
              </w:rPr>
              <w:t>43</w:t>
            </w:r>
          </w:p>
        </w:tc>
        <w:tc>
          <w:tcPr>
            <w:tcW w:w="1228" w:type="dxa"/>
            <w:vAlign w:val="bottom"/>
          </w:tcPr>
          <w:p w:rsidR="004209EE" w:rsidRPr="004209EE" w:rsidP="004209EE" w14:paraId="590C8CD8" w14:textId="77777777">
            <w:pPr>
              <w:widowControl/>
              <w:jc w:val="right"/>
              <w:rPr>
                <w:rFonts w:eastAsia="Times New Roman"/>
                <w:sz w:val="20"/>
                <w:szCs w:val="24"/>
              </w:rPr>
            </w:pPr>
            <w:r w:rsidRPr="004209EE">
              <w:rPr>
                <w:rFonts w:eastAsia="Times New Roman"/>
                <w:sz w:val="20"/>
                <w:szCs w:val="24"/>
              </w:rPr>
              <w:t>1</w:t>
            </w:r>
          </w:p>
        </w:tc>
        <w:tc>
          <w:tcPr>
            <w:tcW w:w="1323" w:type="dxa"/>
            <w:vAlign w:val="bottom"/>
          </w:tcPr>
          <w:p w:rsidR="004209EE" w:rsidRPr="004209EE" w:rsidP="004209EE" w14:paraId="5184252A" w14:textId="77777777">
            <w:pPr>
              <w:widowControl/>
              <w:jc w:val="right"/>
              <w:rPr>
                <w:rFonts w:eastAsia="Times New Roman"/>
                <w:sz w:val="20"/>
                <w:szCs w:val="24"/>
              </w:rPr>
            </w:pPr>
            <w:r w:rsidRPr="004209EE">
              <w:rPr>
                <w:rFonts w:eastAsia="Times New Roman"/>
                <w:sz w:val="20"/>
                <w:szCs w:val="24"/>
              </w:rPr>
              <w:t>43</w:t>
            </w:r>
          </w:p>
        </w:tc>
        <w:tc>
          <w:tcPr>
            <w:tcW w:w="1017" w:type="dxa"/>
            <w:vAlign w:val="bottom"/>
          </w:tcPr>
          <w:p w:rsidR="004209EE" w:rsidRPr="004209EE" w:rsidP="004209EE" w14:paraId="5592AF46" w14:textId="77777777">
            <w:pPr>
              <w:widowControl/>
              <w:jc w:val="right"/>
              <w:rPr>
                <w:rFonts w:eastAsia="Times New Roman"/>
                <w:sz w:val="20"/>
                <w:szCs w:val="24"/>
              </w:rPr>
            </w:pPr>
            <w:r w:rsidRPr="004209EE">
              <w:rPr>
                <w:rFonts w:eastAsia="Times New Roman"/>
                <w:sz w:val="20"/>
                <w:szCs w:val="24"/>
              </w:rPr>
              <w:t>4 hrs.; $400</w:t>
            </w:r>
          </w:p>
        </w:tc>
        <w:tc>
          <w:tcPr>
            <w:tcW w:w="1561" w:type="dxa"/>
            <w:vAlign w:val="bottom"/>
          </w:tcPr>
          <w:p w:rsidR="004209EE" w:rsidRPr="004209EE" w:rsidP="004209EE" w14:paraId="775AE34C" w14:textId="77777777">
            <w:pPr>
              <w:widowControl/>
              <w:jc w:val="right"/>
              <w:rPr>
                <w:rFonts w:eastAsia="Times New Roman"/>
                <w:sz w:val="20"/>
                <w:szCs w:val="24"/>
              </w:rPr>
            </w:pPr>
            <w:r w:rsidRPr="004209EE">
              <w:rPr>
                <w:rFonts w:eastAsia="Times New Roman"/>
                <w:sz w:val="20"/>
                <w:szCs w:val="24"/>
              </w:rPr>
              <w:t>172 hrs.; $17,200</w:t>
            </w:r>
          </w:p>
        </w:tc>
        <w:tc>
          <w:tcPr>
            <w:tcW w:w="0" w:type="auto"/>
            <w:vAlign w:val="bottom"/>
          </w:tcPr>
          <w:p w:rsidR="004209EE" w:rsidRPr="004209EE" w:rsidP="004209EE" w14:paraId="74CED6C3" w14:textId="77777777">
            <w:pPr>
              <w:widowControl/>
              <w:jc w:val="right"/>
              <w:rPr>
                <w:rFonts w:eastAsia="Times New Roman"/>
                <w:sz w:val="20"/>
                <w:szCs w:val="24"/>
              </w:rPr>
            </w:pPr>
            <w:r w:rsidRPr="004209EE">
              <w:rPr>
                <w:rFonts w:eastAsia="Times New Roman"/>
                <w:sz w:val="20"/>
                <w:szCs w:val="24"/>
              </w:rPr>
              <w:t>$400</w:t>
            </w:r>
          </w:p>
        </w:tc>
      </w:tr>
      <w:tr w14:paraId="2F0A1D4A" w14:textId="77777777" w:rsidTr="001A3524">
        <w:tblPrEx>
          <w:tblW w:w="0" w:type="auto"/>
          <w:tblLook w:val="04A0"/>
        </w:tblPrEx>
        <w:trPr>
          <w:cantSplit/>
        </w:trPr>
        <w:tc>
          <w:tcPr>
            <w:tcW w:w="0" w:type="auto"/>
            <w:vAlign w:val="bottom"/>
          </w:tcPr>
          <w:p w:rsidR="004209EE" w:rsidRPr="004209EE" w:rsidP="004209EE" w14:paraId="52227409" w14:textId="77777777">
            <w:pPr>
              <w:widowControl/>
              <w:jc w:val="right"/>
              <w:rPr>
                <w:rFonts w:eastAsia="Times New Roman"/>
                <w:sz w:val="20"/>
                <w:szCs w:val="24"/>
              </w:rPr>
            </w:pPr>
            <w:r w:rsidRPr="004209EE">
              <w:rPr>
                <w:rFonts w:eastAsia="Times New Roman"/>
                <w:sz w:val="20"/>
                <w:szCs w:val="24"/>
              </w:rPr>
              <w:t>Totals</w:t>
            </w:r>
          </w:p>
        </w:tc>
        <w:tc>
          <w:tcPr>
            <w:tcW w:w="0" w:type="auto"/>
            <w:vAlign w:val="bottom"/>
          </w:tcPr>
          <w:p w:rsidR="004209EE" w:rsidRPr="004209EE" w:rsidP="004209EE" w14:paraId="0ECA607A" w14:textId="77777777">
            <w:pPr>
              <w:widowControl/>
              <w:jc w:val="center"/>
              <w:rPr>
                <w:rFonts w:eastAsia="Times New Roman"/>
                <w:sz w:val="20"/>
                <w:szCs w:val="24"/>
              </w:rPr>
            </w:pPr>
          </w:p>
        </w:tc>
        <w:tc>
          <w:tcPr>
            <w:tcW w:w="1228" w:type="dxa"/>
            <w:vAlign w:val="bottom"/>
          </w:tcPr>
          <w:p w:rsidR="004209EE" w:rsidRPr="004209EE" w:rsidP="004209EE" w14:paraId="04E3EEAF" w14:textId="77777777">
            <w:pPr>
              <w:widowControl/>
              <w:jc w:val="right"/>
              <w:rPr>
                <w:rFonts w:eastAsia="Times New Roman"/>
                <w:sz w:val="20"/>
                <w:szCs w:val="24"/>
              </w:rPr>
            </w:pPr>
            <w:r w:rsidRPr="004209EE">
              <w:rPr>
                <w:rFonts w:eastAsia="Times New Roman"/>
                <w:sz w:val="20"/>
                <w:szCs w:val="24"/>
              </w:rPr>
              <w:t>―</w:t>
            </w:r>
          </w:p>
        </w:tc>
        <w:tc>
          <w:tcPr>
            <w:tcW w:w="1323" w:type="dxa"/>
            <w:vAlign w:val="bottom"/>
          </w:tcPr>
          <w:p w:rsidR="004209EE" w:rsidRPr="004209EE" w:rsidP="004209EE" w14:paraId="37485231" w14:textId="77777777">
            <w:pPr>
              <w:widowControl/>
              <w:jc w:val="right"/>
              <w:rPr>
                <w:rFonts w:eastAsia="Times New Roman"/>
                <w:sz w:val="20"/>
                <w:szCs w:val="24"/>
              </w:rPr>
            </w:pPr>
          </w:p>
        </w:tc>
        <w:tc>
          <w:tcPr>
            <w:tcW w:w="1017" w:type="dxa"/>
            <w:vAlign w:val="bottom"/>
          </w:tcPr>
          <w:p w:rsidR="004209EE" w:rsidRPr="004209EE" w:rsidP="004209EE" w14:paraId="6C85F87E" w14:textId="77777777">
            <w:pPr>
              <w:widowControl/>
              <w:jc w:val="right"/>
              <w:rPr>
                <w:rFonts w:eastAsia="Times New Roman"/>
                <w:sz w:val="20"/>
                <w:szCs w:val="24"/>
              </w:rPr>
            </w:pPr>
            <w:r w:rsidRPr="004209EE">
              <w:rPr>
                <w:rFonts w:eastAsia="Times New Roman"/>
                <w:sz w:val="20"/>
                <w:szCs w:val="24"/>
              </w:rPr>
              <w:t>―</w:t>
            </w:r>
          </w:p>
        </w:tc>
        <w:tc>
          <w:tcPr>
            <w:tcW w:w="1561" w:type="dxa"/>
            <w:vAlign w:val="bottom"/>
          </w:tcPr>
          <w:p w:rsidR="004209EE" w:rsidRPr="004209EE" w:rsidP="004209EE" w14:paraId="6A9AD9AE" w14:textId="77777777">
            <w:pPr>
              <w:widowControl/>
              <w:jc w:val="center"/>
              <w:rPr>
                <w:rFonts w:eastAsia="Times New Roman"/>
                <w:sz w:val="20"/>
                <w:szCs w:val="24"/>
              </w:rPr>
            </w:pPr>
            <w:r w:rsidRPr="004209EE">
              <w:rPr>
                <w:rFonts w:eastAsia="Times New Roman"/>
                <w:sz w:val="20"/>
                <w:szCs w:val="24"/>
              </w:rPr>
              <w:t>504 hrs.; $50,400</w:t>
            </w:r>
          </w:p>
        </w:tc>
        <w:tc>
          <w:tcPr>
            <w:tcW w:w="0" w:type="auto"/>
            <w:vAlign w:val="bottom"/>
          </w:tcPr>
          <w:p w:rsidR="004209EE" w:rsidRPr="004209EE" w:rsidP="004209EE" w14:paraId="519DD53B" w14:textId="77777777">
            <w:pPr>
              <w:widowControl/>
              <w:jc w:val="right"/>
              <w:rPr>
                <w:rFonts w:eastAsia="Times New Roman"/>
                <w:sz w:val="20"/>
                <w:szCs w:val="24"/>
              </w:rPr>
            </w:pPr>
            <w:r w:rsidRPr="004209EE">
              <w:rPr>
                <w:rFonts w:eastAsia="Times New Roman"/>
                <w:sz w:val="20"/>
                <w:szCs w:val="24"/>
              </w:rPr>
              <w:t>―</w:t>
            </w:r>
          </w:p>
        </w:tc>
      </w:tr>
    </w:tbl>
    <w:p w:rsidR="00B62590" w:rsidP="00B62590" w14:paraId="453408B5" w14:textId="77777777">
      <w:pPr>
        <w:pStyle w:val="FERCparanumber"/>
        <w:numPr>
          <w:ilvl w:val="0"/>
          <w:numId w:val="0"/>
        </w:numPr>
      </w:pPr>
    </w:p>
    <w:p w:rsidR="00B62590" w:rsidRPr="00C06B6B" w:rsidP="00831059" w14:paraId="7654FA04" w14:textId="77777777">
      <w:pPr>
        <w:pStyle w:val="Heading1"/>
        <w:rPr>
          <w:u w:val="single"/>
        </w:rPr>
      </w:pPr>
      <w:bookmarkStart w:id="105" w:name="_bmk33"/>
      <w:r w:rsidRPr="00C06B6B">
        <w:rPr>
          <w:u w:val="single"/>
        </w:rPr>
        <w:t>E</w:t>
      </w:r>
      <w:bookmarkEnd w:id="105"/>
      <w:r w:rsidRPr="00C06B6B">
        <w:rPr>
          <w:u w:val="single"/>
        </w:rPr>
        <w:t>nvironmental Analysis</w:t>
      </w:r>
    </w:p>
    <w:p w:rsidR="0042519C" w:rsidRPr="0042519C" w:rsidP="005A4DDC" w14:paraId="7C92A47D" w14:textId="3B0D52A1">
      <w:pPr>
        <w:pStyle w:val="FERCparanumber"/>
      </w:pPr>
      <w:r w:rsidRPr="00CD2C9F">
        <w:t>The Commission is required to prepare an Environmental Assessment or an Environmental Impact Statement for any action that may have a significant adverse effect on the human environment.</w:t>
      </w:r>
      <w:r>
        <w:rPr>
          <w:rStyle w:val="FootnoteReference"/>
        </w:rPr>
        <w:footnoteReference w:id="638"/>
      </w:r>
      <w:r w:rsidRPr="00CD2C9F">
        <w:t xml:space="preserve">  We conclude that neither an Environmental Assessment nor an Environmental Impact Statement is required for this </w:t>
      </w:r>
      <w:r w:rsidR="00126E54">
        <w:t>final rule</w:t>
      </w:r>
      <w:r w:rsidRPr="00CD2C9F">
        <w:t xml:space="preserve"> under § 380.4(a)(15) of the Commission’s regulations, which provides a categorical exemption for approval of actions under sections 205 and 206 of the FPA relating to the filing of schedules containing all rates and charges for the transmission or sale of electric energy subject to the Commission’s jurisdiction, plus the classification, practices, contracts, and regulations that affect rates, charges, classification, and services.</w:t>
      </w:r>
      <w:bookmarkStart w:id="106" w:name="_Ref177566688"/>
      <w:r>
        <w:rPr>
          <w:b/>
          <w:vertAlign w:val="superscript"/>
        </w:rPr>
        <w:footnoteReference w:id="639"/>
      </w:r>
      <w:bookmarkEnd w:id="106"/>
    </w:p>
    <w:p w:rsidR="002C4A10" w:rsidRPr="00C06B6B" w:rsidP="001E676C" w14:paraId="736CD0F8" w14:textId="62DFBCB6">
      <w:pPr>
        <w:pStyle w:val="Heading1"/>
        <w:rPr>
          <w:u w:val="single"/>
        </w:rPr>
      </w:pPr>
      <w:bookmarkStart w:id="107" w:name="_bmk34"/>
      <w:bookmarkStart w:id="108" w:name="_Toc175819977"/>
      <w:bookmarkStart w:id="109" w:name="_Toc175819994"/>
      <w:r w:rsidRPr="00C06B6B">
        <w:rPr>
          <w:u w:val="single"/>
        </w:rPr>
        <w:t>R</w:t>
      </w:r>
      <w:bookmarkEnd w:id="107"/>
      <w:r w:rsidRPr="00C06B6B">
        <w:rPr>
          <w:u w:val="single"/>
        </w:rPr>
        <w:t>egulatory Flexibility Act</w:t>
      </w:r>
      <w:bookmarkEnd w:id="108"/>
      <w:bookmarkEnd w:id="109"/>
    </w:p>
    <w:p w:rsidR="001175DD" w:rsidRPr="00CD2C9F" w:rsidP="001175DD" w14:paraId="0E33B674" w14:textId="77777777">
      <w:pPr>
        <w:pStyle w:val="FERCparanumber"/>
        <w:tabs>
          <w:tab w:val="clear" w:pos="720"/>
        </w:tabs>
      </w:pPr>
      <w:r w:rsidRPr="00CD2C9F">
        <w:t>The Regulatory Fle</w:t>
      </w:r>
      <w:r w:rsidRPr="00CD2C9F">
        <w:rPr>
          <w:rStyle w:val="FERCparanumberChar"/>
        </w:rPr>
        <w:t>x</w:t>
      </w:r>
      <w:r w:rsidRPr="00CD2C9F">
        <w:t>ibility Act of 1980 (RFA)</w:t>
      </w:r>
      <w:r>
        <w:rPr>
          <w:rStyle w:val="FootnoteReference"/>
        </w:rPr>
        <w:footnoteReference w:id="640"/>
      </w:r>
      <w:r w:rsidRPr="00CD2C9F">
        <w:rPr>
          <w:vertAlign w:val="superscript"/>
        </w:rPr>
        <w:t xml:space="preserve"> </w:t>
      </w:r>
      <w:r w:rsidRPr="00CD2C9F">
        <w:t xml:space="preserve">generally requires a description and analysis of proposed rules that will have significant economic impact on a substantial number of small entities. </w:t>
      </w:r>
      <w:r>
        <w:t xml:space="preserve"> </w:t>
      </w:r>
      <w:r w:rsidRPr="00CD2C9F">
        <w:t>The Small Business Administration (SBA) sets the threshold for what constitutes a small business.  Under SBA’s size standards,</w:t>
      </w:r>
      <w:r>
        <w:rPr>
          <w:b/>
          <w:vertAlign w:val="superscript"/>
        </w:rPr>
        <w:footnoteReference w:id="641"/>
      </w:r>
      <w:r w:rsidRPr="00CD2C9F">
        <w:rPr>
          <w:b/>
        </w:rPr>
        <w:t xml:space="preserve"> </w:t>
      </w:r>
      <w:r w:rsidRPr="00CD2C9F">
        <w:t xml:space="preserve">transmission providers under the category of Electric Bulk Power Transmission and Control (NAICS </w:t>
      </w:r>
      <w:r w:rsidRPr="00CD2C9F">
        <w:t>code 221121), have a size threshold of 950 employees (including the entity and its associates).</w:t>
      </w:r>
      <w:r>
        <w:rPr>
          <w:b/>
          <w:vertAlign w:val="superscript"/>
        </w:rPr>
        <w:footnoteReference w:id="642"/>
      </w:r>
      <w:r w:rsidRPr="00CD2C9F">
        <w:rPr>
          <w:b/>
        </w:rPr>
        <w:t xml:space="preserve"> </w:t>
      </w:r>
      <w:r w:rsidRPr="00CD2C9F">
        <w:t xml:space="preserve"> </w:t>
      </w:r>
    </w:p>
    <w:p w:rsidR="001175DD" w:rsidRPr="00CD2C9F" w:rsidP="001175DD" w14:paraId="70EB3BDB" w14:textId="0927BC17">
      <w:pPr>
        <w:pStyle w:val="FERCparanumber"/>
        <w:tabs>
          <w:tab w:val="clear" w:pos="720"/>
        </w:tabs>
      </w:pPr>
      <w:r w:rsidRPr="00CD2C9F">
        <w:t xml:space="preserve">We estimate that there are 43 transmission providers that are affected by the reforms proposed in this </w:t>
      </w:r>
      <w:r w:rsidR="00126E54">
        <w:t>final rule</w:t>
      </w:r>
      <w:r w:rsidRPr="00CD2C9F">
        <w:t>, based on the NERC Active Compliance Registry Matrix as of January 11, 2024.</w:t>
      </w:r>
      <w:r>
        <w:rPr>
          <w:rStyle w:val="FootnoteReference"/>
        </w:rPr>
        <w:footnoteReference w:id="643"/>
      </w:r>
      <w:r w:rsidRPr="00CD2C9F">
        <w:t xml:space="preserve">  The Commission used a combination of sources to determine the number of employees within each entity using open-source data and information </w:t>
      </w:r>
      <w:r w:rsidR="00013B33">
        <w:t>provided by</w:t>
      </w:r>
      <w:r w:rsidRPr="00CD2C9F">
        <w:t xml:space="preserve"> Dunn &amp; Bradstreet.</w:t>
      </w:r>
      <w:r>
        <w:t xml:space="preserve"> </w:t>
      </w:r>
      <w:r w:rsidRPr="00CD2C9F">
        <w:t xml:space="preserve"> We estimate that 6 of the 43 transmission providers, approximately 14% (rounded), are small entities.</w:t>
      </w:r>
    </w:p>
    <w:p w:rsidR="001175DD" w:rsidRPr="00CD2C9F" w:rsidP="001175DD" w14:paraId="0B6437D9" w14:textId="552CD8AF">
      <w:pPr>
        <w:pStyle w:val="FERCparanumber"/>
        <w:tabs>
          <w:tab w:val="clear" w:pos="720"/>
        </w:tabs>
      </w:pPr>
      <w:r w:rsidRPr="00CD2C9F">
        <w:t xml:space="preserve">We estimate that one-time costs (in Year 1) associated with the reforms proposed in this </w:t>
      </w:r>
      <w:r w:rsidR="00126E54">
        <w:t>final rule</w:t>
      </w:r>
      <w:r w:rsidRPr="00CD2C9F">
        <w:t xml:space="preserve"> for one transmission provider (as shown in the table above) would be $</w:t>
      </w:r>
      <w:r w:rsidR="00393875">
        <w:t>1,2</w:t>
      </w:r>
      <w:r w:rsidRPr="00CD2C9F" w:rsidR="00393875">
        <w:t>00</w:t>
      </w:r>
      <w:r w:rsidR="00393875">
        <w:t xml:space="preserve"> </w:t>
      </w:r>
      <w:r w:rsidR="00013B33">
        <w:t>to submit the compliance filing.</w:t>
      </w:r>
      <w:r w:rsidRPr="00CD2C9F">
        <w:t xml:space="preserve"> Following Year 1, the Commission estimates no ongoing costs associated with this </w:t>
      </w:r>
      <w:r w:rsidR="00126E54">
        <w:t>final rule</w:t>
      </w:r>
      <w:r w:rsidR="00013B33">
        <w:t xml:space="preserve">. </w:t>
      </w:r>
    </w:p>
    <w:p w:rsidR="001175DD" w:rsidRPr="00CD2C9F" w:rsidP="001175DD" w14:paraId="1EBF39E7" w14:textId="4F2D5DA9">
      <w:pPr>
        <w:pStyle w:val="FERCparanumber"/>
        <w:tabs>
          <w:tab w:val="clear" w:pos="720"/>
        </w:tabs>
      </w:pPr>
      <w:r w:rsidRPr="00CD2C9F">
        <w:t xml:space="preserve">According to SBA guidance, the determination of significance of impact “should be seen as relative to the size of the business, the size of the competitor’s business, and </w:t>
      </w:r>
      <w:r w:rsidRPr="00CD2C9F">
        <w:t>the impact the regulation has on larger competitors.”</w:t>
      </w:r>
      <w:r>
        <w:rPr>
          <w:b/>
          <w:vertAlign w:val="superscript"/>
        </w:rPr>
        <w:footnoteReference w:id="644"/>
      </w:r>
      <w:r w:rsidRPr="000C6AD6">
        <w:t xml:space="preserve"> </w:t>
      </w:r>
      <w:r w:rsidRPr="00BE2440">
        <w:rPr>
          <w:bCs/>
        </w:rPr>
        <w:t xml:space="preserve"> </w:t>
      </w:r>
      <w:r w:rsidRPr="00CD2C9F">
        <w:t>We do not consider the estimated cost of $</w:t>
      </w:r>
      <w:r w:rsidR="00393875">
        <w:t>1,2</w:t>
      </w:r>
      <w:r w:rsidR="00C3429F">
        <w:t>00</w:t>
      </w:r>
      <w:r w:rsidRPr="00CD2C9F">
        <w:t xml:space="preserve"> to be a significant economic impact for any of the entities that would be impacted by this </w:t>
      </w:r>
      <w:r w:rsidR="00126E54">
        <w:t>final rule</w:t>
      </w:r>
      <w:r w:rsidRPr="00CD2C9F">
        <w:t xml:space="preserve">.  As a result, we certify that the reforms proposed in this </w:t>
      </w:r>
      <w:r w:rsidR="005C0257">
        <w:t xml:space="preserve">     </w:t>
      </w:r>
      <w:r w:rsidR="00126E54">
        <w:t>final rule</w:t>
      </w:r>
      <w:r w:rsidR="00013B33">
        <w:t xml:space="preserve"> </w:t>
      </w:r>
      <w:r w:rsidRPr="00CD2C9F">
        <w:t>would not have a significant economic impact on a substantial number of small entities.</w:t>
      </w:r>
    </w:p>
    <w:p w:rsidR="002C4A10" w:rsidRPr="00C06B6B" w:rsidP="001E676C" w14:paraId="11176F31" w14:textId="36AE4F77">
      <w:pPr>
        <w:pStyle w:val="Heading1"/>
        <w:rPr>
          <w:u w:val="single"/>
        </w:rPr>
      </w:pPr>
      <w:bookmarkStart w:id="110" w:name="_bmk35"/>
      <w:bookmarkStart w:id="111" w:name="_Toc175819978"/>
      <w:bookmarkStart w:id="112" w:name="_Toc175819995"/>
      <w:r w:rsidRPr="00C06B6B">
        <w:rPr>
          <w:u w:val="single"/>
        </w:rPr>
        <w:t>D</w:t>
      </w:r>
      <w:bookmarkEnd w:id="110"/>
      <w:r w:rsidRPr="00C06B6B">
        <w:rPr>
          <w:u w:val="single"/>
        </w:rPr>
        <w:t>ocument Availability</w:t>
      </w:r>
      <w:bookmarkEnd w:id="111"/>
      <w:bookmarkEnd w:id="112"/>
    </w:p>
    <w:p w:rsidR="002C4A10" w:rsidP="002C4A10" w14:paraId="4B116817" w14:textId="2D0057F2">
      <w:pPr>
        <w:pStyle w:val="FERCparanumber"/>
      </w:pPr>
      <w:r w:rsidRPr="00B70256">
        <w:t>In addition to publishing the full text of this document in the Federal Register, the Commission provides all interested persons an opportunity to view and/or print the contents of this document via the Internet through the Commission</w:t>
      </w:r>
      <w:r w:rsidR="00D374EE">
        <w:t>’</w:t>
      </w:r>
      <w:r w:rsidRPr="00B70256">
        <w:t>s Home Page</w:t>
      </w:r>
      <w:r>
        <w:t xml:space="preserve"> </w:t>
      </w:r>
      <w:r w:rsidRPr="00B70256">
        <w:t>(</w:t>
      </w:r>
      <w:r w:rsidRPr="005C0257">
        <w:t>http://www.ferc.gov</w:t>
      </w:r>
      <w:r w:rsidRPr="00B70256">
        <w:t>).</w:t>
      </w:r>
    </w:p>
    <w:p w:rsidR="002C4A10" w:rsidRPr="00395600" w:rsidP="002C4A10" w14:paraId="75D32A85" w14:textId="4EA17464">
      <w:pPr>
        <w:pStyle w:val="FERCparanumber"/>
      </w:pPr>
      <w:r>
        <w:rPr>
          <w:color w:val="000000"/>
        </w:rPr>
        <w:t xml:space="preserve">From </w:t>
      </w:r>
      <w:r w:rsidRPr="00B70256">
        <w:rPr>
          <w:color w:val="000000"/>
        </w:rPr>
        <w:t>the Commission’s</w:t>
      </w:r>
      <w:r>
        <w:rPr>
          <w:color w:val="000000"/>
        </w:rPr>
        <w:t xml:space="preserve"> Home Page on the Internet, this information is available on eLibrary</w:t>
      </w:r>
      <w:r w:rsidR="00427E54">
        <w:rPr>
          <w:color w:val="000000"/>
        </w:rPr>
        <w:t xml:space="preserve">.  </w:t>
      </w:r>
      <w:r>
        <w:rPr>
          <w:color w:val="000000"/>
        </w:rPr>
        <w:t>The full text of this document is available on eLibrary in PDF and Microsoft Word format for viewing, printing, and/or downloading</w:t>
      </w:r>
      <w:r w:rsidR="00885267">
        <w:rPr>
          <w:color w:val="000000"/>
        </w:rPr>
        <w:t xml:space="preserve">.  </w:t>
      </w:r>
      <w:r>
        <w:rPr>
          <w:color w:val="000000"/>
        </w:rPr>
        <w:t>To access this document in eLibrary, type the docket number excluding the last three digits of this document in the docket number field.</w:t>
      </w:r>
    </w:p>
    <w:p w:rsidR="002C4A10" w:rsidP="002C4A10" w14:paraId="41132D4C" w14:textId="6DEE302C">
      <w:pPr>
        <w:pStyle w:val="FERCparanumber"/>
        <w:tabs>
          <w:tab w:val="num" w:pos="360"/>
        </w:tabs>
        <w:rPr>
          <w:sz w:val="22"/>
        </w:rPr>
      </w:pPr>
      <w:r>
        <w:t xml:space="preserve">User assistance is available for eLibrary and </w:t>
      </w:r>
      <w:r w:rsidRPr="00B70256">
        <w:t>the Commission’s</w:t>
      </w:r>
      <w:r>
        <w:t xml:space="preserve"> website during normal business hours from FERC Online Support at 202-502-6652 (toll free at 1-866-208-3676) or email at </w:t>
      </w:r>
      <w:r w:rsidRPr="005C0257">
        <w:t>ferconlinesupport@ferc.gov</w:t>
      </w:r>
      <w:r>
        <w:t xml:space="preserve">, or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t xml:space="preserve"> </w:t>
      </w:r>
      <w:r w:rsidR="005C0257">
        <w:t xml:space="preserve">          </w:t>
      </w:r>
      <w:r>
        <w:t xml:space="preserve">at (202) 502-8371, TTY (202)502-8659. E-mail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t xml:space="preserve"> </w:t>
      </w:r>
      <w:r w:rsidR="005C0257">
        <w:t xml:space="preserve">                   </w:t>
      </w:r>
      <w:r>
        <w:t xml:space="preserve">at </w:t>
      </w:r>
      <w:r w:rsidRPr="005C0257">
        <w:t>public.referenceroom@ferc.gov</w:t>
      </w:r>
      <w:r>
        <w:t>.</w:t>
      </w:r>
    </w:p>
    <w:p w:rsidR="002C4A10" w:rsidRPr="00C06B6B" w:rsidP="001E676C" w14:paraId="17BD958D" w14:textId="50854E63">
      <w:pPr>
        <w:pStyle w:val="Heading1"/>
        <w:rPr>
          <w:u w:val="single"/>
        </w:rPr>
      </w:pPr>
      <w:bookmarkStart w:id="113" w:name="_bmk36"/>
      <w:bookmarkStart w:id="114" w:name="_Toc175819979"/>
      <w:bookmarkStart w:id="115" w:name="_Toc175819996"/>
      <w:r w:rsidRPr="00C06B6B">
        <w:rPr>
          <w:u w:val="single"/>
        </w:rPr>
        <w:t>E</w:t>
      </w:r>
      <w:bookmarkEnd w:id="113"/>
      <w:r w:rsidRPr="00C06B6B">
        <w:rPr>
          <w:u w:val="single"/>
        </w:rPr>
        <w:t>ffective Date and Congressional Notification</w:t>
      </w:r>
      <w:bookmarkEnd w:id="114"/>
      <w:bookmarkEnd w:id="115"/>
    </w:p>
    <w:p w:rsidR="002911D6" w:rsidP="002C4A10" w14:paraId="2F09572C" w14:textId="77777777">
      <w:pPr>
        <w:pStyle w:val="FERCparanumber"/>
      </w:pPr>
      <w:r w:rsidRPr="00395600">
        <w:t xml:space="preserve">These regulations are effective </w:t>
      </w:r>
      <w:r w:rsidRPr="00A440F4" w:rsidR="007317BB">
        <w:rPr>
          <w:b/>
        </w:rPr>
        <w:t xml:space="preserve">[INSERT DATE </w:t>
      </w:r>
      <w:r w:rsidR="007317BB">
        <w:rPr>
          <w:b/>
        </w:rPr>
        <w:t xml:space="preserve">60 </w:t>
      </w:r>
      <w:r w:rsidRPr="00591753" w:rsidR="007317BB">
        <w:rPr>
          <w:b/>
          <w:bCs/>
        </w:rPr>
        <w:t>DAYS</w:t>
      </w:r>
      <w:r w:rsidR="007317BB">
        <w:rPr>
          <w:b/>
          <w:bCs/>
        </w:rPr>
        <w:t xml:space="preserve"> </w:t>
      </w:r>
      <w:r w:rsidRPr="00A440F4" w:rsidR="007317BB">
        <w:rPr>
          <w:b/>
        </w:rPr>
        <w:t>AFTER DATE OF PUBLICATION IN THE FEDERAL REGISTER]</w:t>
      </w:r>
      <w:r w:rsidRPr="00395600" w:rsidR="00885267">
        <w:t xml:space="preserve">.  </w:t>
      </w:r>
      <w:r w:rsidRPr="00395600">
        <w:t xml:space="preserve">The Commission has determined, with the concurrence of the Administrator of the Office of Information and Regulatory </w:t>
      </w:r>
    </w:p>
    <w:p w:rsidR="002C4A10" w:rsidRPr="00395600" w:rsidP="002911D6" w14:paraId="22BB8E98" w14:textId="7C34142A">
      <w:pPr>
        <w:pStyle w:val="FERCparanumber"/>
        <w:numPr>
          <w:ilvl w:val="0"/>
          <w:numId w:val="0"/>
        </w:numPr>
      </w:pPr>
      <w:r w:rsidRPr="00395600">
        <w:t xml:space="preserve">Affairs of OMB, that this rule </w:t>
      </w:r>
      <w:r w:rsidR="00285640">
        <w:t>is not</w:t>
      </w:r>
      <w:r w:rsidRPr="00395600" w:rsidR="00285640">
        <w:t xml:space="preserve"> </w:t>
      </w:r>
      <w:r w:rsidRPr="00395600">
        <w:t>a “major rule” as defined in section 351 of the Small Business Regulatory Enforcement Fairness Act of 1996.</w:t>
      </w:r>
    </w:p>
    <w:p w:rsidR="002C4A10" w14:paraId="105A27A0" w14:textId="7795710E">
      <w:r w:rsidRPr="00395600">
        <w:t>By the Commission.</w:t>
      </w:r>
      <w:r w:rsidR="005C0257">
        <w:t xml:space="preserve">  Commissioner Chang is not participating.</w:t>
      </w:r>
    </w:p>
    <w:p w:rsidR="002911D6" w14:paraId="339C8029" w14:textId="77777777"/>
    <w:p w:rsidR="002C4A10" w:rsidP="002911D6" w14:paraId="69D7A52C" w14:textId="33AC9BFE">
      <w:pPr>
        <w:widowControl/>
      </w:pPr>
      <w:r w:rsidRPr="002911D6">
        <w:t>( S E A L )</w:t>
      </w:r>
    </w:p>
    <w:p w:rsidR="002911D6" w:rsidP="002911D6" w14:paraId="48F7EF7D" w14:textId="77777777">
      <w:pPr>
        <w:widowControl/>
      </w:pPr>
    </w:p>
    <w:p w:rsidR="002911D6" w:rsidP="002911D6" w14:paraId="4E6BFE2B" w14:textId="77777777">
      <w:pPr>
        <w:widowControl/>
      </w:pPr>
    </w:p>
    <w:p w:rsidR="002911D6" w:rsidP="002911D6" w14:paraId="1FF1B241" w14:textId="77777777">
      <w:pPr>
        <w:widowControl/>
      </w:pPr>
    </w:p>
    <w:p w:rsidR="002911D6" w:rsidRPr="002911D6" w:rsidP="002911D6" w14:paraId="1C065DB1" w14:textId="2AFB370E">
      <w:pPr>
        <w:widowControl/>
        <w:ind w:firstLine="2606"/>
        <w:jc w:val="center"/>
      </w:pPr>
      <w:r w:rsidRPr="002911D6">
        <w:t>Debbie-Anne A. Reese,</w:t>
      </w:r>
    </w:p>
    <w:p w:rsidR="002911D6" w:rsidRPr="002911D6" w:rsidP="002911D6" w14:paraId="630C6C81" w14:textId="636CBC6B">
      <w:pPr>
        <w:widowControl/>
        <w:ind w:firstLine="2606"/>
        <w:jc w:val="center"/>
      </w:pPr>
      <w:r w:rsidRPr="002911D6">
        <w:t>Secretary.</w:t>
      </w:r>
    </w:p>
    <w:p w:rsidR="002911D6" w:rsidRPr="00395600" w:rsidP="002911D6" w14:paraId="43F50CDC" w14:textId="77777777">
      <w:pPr>
        <w:widowControl/>
      </w:pPr>
    </w:p>
    <w:p w:rsidR="002C4A10" w:rsidRPr="00395600" w14:paraId="10E87D34" w14:textId="77777777"/>
    <w:p w:rsidR="002C4A10" w14:paraId="4217DCCD" w14:textId="3A4BAF6C">
      <w:pPr>
        <w:spacing w:line="480" w:lineRule="auto"/>
      </w:pPr>
      <w:r w:rsidRPr="00395600">
        <w:tab/>
      </w:r>
    </w:p>
    <w:p w:rsidR="002C4A10" w:rsidRPr="005E13DF" w14:paraId="287E850F" w14:textId="77777777"/>
    <w:p w:rsidR="002C4A10" w:rsidRPr="005E13DF" w14:paraId="18C34919" w14:textId="77777777"/>
    <w:p w:rsidR="002C4A10" w:rsidRPr="003C789D" w14:paraId="16D803D9" w14:textId="77777777"/>
    <w:p w:rsidR="002C4A10" w:rsidRPr="00454A58" w:rsidP="00454A58" w14:paraId="78186569" w14:textId="77777777"/>
    <w:p w:rsidR="002C4A10" w:rsidRPr="00456136" w:rsidP="00456136" w14:paraId="5AF75538" w14:textId="77777777"/>
    <w:p w:rsidR="002C4A10" w:rsidRPr="00FF32A1" w:rsidP="00FF32A1" w14:paraId="5D8D2AB8" w14:textId="77777777"/>
    <w:p w:rsidR="002C4A10" w:rsidRPr="0003382F" w:rsidP="0003382F" w14:paraId="0BACCBD5" w14:textId="77777777"/>
    <w:p w:rsidR="00FF32A1" w:rsidP="002C4A10" w14:paraId="7F146EEF" w14:textId="77777777">
      <w:pPr>
        <w:pStyle w:val="FootnoteText"/>
        <w:ind w:firstLine="0"/>
        <w:jc w:val="right"/>
      </w:pPr>
    </w:p>
    <w:p w:rsidR="002D4724" w:rsidP="002C4A10" w14:paraId="063AD311" w14:textId="77777777">
      <w:pPr>
        <w:pStyle w:val="FootnoteText"/>
        <w:ind w:firstLine="0"/>
        <w:jc w:val="right"/>
      </w:pPr>
    </w:p>
    <w:p w:rsidR="002D4724" w:rsidP="002C4A10" w14:paraId="40A1D889" w14:textId="77777777">
      <w:pPr>
        <w:pStyle w:val="FootnoteText"/>
        <w:ind w:firstLine="0"/>
        <w:jc w:val="right"/>
      </w:pPr>
    </w:p>
    <w:p w:rsidR="002D4724" w:rsidP="005C0257" w14:paraId="501DB443" w14:textId="77777777">
      <w:pPr>
        <w:pStyle w:val="FootnoteText"/>
        <w:ind w:firstLine="0"/>
      </w:pPr>
    </w:p>
    <w:p w:rsidR="007E3F3E" w:rsidRPr="007213F4" w:rsidP="007213F4" w14:paraId="2E9D4994" w14:textId="5EA2B83D">
      <w:pPr>
        <w:pStyle w:val="FootnoteText"/>
        <w:ind w:firstLine="0"/>
        <w:rPr>
          <w:b/>
        </w:rPr>
      </w:pPr>
      <w:r w:rsidRPr="007E3F3E">
        <w:rPr>
          <w:b/>
        </w:rPr>
        <w:t xml:space="preserve">NOTE:  </w:t>
      </w:r>
      <w:r w:rsidRPr="007E3F3E">
        <w:t>The following appendices will not appear in the Code of Federal Regulations.</w:t>
      </w:r>
    </w:p>
    <w:p w:rsidR="002D4724" w:rsidP="00C06B6B" w14:paraId="3DE87710" w14:textId="35A83BCB">
      <w:pPr>
        <w:spacing w:after="260"/>
        <w:jc w:val="center"/>
      </w:pPr>
      <w:r>
        <w:t>Appendix A</w:t>
      </w:r>
      <w:r w:rsidR="001E280A">
        <w:t xml:space="preserve">:  </w:t>
      </w:r>
      <w:r w:rsidRPr="001E280A" w:rsidR="001E280A">
        <w:t>Abbreviated Names of Commenters</w:t>
      </w:r>
    </w:p>
    <w:tbl>
      <w:tblPr>
        <w:tblW w:w="10170" w:type="dxa"/>
        <w:tblInd w:w="-10" w:type="dxa"/>
        <w:tblLook w:val="04A0"/>
      </w:tblPr>
      <w:tblGrid>
        <w:gridCol w:w="4320"/>
        <w:gridCol w:w="5850"/>
      </w:tblGrid>
      <w:tr w14:paraId="37F0FB02" w14:textId="77777777" w:rsidTr="00745B8C">
        <w:tblPrEx>
          <w:tblW w:w="10170" w:type="dxa"/>
          <w:tblInd w:w="-10" w:type="dxa"/>
          <w:tblLook w:val="04A0"/>
        </w:tblPrEx>
        <w:trPr>
          <w:trHeight w:val="331"/>
        </w:trPr>
        <w:tc>
          <w:tcPr>
            <w:tcW w:w="4320" w:type="dxa"/>
            <w:tcBorders>
              <w:top w:val="nil"/>
              <w:left w:val="single" w:sz="8" w:space="0" w:color="auto"/>
              <w:bottom w:val="single" w:sz="4" w:space="0" w:color="auto"/>
              <w:right w:val="single" w:sz="8" w:space="0" w:color="auto"/>
            </w:tcBorders>
            <w:shd w:val="clear" w:color="auto" w:fill="auto"/>
            <w:vAlign w:val="center"/>
          </w:tcPr>
          <w:p w:rsidR="003C52B1" w:rsidRPr="00C06B6B" w14:paraId="28ED82D1" w14:textId="28CE9F86">
            <w:pPr>
              <w:rPr>
                <w:b/>
              </w:rPr>
            </w:pPr>
            <w:r w:rsidRPr="00C06B6B">
              <w:rPr>
                <w:b/>
                <w:bCs/>
              </w:rPr>
              <w:t>Abbreviation</w:t>
            </w:r>
          </w:p>
        </w:tc>
        <w:tc>
          <w:tcPr>
            <w:tcW w:w="5850" w:type="dxa"/>
            <w:tcBorders>
              <w:top w:val="nil"/>
              <w:left w:val="nil"/>
              <w:bottom w:val="single" w:sz="4" w:space="0" w:color="auto"/>
              <w:right w:val="single" w:sz="8" w:space="0" w:color="auto"/>
            </w:tcBorders>
            <w:shd w:val="clear" w:color="auto" w:fill="auto"/>
            <w:vAlign w:val="center"/>
          </w:tcPr>
          <w:p w:rsidR="003C52B1" w:rsidRPr="00C06B6B" w14:paraId="3AC052CF" w14:textId="1FF1D3F0">
            <w:pPr>
              <w:rPr>
                <w:b/>
              </w:rPr>
            </w:pPr>
            <w:r w:rsidRPr="00C06B6B">
              <w:rPr>
                <w:b/>
                <w:bCs/>
              </w:rPr>
              <w:t>Commenter(s)</w:t>
            </w:r>
          </w:p>
        </w:tc>
      </w:tr>
      <w:tr w14:paraId="76A6DBAF" w14:textId="77777777" w:rsidTr="00745B8C">
        <w:tblPrEx>
          <w:tblW w:w="10170" w:type="dxa"/>
          <w:tblInd w:w="-10" w:type="dxa"/>
          <w:tblLook w:val="04A0"/>
        </w:tblPrEx>
        <w:trPr>
          <w:trHeight w:val="331"/>
        </w:trPr>
        <w:tc>
          <w:tcPr>
            <w:tcW w:w="4320" w:type="dxa"/>
            <w:tcBorders>
              <w:top w:val="nil"/>
              <w:left w:val="single" w:sz="8" w:space="0" w:color="auto"/>
              <w:bottom w:val="single" w:sz="4" w:space="0" w:color="auto"/>
              <w:right w:val="single" w:sz="8" w:space="0" w:color="auto"/>
            </w:tcBorders>
            <w:shd w:val="clear" w:color="auto" w:fill="auto"/>
            <w:vAlign w:val="center"/>
          </w:tcPr>
          <w:p w:rsidR="00CB62A5" w14:paraId="37CC27E2" w14:textId="77777777">
            <w:r>
              <w:t>ACORE</w:t>
            </w:r>
          </w:p>
        </w:tc>
        <w:tc>
          <w:tcPr>
            <w:tcW w:w="5850" w:type="dxa"/>
            <w:tcBorders>
              <w:top w:val="nil"/>
              <w:left w:val="nil"/>
              <w:bottom w:val="single" w:sz="4" w:space="0" w:color="auto"/>
              <w:right w:val="single" w:sz="8" w:space="0" w:color="auto"/>
            </w:tcBorders>
            <w:shd w:val="clear" w:color="auto" w:fill="auto"/>
            <w:vAlign w:val="center"/>
          </w:tcPr>
          <w:p w:rsidR="00CB62A5" w:rsidRPr="00CB62A5" w14:paraId="2E22D874" w14:textId="77777777">
            <w:r w:rsidRPr="00CB62A5">
              <w:t>American Council on Renewable Energy</w:t>
            </w:r>
          </w:p>
        </w:tc>
      </w:tr>
      <w:tr w14:paraId="6B6A3EEC" w14:textId="77777777" w:rsidTr="00745B8C">
        <w:tblPrEx>
          <w:tblW w:w="10170" w:type="dxa"/>
          <w:tblInd w:w="-10" w:type="dxa"/>
          <w:tblLook w:val="04A0"/>
        </w:tblPrEx>
        <w:trPr>
          <w:trHeight w:val="331"/>
        </w:trPr>
        <w:tc>
          <w:tcPr>
            <w:tcW w:w="4320" w:type="dxa"/>
            <w:tcBorders>
              <w:top w:val="nil"/>
              <w:left w:val="single" w:sz="8" w:space="0" w:color="auto"/>
              <w:bottom w:val="single" w:sz="4" w:space="0" w:color="auto"/>
              <w:right w:val="single" w:sz="8" w:space="0" w:color="auto"/>
            </w:tcBorders>
            <w:shd w:val="clear" w:color="auto" w:fill="auto"/>
            <w:vAlign w:val="center"/>
            <w:hideMark/>
          </w:tcPr>
          <w:p w:rsidR="009B58F3" w:rsidRPr="001E7E9A" w14:paraId="1CFDB7B3" w14:textId="151A3D21">
            <w:r>
              <w:t>AEP</w:t>
            </w:r>
          </w:p>
        </w:tc>
        <w:tc>
          <w:tcPr>
            <w:tcW w:w="5850" w:type="dxa"/>
            <w:tcBorders>
              <w:top w:val="nil"/>
              <w:left w:val="nil"/>
              <w:bottom w:val="single" w:sz="4" w:space="0" w:color="auto"/>
              <w:right w:val="single" w:sz="8" w:space="0" w:color="auto"/>
            </w:tcBorders>
            <w:shd w:val="clear" w:color="auto" w:fill="auto"/>
            <w:vAlign w:val="center"/>
            <w:hideMark/>
          </w:tcPr>
          <w:p w:rsidR="009B58F3" w:rsidRPr="001E7E9A" w14:paraId="4C7D1F8D" w14:textId="4706AAA0">
            <w:r w:rsidRPr="003E47E5">
              <w:t>American Electric Power Service Corporation</w:t>
            </w:r>
          </w:p>
        </w:tc>
      </w:tr>
      <w:tr w14:paraId="48948AB9" w14:textId="77777777" w:rsidTr="007213F4">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8F3" w:rsidRPr="001E7E9A" w:rsidP="00A61FF0" w14:paraId="0EA1D651" w14:textId="7962820B">
            <w:r w:rsidRPr="004D2C8D">
              <w:t>Ameren</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8F3" w:rsidRPr="001E7E9A" w:rsidP="00A61FF0" w14:paraId="71A7AC93" w14:textId="1947A520">
            <w:r w:rsidRPr="004D2C8D">
              <w:t>Ameren Service Company</w:t>
            </w:r>
          </w:p>
        </w:tc>
      </w:tr>
      <w:tr w14:paraId="22380CF7" w14:textId="77777777" w:rsidTr="007213F4">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4D2C8D" w:rsidP="00A61FF0" w14:paraId="19ABBF52" w14:textId="03B67BFD">
            <w:r>
              <w:t>Calpine</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4D2C8D" w:rsidP="00A61FF0" w14:paraId="6CD77F35" w14:textId="12BA68A9">
            <w:r w:rsidRPr="00E2139A">
              <w:t>Calpine Corporation</w:t>
            </w:r>
          </w:p>
        </w:tc>
      </w:tr>
      <w:tr w14:paraId="3EB6DAA7" w14:textId="77777777" w:rsidTr="006750E9">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8C000A" w:rsidP="00A61FF0" w14:paraId="05999079" w14:textId="43740CA7">
            <w:r w:rsidRPr="008C000A">
              <w:t>Clean Energy Associations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8C000A" w:rsidRPr="00E2139A" w:rsidP="00A61FF0" w14:paraId="6F482B6D" w14:textId="3EF9D263">
            <w:r w:rsidRPr="00937A44">
              <w:t>Solar Energy Industries Association (SEIA) and American Clean Power Association</w:t>
            </w:r>
          </w:p>
        </w:tc>
      </w:tr>
      <w:tr w14:paraId="6328943F" w14:textId="77777777" w:rsidTr="006750E9">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937A44" w:rsidRPr="008C000A" w:rsidP="00A61FF0" w14:paraId="00FE4C26" w14:textId="5B8EB9D3">
            <w:r w:rsidRPr="007E4909">
              <w:t>C T Gaunt</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937A44" w:rsidP="00A61FF0" w14:paraId="36BBF166" w14:textId="135B039F">
            <w:r w:rsidRPr="00291853">
              <w:t>Dr</w:t>
            </w:r>
            <w:r>
              <w:t>.</w:t>
            </w:r>
            <w:r w:rsidRPr="00291853">
              <w:t xml:space="preserve"> Charles Trevor </w:t>
            </w:r>
            <w:r>
              <w:t>Gaunt</w:t>
            </w:r>
          </w:p>
        </w:tc>
      </w:tr>
      <w:tr w14:paraId="763D5C70"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F3DF2" w:rsidP="00A61FF0" w14:paraId="202B3DC6" w14:textId="35EC74DA">
            <w:r>
              <w:t>Eagle Creek</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7F3DF2" w:rsidRPr="00E2139A" w:rsidP="00A61FF0" w14:paraId="35ED936C" w14:textId="2908388A">
            <w:r w:rsidRPr="007F3DF2">
              <w:t>Eagle Creek Reactive Generators</w:t>
            </w:r>
          </w:p>
        </w:tc>
      </w:tr>
      <w:tr w14:paraId="35A1F282"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F3DF2" w:rsidP="00A61FF0" w14:paraId="2D8EE50B" w14:textId="6EBADD42">
            <w:r>
              <w:t>EDPR</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7F3DF2" w:rsidRPr="007F3DF2" w:rsidP="00A61FF0" w14:paraId="5DF5B15C" w14:textId="4CB16C7F">
            <w:r w:rsidRPr="008D1AAE">
              <w:t>EDP Renewables North America LLC</w:t>
            </w:r>
          </w:p>
        </w:tc>
      </w:tr>
      <w:tr w14:paraId="071F5DB1"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255221" w:rsidP="00A61FF0" w14:paraId="2009D405" w14:textId="0A0F8E62">
            <w:r>
              <w:t>Elevate</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255221" w:rsidRPr="008D1AAE" w:rsidP="00A61FF0" w14:paraId="341790EB" w14:textId="3616DA7C">
            <w:r w:rsidRPr="00255221">
              <w:t>Elevate Renewables F7, LLC</w:t>
            </w:r>
          </w:p>
        </w:tc>
      </w:tr>
      <w:tr w14:paraId="1B91190B"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271FD3" w:rsidP="00A61FF0" w14:paraId="20FB2F27" w14:textId="71E451C1">
            <w:r w:rsidRPr="00271FD3">
              <w:t>Generation Developers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271FD3" w:rsidRPr="00255221" w:rsidP="00A61FF0" w14:paraId="5F4CACE1" w14:textId="42087248">
            <w:r w:rsidRPr="00221746">
              <w:t>Vistra Corp. and Dynegy Marketing and Trade, LLC</w:t>
            </w:r>
          </w:p>
        </w:tc>
      </w:tr>
      <w:tr w14:paraId="2BB5E444"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54850" w:rsidRPr="00271FD3" w:rsidP="00A61FF0" w14:paraId="56578083" w14:textId="59E733CB">
            <w:r w:rsidRPr="00D54850">
              <w:t>Glenvale</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D54850" w:rsidRPr="00221746" w:rsidP="00A61FF0" w14:paraId="75E9F701" w14:textId="0AA00E0F">
            <w:r w:rsidRPr="00D54850">
              <w:t>Glenvale LLC</w:t>
            </w:r>
          </w:p>
        </w:tc>
      </w:tr>
      <w:tr w14:paraId="2EFCCFB3" w14:textId="77777777" w:rsidTr="006750E9">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C32D44" w:rsidRPr="00D54850" w:rsidP="00A61FF0" w14:paraId="7473D5C7" w14:textId="0226CEB9">
            <w:r w:rsidRPr="007176D6">
              <w:t>IPPNY</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C32D44" w:rsidRPr="00D54850" w:rsidP="00A61FF0" w14:paraId="1ADD1860" w14:textId="2F738E87">
            <w:r w:rsidRPr="004744E1">
              <w:t>Independent Power Producers of New York, Inc.</w:t>
            </w:r>
          </w:p>
        </w:tc>
      </w:tr>
      <w:tr w14:paraId="5E876CEA"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93AB8" w:rsidRPr="00D54850" w:rsidP="00A61FF0" w14:paraId="7B17E1EF" w14:textId="1288BE6D">
            <w:r w:rsidRPr="00D93AB8">
              <w:t>Indicated Reactive Power Suppliers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D93AB8" w:rsidRPr="00D54850" w:rsidP="00A61FF0" w14:paraId="5E437FB7" w14:textId="11176C2C">
            <w:r w:rsidRPr="00467DBF">
              <w:t>KMC Thermo, LLC, Bitter Ridge Wind Farm, LLC, Guernsey Power Station LLC, Moxie Freedom LLC, Safe Harbor Water Power Corporation, BIF III Holtwood LLC, Brookfield Power Piney &amp; Deep Creek LLC, Erie Boulevard Hydropower, L.P., Carr Street Generating Station, L.P., Bear Swamp Power Company LLC, Brookfield White Pine Hydro LLC, Brookfield Renewable Trading and Marketing LP, and Reworld Waste, LLC f/k/a Covanta</w:t>
            </w:r>
          </w:p>
        </w:tc>
      </w:tr>
      <w:tr w14:paraId="59069E87"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07593F" w:rsidRPr="00D93AB8" w:rsidP="00A61FF0" w14:paraId="6E6673AD" w14:textId="2D346D3F">
            <w:r w:rsidRPr="0007593F">
              <w:t>Indicated Trade Associations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07593F" w:rsidRPr="00467DBF" w:rsidP="00A61FF0" w14:paraId="6B7094BA" w14:textId="0B01A864">
            <w:r w:rsidRPr="007E2637">
              <w:t>Electric Power Supply Association, The PJM Power Providers Group the New England Power Generators Association, Inc., Independent Power Producers of New York, Inc., the Coalition of Midwest Power Producers</w:t>
            </w:r>
          </w:p>
        </w:tc>
      </w:tr>
      <w:tr w14:paraId="2FFEA7F8"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525E42" w:rsidRPr="0007593F" w:rsidP="00A61FF0" w14:paraId="6F0B5153" w14:textId="19274FED">
            <w:r>
              <w:t>ISO-NE</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525E42" w:rsidRPr="007E2637" w:rsidP="00A61FF0" w14:paraId="203BC4EE" w14:textId="4707DD77">
            <w:r w:rsidRPr="00525E42">
              <w:t>ISO New England Inc</w:t>
            </w:r>
            <w:r>
              <w:t>.</w:t>
            </w:r>
          </w:p>
        </w:tc>
      </w:tr>
      <w:tr w14:paraId="74B51D9B" w14:textId="77777777" w:rsidTr="007213F4">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4D2C8D" w:rsidP="00A61FF0" w14:paraId="3EFE9C23" w14:textId="6DC7534B">
            <w:r w:rsidRPr="00612E79">
              <w:t>Joint Consumer Advocates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4D2C8D" w:rsidP="00A61FF0" w14:paraId="48B8CD9F" w14:textId="67ACCB4B">
            <w:r w:rsidRPr="00ED4409">
              <w:t>Illinois Attorney General, Illinois Citizens Utility Board, Maryland Office of People’s Counsel, the New Jersey Division of Rate Counsel, the North Carolina Utilities Commission Public Staff, the Office of the People’s Counsel for the District of Columbia, and the West Virginia Consumer Advocate Division of the Public Service Commission</w:t>
            </w:r>
          </w:p>
        </w:tc>
      </w:tr>
      <w:tr w14:paraId="42AEBB4E"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092851" w:rsidRPr="00612E79" w:rsidP="00A61FF0" w14:paraId="547D2BE3" w14:textId="35D4AF8C">
            <w:r w:rsidRPr="00092851">
              <w:t>Joint Customers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092851" w:rsidRPr="00ED4409" w:rsidP="00A61FF0" w14:paraId="610973DC" w14:textId="0EE8094C">
            <w:r w:rsidRPr="00090846">
              <w:t xml:space="preserve">Old Dominion Electric Cooperative, Northern </w:t>
            </w:r>
            <w:r w:rsidRPr="00090846">
              <w:t>Virginia Electric Cooperative, Inc., and Dominion Energy Services, Inc. on behalf of Virginia Electric and Power Company d/b/a Dominion Energy Virginia</w:t>
            </w:r>
          </w:p>
        </w:tc>
      </w:tr>
      <w:tr w14:paraId="38C8366D"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117CE6" w:rsidRPr="00092851" w:rsidP="00A61FF0" w14:paraId="71779D94" w14:textId="04958274">
            <w:r w:rsidRPr="006D0212">
              <w:t>Liberty</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117CE6" w:rsidRPr="00090846" w:rsidP="00A61FF0" w14:paraId="14E538FE" w14:textId="245F77C3">
            <w:r w:rsidRPr="00117CE6">
              <w:t>Liberty Utilities</w:t>
            </w:r>
          </w:p>
        </w:tc>
      </w:tr>
      <w:tr w14:paraId="0814BD06"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4B42E0" w:rsidRPr="004B42E0" w:rsidP="00843163" w14:paraId="7CC29B55" w14:textId="1334C9B2">
            <w:pPr>
              <w:rPr>
                <w:highlight w:val="yellow"/>
              </w:rPr>
            </w:pPr>
            <w:r>
              <w:t>Middle River Power</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4B42E0" w:rsidRPr="00117CE6" w:rsidP="00A61FF0" w14:paraId="50CDF3F4" w14:textId="06F78D71">
            <w:r w:rsidRPr="004B42E0">
              <w:t>Middle River Power LLC</w:t>
            </w:r>
          </w:p>
        </w:tc>
      </w:tr>
      <w:tr w14:paraId="6AB88084"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3D3869" w:rsidRPr="003D3869" w:rsidP="00A61FF0" w14:paraId="6F3AA873" w14:textId="24942CDE">
            <w:pPr>
              <w:rPr>
                <w:highlight w:val="yellow"/>
              </w:rPr>
            </w:pPr>
            <w:r>
              <w:t>MISO</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3D3869" w:rsidRPr="00117CE6" w:rsidP="00A61FF0" w14:paraId="385D349F" w14:textId="3A1430CB">
            <w:r w:rsidRPr="003D3869">
              <w:t>Midcontinent Independent System Operator, Inc.</w:t>
            </w:r>
          </w:p>
        </w:tc>
      </w:tr>
      <w:tr w14:paraId="12ED44F8"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3D3869" w:rsidRPr="003D3869" w:rsidP="00A61FF0" w14:paraId="1B4E7358" w14:textId="5861FE9F">
            <w:r>
              <w:t>MISO Transmission Owners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3D3869" w:rsidRPr="003D3869" w:rsidP="00A61FF0" w14:paraId="2BABCA97" w14:textId="3D2D86C8">
            <w:r w:rsidRPr="00392346">
              <w:t>Ameren Services Company, as agent for Union Electric Company d/b/a Ameren Missouri, Ameren Illinois Company d/b/a Ameren Illinois, and Ameren Transmission Company of Illinois; Arkansas Electric Cooperative Corporation; City Water, Light &amp; Power; Cooperative Energy; Dairyland Power Cooperative; East Texas Electric Cooperative; Entergy Arkansas, LLC; Entergy Louisiana, LLC; Entergy Mississippi, LLC; Entergy Texas, Inc.; Great River Energy; Indianapolis Power &amp; Light Company; Lafayette Utilities System; MidAmerican Energy Company; Minnesota Power (and its subsidiary Superior Water, L&amp;P); Missouri River Energy Services; Montana-Dakota Utilities Co.; Northern States Power Company, a Minnesota corporation, and Northern States Power Company, a Wisconsin corporation, subsidiaries of Xcel Energy Inc.; Northwestern Wisconsin Electric Company; Otter Tail Power Company; Prairie Power, Inc.; Southern Indiana Gas &amp; Electric Company (d/b/a CenterPoint Energy Indiana South); and Southern Minnesota Municipal Power Agency</w:t>
            </w:r>
          </w:p>
        </w:tc>
      </w:tr>
      <w:tr w14:paraId="62109924" w14:textId="77777777" w:rsidTr="0061553B">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227AF3" w:rsidP="00A61FF0" w14:paraId="4259E56D" w14:textId="28A1F114">
            <w:r w:rsidRPr="00E02290">
              <w:t>NAGF</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227AF3" w:rsidRPr="00392346" w:rsidP="00A61FF0" w14:paraId="0DC352A7" w14:textId="7494E6CB">
            <w:r w:rsidRPr="00A22256">
              <w:t>North American Generator Forum</w:t>
            </w:r>
          </w:p>
        </w:tc>
      </w:tr>
      <w:tr w14:paraId="65919376" w14:textId="77777777" w:rsidTr="006750E9">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4E5DB4" w:rsidRPr="004E5DB4" w:rsidP="004E5DB4" w14:paraId="37825058" w14:textId="762030D0">
            <w:pPr>
              <w:rPr>
                <w:highlight w:val="yellow"/>
              </w:rPr>
            </w:pPr>
            <w:r w:rsidRPr="00C41DD1">
              <w:t>NE</w:t>
            </w:r>
            <w:r w:rsidRPr="00C41DD1" w:rsidR="007C79B6">
              <w:t>PG</w:t>
            </w:r>
            <w:r w:rsidRPr="00C41DD1">
              <w:t>A</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4E5DB4" w:rsidRPr="00A22256" w:rsidP="00A61FF0" w14:paraId="1D5120B4" w14:textId="4397ABD3">
            <w:r w:rsidRPr="00505B1D">
              <w:t>New England Power Generators Association, Inc.</w:t>
            </w:r>
          </w:p>
        </w:tc>
      </w:tr>
      <w:tr w14:paraId="6F86C257" w14:textId="77777777" w:rsidTr="006750E9">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A7E16" w:rsidRPr="00DA7E16" w:rsidP="004E5DB4" w14:paraId="0850BB8D" w14:textId="13D7E274">
            <w:pPr>
              <w:rPr>
                <w:highlight w:val="red"/>
              </w:rPr>
            </w:pPr>
            <w:r w:rsidRPr="00EC58C3">
              <w:t>NEPOOL</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DA7E16" w:rsidRPr="00A22256" w:rsidP="00A61FF0" w14:paraId="1C37B923" w14:textId="1B4481D1">
            <w:r w:rsidRPr="003F524E">
              <w:t>New England Power Pool</w:t>
            </w:r>
          </w:p>
        </w:tc>
      </w:tr>
      <w:tr w14:paraId="6F6104CC" w14:textId="77777777" w:rsidTr="006750E9">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A7E16" w:rsidP="004E5DB4" w14:paraId="19DFCF3B" w14:textId="58317F9C">
            <w:pPr>
              <w:rPr>
                <w:highlight w:val="red"/>
              </w:rPr>
            </w:pPr>
            <w:r w:rsidRPr="00C611A7">
              <w:t>NESCOE</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DA7E16" w:rsidP="00A61FF0" w14:paraId="3A1DC973" w14:textId="73854CE4">
            <w:r w:rsidRPr="00C611A7">
              <w:t>New England States Committee on Electricity</w:t>
            </w:r>
          </w:p>
        </w:tc>
      </w:tr>
      <w:tr w14:paraId="4638FAF9"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035936" w:rsidP="00A61FF0" w14:paraId="3B98E9EF" w14:textId="18B61715">
            <w:r w:rsidRPr="004B33CD">
              <w:t>New England Consumer Advocates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035936" w:rsidRPr="00392346" w:rsidP="00A61FF0" w14:paraId="74533A4E" w14:textId="259319F2">
            <w:r w:rsidRPr="00745B8C">
              <w:t>Office of Massachusetts Attorney General Andrea Joy Campbell, the Connecticut Office of Consumer Counsel, the Maine Office of Public Advocate, the New Hampshire Office of Consumer Advocate, and the Rhode Island Division of Public Utilities and Carriers</w:t>
            </w:r>
          </w:p>
        </w:tc>
      </w:tr>
      <w:tr w14:paraId="05B63BF3"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61553B" w:rsidP="00A61FF0" w14:paraId="6A98F27A" w14:textId="7215DBBB">
            <w:r>
              <w:t>NEI</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61553B" w:rsidP="00A61FF0" w14:paraId="089B32D3" w14:textId="75EBCC9F">
            <w:r w:rsidRPr="000A5704">
              <w:t>Nuclear Energy Institute</w:t>
            </w:r>
          </w:p>
        </w:tc>
      </w:tr>
      <w:tr w14:paraId="70B96962" w14:textId="77777777" w:rsidTr="0061553B">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126A42" w:rsidP="00A61FF0" w14:paraId="3BBA06FA" w14:textId="06C17B17">
            <w:r>
              <w:t>NYISO</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126A42" w:rsidRPr="000A5704" w:rsidP="00A61FF0" w14:paraId="6AAA68A1" w14:textId="607DD649">
            <w:r w:rsidRPr="00126A42">
              <w:t>New York Independent System Operator, Inc.</w:t>
            </w:r>
          </w:p>
        </w:tc>
      </w:tr>
      <w:tr w14:paraId="4350575B" w14:textId="77777777" w:rsidTr="00035936">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61553B" w:rsidRPr="004B33CD" w:rsidP="00A61FF0" w14:paraId="25B01A26" w14:textId="5BEF1A89">
            <w:r>
              <w:t>NHA</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61553B" w:rsidRPr="00745B8C" w:rsidP="00A61FF0" w14:paraId="6FE7D960" w14:textId="5ECF90B3">
            <w:r w:rsidRPr="001501AA">
              <w:t>National Hydropower Association</w:t>
            </w:r>
          </w:p>
        </w:tc>
      </w:tr>
      <w:tr w14:paraId="5BD58BCF" w14:textId="77777777" w:rsidTr="0061553B">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P="00A61FF0" w14:paraId="19588E6D" w14:textId="18434680">
            <w:r>
              <w:t>Ohio FEA</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P="00A61FF0" w14:paraId="755CB4E9" w14:textId="67F4657A">
            <w:r w:rsidRPr="004B30C0">
              <w:t>Ohio Office of the Federal Energy Advocate of the Public Utilities Commission of Ohio</w:t>
            </w:r>
          </w:p>
        </w:tc>
      </w:tr>
      <w:tr w14:paraId="13446C4B" w14:textId="77777777" w:rsidTr="006750E9">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P="00A61FF0" w14:paraId="44EDCAED" w14:textId="19B0F222">
            <w:r w:rsidRPr="00482FA1">
              <w:t>Onward</w:t>
            </w:r>
            <w:r w:rsidR="00F6643D">
              <w:t xml:space="preserve"> Energy</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RPr="004B30C0" w:rsidP="00A61FF0" w14:paraId="718EC926" w14:textId="31EBE94A">
            <w:r w:rsidRPr="00572186">
              <w:t>Onward Energy Holdings, LLC</w:t>
            </w:r>
          </w:p>
        </w:tc>
      </w:tr>
      <w:tr w14:paraId="1F3AD1C8" w14:textId="77777777" w:rsidTr="0061553B">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P="0061553B" w14:paraId="6A074343" w14:textId="2588A2B5">
            <w:r>
              <w:t>PGE</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RPr="000A5704" w:rsidP="0061553B" w14:paraId="33AC5F12" w14:textId="1841DC4A">
            <w:r w:rsidRPr="006D2E77">
              <w:t>Portland General Electric Company</w:t>
            </w:r>
          </w:p>
        </w:tc>
      </w:tr>
      <w:tr w14:paraId="4DF332D0"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RPr="004B33CD" w:rsidP="0061553B" w14:paraId="7B870C85" w14:textId="3B705479">
            <w:r>
              <w:t>PJM</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RPr="00745B8C" w:rsidP="0061553B" w14:paraId="06F851F1" w14:textId="50D6A9F5">
            <w:r w:rsidRPr="007F78B8">
              <w:t>PJM Interconnection, L.L.C.</w:t>
            </w:r>
          </w:p>
        </w:tc>
      </w:tr>
      <w:tr w14:paraId="2E6EB3DD"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P="0061553B" w14:paraId="75E6C451" w14:textId="630EE36E">
            <w:r>
              <w:t>PJM IMM</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P="0061553B" w14:paraId="31064B57" w14:textId="742DFE4F">
            <w:r w:rsidRPr="00084BA5">
              <w:t>Monitoring Analytics, LLC, acting in its capacity as the Independent Market Monitor for PJM</w:t>
            </w:r>
          </w:p>
        </w:tc>
      </w:tr>
      <w:tr w14:paraId="51F66493" w14:textId="77777777" w:rsidTr="006750E9">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1A6EB7" w:rsidP="0061553B" w14:paraId="02EEDEC6" w14:textId="2014C6A6">
            <w:r w:rsidRPr="001A6EB7">
              <w:t>PSEG</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1A6EB7" w:rsidRPr="00084BA5" w:rsidP="0061553B" w14:paraId="20E4F812" w14:textId="0E6FC70F">
            <w:r w:rsidRPr="002D4793">
              <w:t>Public Service Electric and Gas Company, PSEG Power LLC, and PSEG Energy Resources &amp; Trade LLC, and each wholly-owned, direct or indirect subsidiaries of Public Service Enterprise Group Incorporated</w:t>
            </w:r>
          </w:p>
        </w:tc>
      </w:tr>
      <w:tr w14:paraId="1BC25167" w14:textId="77777777" w:rsidTr="006750E9">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A2331F" w:rsidRPr="001A6EB7" w:rsidP="0061553B" w14:paraId="17AB0BF7" w14:textId="12097E36">
            <w:r w:rsidRPr="00A2331F">
              <w:t>Reactive Service Providers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A2331F" w:rsidRPr="002D4793" w:rsidP="0061553B" w14:paraId="17F6B310" w14:textId="6C7209CA">
            <w:r w:rsidRPr="0026486B">
              <w:t>CIP, D. E. Shaw Renewable Investments, L.L.C., Invenergy Renewables LLC, Leeward Renewable Energy, LLC, Lightsource Renewable Energy Operations, LLC, NextEra Energy Resources, LLC,1 Ørsted Wind Power North America, LLC, and RWE Clean Energy, LLC</w:t>
            </w:r>
          </w:p>
        </w:tc>
      </w:tr>
      <w:tr w14:paraId="6F426FDC" w14:textId="77777777" w:rsidTr="00745B8C">
        <w:tblPrEx>
          <w:tblW w:w="10170" w:type="dxa"/>
          <w:tblInd w:w="-10" w:type="dxa"/>
          <w:tblLook w:val="04A0"/>
        </w:tblPrEx>
        <w:trPr>
          <w:trHeight w:val="331"/>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P="0061553B" w14:paraId="1E9D842A" w14:textId="510BE221">
            <w:r>
              <w:t>TAPS</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6750E9" w:rsidP="0061553B" w14:paraId="1BE3F775" w14:textId="6771180A">
            <w:r w:rsidRPr="00EC299F">
              <w:t>Transmission Access Policy Study Group</w:t>
            </w:r>
          </w:p>
        </w:tc>
      </w:tr>
    </w:tbl>
    <w:p w:rsidR="002F3486" w:rsidRPr="002F3486" w:rsidP="006056E4" w14:paraId="51019BE6" w14:textId="3034DBF7">
      <w:pPr>
        <w:pStyle w:val="FERCparanumber"/>
        <w:numPr>
          <w:ilvl w:val="0"/>
          <w:numId w:val="0"/>
        </w:numPr>
      </w:pPr>
    </w:p>
    <w:sectPr w:rsidSect="00EB6F5C">
      <w:headerReference w:type="even" r:id="rId14"/>
      <w:headerReference w:type="default" r:id="rId15"/>
      <w:head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A6EC6" w:rsidP="0048020B" w14:paraId="5DB19144" w14:textId="77777777">
      <w:r>
        <w:separator/>
      </w:r>
    </w:p>
  </w:endnote>
  <w:endnote w:type="continuationSeparator" w:id="1">
    <w:p w:rsidR="003A6EC6" w:rsidP="0048020B" w14:paraId="39429554" w14:textId="77777777">
      <w:r>
        <w:continuationSeparator/>
      </w:r>
    </w:p>
  </w:endnote>
  <w:endnote w:type="continuationNotice" w:id="2">
    <w:p w:rsidR="003A6EC6" w14:paraId="7FCAAC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6EC6" w:rsidP="0048020B" w14:paraId="7A4FAA54" w14:textId="77777777">
      <w:r>
        <w:separator/>
      </w:r>
    </w:p>
  </w:footnote>
  <w:footnote w:type="continuationSeparator" w:id="1">
    <w:p w:rsidR="003A6EC6" w:rsidP="0048020B" w14:paraId="6E75E036" w14:textId="77777777">
      <w:r>
        <w:continuationSeparator/>
      </w:r>
    </w:p>
  </w:footnote>
  <w:footnote w:type="continuationNotice" w:id="2">
    <w:p w:rsidR="003A6EC6" w:rsidRPr="009B7526" w:rsidP="009B7526" w14:paraId="6F725B8E" w14:textId="77777777">
      <w:pPr>
        <w:spacing w:line="14" w:lineRule="exact"/>
        <w:rPr>
          <w:sz w:val="2"/>
        </w:rPr>
      </w:pPr>
    </w:p>
  </w:footnote>
  <w:footnote w:id="3">
    <w:p w:rsidR="000A4BAE" w14:paraId="1112AC33" w14:textId="63593563">
      <w:pPr>
        <w:pStyle w:val="FootnoteText"/>
      </w:pPr>
      <w:r>
        <w:rPr>
          <w:rStyle w:val="FootnoteReference"/>
        </w:rPr>
        <w:footnoteRef/>
      </w:r>
      <w:r>
        <w:t xml:space="preserve"> </w:t>
      </w:r>
      <w:r w:rsidRPr="00FB7D19" w:rsidR="00FB7D19">
        <w:t xml:space="preserve">Section 201(e) of the FPA, 16 U.S.C. 824(e), defines “public utility” to mean “any person who owns or operates facilities subject to the jurisdiction of the Commission under this subchapter.”  As stated in the Order No. 888 </w:t>
      </w:r>
      <w:r w:rsidRPr="00921E06" w:rsidR="00FB7D19">
        <w:rPr>
          <w:i/>
        </w:rPr>
        <w:t>pro forma</w:t>
      </w:r>
      <w:r w:rsidR="00291FF5">
        <w:t xml:space="preserve"> </w:t>
      </w:r>
      <w:r w:rsidRPr="00FB7D19" w:rsidR="00FB7D19">
        <w:t xml:space="preserve">OATT, “transmission provider” is a “public utility (or its Designated Agent) that owns, controls, or operates facilities used for the transmission of electric energy in interstate commerce and provides transmission service under the Tariff.”  </w:t>
      </w:r>
      <w:r w:rsidRPr="00921E06" w:rsidR="00FB7D19">
        <w:rPr>
          <w:i/>
        </w:rPr>
        <w:t>Promoting Wholesale Competition Through Open Access Non-Discriminatory Transmission Servs. by Pub. Utils.; Recovery of Stranded Costs by Pub. Utils. &amp; Transmitting Utils.</w:t>
      </w:r>
      <w:r w:rsidRPr="00FB7D19" w:rsidR="00FB7D19">
        <w:t xml:space="preserve">, Order No. 888, FERC Stats. &amp; Regs. ¶ 31,036 (1996) (cross-referenced at 75 FERC ¶ 61,080), </w:t>
      </w:r>
      <w:r w:rsidRPr="00921E06" w:rsidR="00FB7D19">
        <w:rPr>
          <w:i/>
        </w:rPr>
        <w:t>order on reh’g</w:t>
      </w:r>
      <w:r w:rsidRPr="00FB7D19" w:rsidR="00FB7D19">
        <w:t xml:space="preserve">, Order No. 888-A, FERC Stats. &amp; Regs. ¶ 31,048 (cross-referenced at 78 FERC ¶ 61,220), </w:t>
      </w:r>
      <w:r w:rsidRPr="00921E06" w:rsidR="00FB7D19">
        <w:rPr>
          <w:i/>
        </w:rPr>
        <w:t>order on reh’g</w:t>
      </w:r>
      <w:r w:rsidRPr="00FB7D19" w:rsidR="00FB7D19">
        <w:t>, Order No. 888-B, 81 FERC ¶</w:t>
      </w:r>
      <w:r w:rsidR="0086787E">
        <w:t> </w:t>
      </w:r>
      <w:r w:rsidRPr="00FB7D19" w:rsidR="00FB7D19">
        <w:t xml:space="preserve">61,248 (1997), </w:t>
      </w:r>
      <w:r w:rsidRPr="00921E06" w:rsidR="00FB7D19">
        <w:rPr>
          <w:i/>
        </w:rPr>
        <w:t>order on reh’g</w:t>
      </w:r>
      <w:r w:rsidRPr="00FB7D19" w:rsidR="00FB7D19">
        <w:t>, Order No. 888-C,</w:t>
      </w:r>
      <w:r w:rsidR="008A6ED6">
        <w:t xml:space="preserve"> </w:t>
      </w:r>
      <w:r w:rsidRPr="00FB7D19" w:rsidR="00FB7D19">
        <w:t>82 FERC ¶</w:t>
      </w:r>
      <w:r w:rsidR="008A6ED6">
        <w:t> </w:t>
      </w:r>
      <w:r w:rsidRPr="00FB7D19" w:rsidR="00FB7D19">
        <w:t xml:space="preserve">61,046 (1998), </w:t>
      </w:r>
      <w:r w:rsidRPr="00921E06" w:rsidR="00FB7D19">
        <w:rPr>
          <w:i/>
        </w:rPr>
        <w:t>aff’d in relevant part sub nom.</w:t>
      </w:r>
      <w:r w:rsidRPr="00FB7D19" w:rsidR="00FB7D19">
        <w:t xml:space="preserve"> </w:t>
      </w:r>
      <w:r w:rsidRPr="00921E06" w:rsidR="00FB7D19">
        <w:rPr>
          <w:i/>
        </w:rPr>
        <w:t>Transmission Access Pol’y Study Grp. v. FERC</w:t>
      </w:r>
      <w:r w:rsidRPr="00FB7D19" w:rsidR="00FB7D19">
        <w:t xml:space="preserve">, 225 F.3d 667 (D.C. Cir. 2000), </w:t>
      </w:r>
      <w:r w:rsidRPr="00921E06" w:rsidR="00FB7D19">
        <w:rPr>
          <w:i/>
        </w:rPr>
        <w:t>aff’d sub nom.</w:t>
      </w:r>
      <w:r w:rsidRPr="00FB7D19" w:rsidR="00FB7D19">
        <w:t xml:space="preserve"> </w:t>
      </w:r>
      <w:r w:rsidRPr="00921E06" w:rsidR="00FB7D19">
        <w:rPr>
          <w:i/>
        </w:rPr>
        <w:t>N.Y.</w:t>
      </w:r>
      <w:r w:rsidR="00AF149F">
        <w:rPr>
          <w:i/>
        </w:rPr>
        <w:t xml:space="preserve"> </w:t>
      </w:r>
      <w:r w:rsidRPr="00921E06" w:rsidR="00FB7D19">
        <w:rPr>
          <w:i/>
        </w:rPr>
        <w:t>v. FERC</w:t>
      </w:r>
      <w:r w:rsidRPr="00FB7D19" w:rsidR="00FB7D19">
        <w:t xml:space="preserve">, 535 U.S. 1 (2002); </w:t>
      </w:r>
      <w:r w:rsidRPr="00921E06" w:rsidR="00FB7D19">
        <w:rPr>
          <w:i/>
        </w:rPr>
        <w:t>Pro forma</w:t>
      </w:r>
      <w:r w:rsidR="00E5055C">
        <w:t xml:space="preserve"> </w:t>
      </w:r>
      <w:r w:rsidRPr="00FB7D19" w:rsidR="00FB7D19">
        <w:t>OATT section I.1 (Definitions).  The</w:t>
      </w:r>
      <w:r w:rsidR="004852EB">
        <w:t xml:space="preserve"> </w:t>
      </w:r>
      <w:r w:rsidRPr="004852EB" w:rsidR="004852EB">
        <w:t>term “transmission provider” includes a public utility transmission owner when the transmission owner is separate from the transmission provider, as is the case in regional transmission organizations (RTO) and independent system operators (ISO).</w:t>
      </w:r>
    </w:p>
  </w:footnote>
  <w:footnote w:id="4">
    <w:p w:rsidR="00253E60" w:rsidRPr="00CD2C9F" w:rsidP="00253E60" w14:paraId="64C438B3" w14:textId="161C7F6B">
      <w:pPr>
        <w:pStyle w:val="FootnoteText"/>
      </w:pPr>
      <w:r w:rsidRPr="00CD2C9F">
        <w:rPr>
          <w:rStyle w:val="FootnoteReference"/>
        </w:rPr>
        <w:footnoteRef/>
      </w:r>
      <w:r w:rsidRPr="00CD2C9F">
        <w:t xml:space="preserve"> Operating “inside the standard power factor range” refers to a generating facility providing reactive power within the power factor range set forth in the generating facility’s interconnection agreement when the unit is online and synchronized to the transmission system.</w:t>
      </w:r>
      <w:r>
        <w:t xml:space="preserve">  The standard power factor range is sometimes referred to as the “deadband</w:t>
      </w:r>
      <w:r w:rsidR="00C344AF">
        <w:t>.</w:t>
      </w:r>
      <w:r>
        <w:t>”</w:t>
      </w:r>
      <w:r w:rsidR="009D3A2E">
        <w:t xml:space="preserve">  </w:t>
      </w:r>
      <w:r w:rsidRPr="009901CA" w:rsidR="00256C65">
        <w:rPr>
          <w:i/>
          <w:iCs/>
        </w:rPr>
        <w:t>Compensation for Reactive Power Within the Standard Power Factor Range</w:t>
      </w:r>
      <w:r w:rsidR="00256C65">
        <w:t>,</w:t>
      </w:r>
      <w:r w:rsidRPr="00256C65" w:rsidR="00256C65">
        <w:t xml:space="preserve"> </w:t>
      </w:r>
      <w:r w:rsidR="00256C65">
        <w:t>Notice of Proposed Rulemaking</w:t>
      </w:r>
      <w:r w:rsidR="00B940BA">
        <w:t>,</w:t>
      </w:r>
      <w:r w:rsidR="00EC7B5D">
        <w:t xml:space="preserve"> </w:t>
      </w:r>
      <w:r w:rsidRPr="007553C8" w:rsidR="007553C8">
        <w:t xml:space="preserve">89 </w:t>
      </w:r>
      <w:r w:rsidRPr="00664193" w:rsidR="007553C8">
        <w:t>F</w:t>
      </w:r>
      <w:r w:rsidRPr="00664193" w:rsidR="00EB3C5C">
        <w:t>R</w:t>
      </w:r>
      <w:r w:rsidRPr="00664193" w:rsidR="007553C8">
        <w:t xml:space="preserve"> 21,454</w:t>
      </w:r>
      <w:r w:rsidR="007553C8">
        <w:t xml:space="preserve"> </w:t>
      </w:r>
      <w:r w:rsidR="00AB2A5D">
        <w:t xml:space="preserve">(Mar. 28, 2024) </w:t>
      </w:r>
      <w:r w:rsidR="00F242E1">
        <w:t>(cross-referenced</w:t>
      </w:r>
      <w:r w:rsidR="00EB3C5C">
        <w:t xml:space="preserve"> at</w:t>
      </w:r>
      <w:r w:rsidR="00F242E1">
        <w:t xml:space="preserve"> </w:t>
      </w:r>
      <w:r w:rsidRPr="00B940BA" w:rsidR="00B940BA">
        <w:t>186 FERC ¶ 61,203</w:t>
      </w:r>
      <w:r w:rsidR="00DC7C93">
        <w:t>,</w:t>
      </w:r>
      <w:r w:rsidR="00574FF3">
        <w:t xml:space="preserve"> at P 2 n.1</w:t>
      </w:r>
      <w:r w:rsidR="006159C5">
        <w:t>)</w:t>
      </w:r>
      <w:r w:rsidR="00EC4C68">
        <w:t xml:space="preserve"> </w:t>
      </w:r>
      <w:r w:rsidR="006F3777">
        <w:t>(NOPR)</w:t>
      </w:r>
      <w:r w:rsidR="00574FF3">
        <w:t>.</w:t>
      </w:r>
    </w:p>
  </w:footnote>
  <w:footnote w:id="5">
    <w:p w:rsidR="009E431E" w:rsidRPr="00CD2C9F" w:rsidP="009E431E" w14:paraId="3213F862" w14:textId="77777777">
      <w:pPr>
        <w:pStyle w:val="FootnoteText"/>
      </w:pPr>
      <w:r w:rsidRPr="00CD2C9F">
        <w:rPr>
          <w:rStyle w:val="FootnoteReference"/>
        </w:rPr>
        <w:footnoteRef/>
      </w:r>
      <w:r w:rsidRPr="00CD2C9F">
        <w:t xml:space="preserve"> MVAr is the typical unit of measurement for reactive power.</w:t>
      </w:r>
    </w:p>
  </w:footnote>
  <w:footnote w:id="6">
    <w:p w:rsidR="009E431E" w:rsidRPr="00CD2C9F" w:rsidP="009E431E" w14:paraId="432C9AEC" w14:textId="393C1BF3">
      <w:pPr>
        <w:pStyle w:val="FootnoteText"/>
      </w:pPr>
      <w:r w:rsidRPr="00CD2C9F">
        <w:rPr>
          <w:rStyle w:val="FootnoteReference"/>
        </w:rPr>
        <w:footnoteRef/>
      </w:r>
      <w:r w:rsidRPr="00CD2C9F">
        <w:t xml:space="preserve"> </w:t>
      </w:r>
      <w:r w:rsidRPr="00504C1D" w:rsidR="00A23A21">
        <w:t>A generating facility’s leading reactive power indicates its ability to absorb reactive power</w:t>
      </w:r>
      <w:r w:rsidR="009B1BD4">
        <w:t>,</w:t>
      </w:r>
      <w:r w:rsidRPr="00504C1D" w:rsidR="00A23A21">
        <w:t xml:space="preserve"> and its lagging reactive power indicates its ability to produce reactive power.</w:t>
      </w:r>
    </w:p>
  </w:footnote>
  <w:footnote w:id="7">
    <w:p w:rsidR="00445A87" w:rsidRPr="00CD2C9F" w:rsidP="00445A87" w14:paraId="5C2FFCE5" w14:textId="26D2471C">
      <w:pPr>
        <w:pStyle w:val="FootnoteText"/>
      </w:pPr>
      <w:r w:rsidRPr="00CD2C9F">
        <w:rPr>
          <w:rStyle w:val="FootnoteReference"/>
        </w:rPr>
        <w:footnoteRef/>
      </w:r>
      <w:r w:rsidRPr="00CD2C9F">
        <w:t xml:space="preserve"> </w:t>
      </w:r>
      <w:r w:rsidR="00353EC3">
        <w:t>Order No. 888</w:t>
      </w:r>
      <w:r w:rsidR="00B56182">
        <w:t xml:space="preserve">, </w:t>
      </w:r>
      <w:r w:rsidRPr="00CD2C9F">
        <w:t>FERC Stats. &amp; Regs. ¶ 31,036, at 31,705-07 &amp; n.359.</w:t>
      </w:r>
    </w:p>
  </w:footnote>
  <w:footnote w:id="8">
    <w:p w:rsidR="00AF43FF" w:rsidRPr="00CD2C9F" w:rsidP="00AF43FF" w14:paraId="50EDAD14" w14:textId="1D2C2D8D">
      <w:pPr>
        <w:pStyle w:val="FootnoteText"/>
      </w:pPr>
      <w:r w:rsidRPr="00CD2C9F">
        <w:rPr>
          <w:rStyle w:val="FootnoteReference"/>
        </w:rPr>
        <w:footnoteRef/>
      </w:r>
      <w:r w:rsidRPr="00CD2C9F">
        <w:t xml:space="preserve"> </w:t>
      </w:r>
      <w:r w:rsidRPr="00CD2C9F">
        <w:rPr>
          <w:i/>
        </w:rPr>
        <w:t>Id</w:t>
      </w:r>
      <w:r w:rsidRPr="00CD2C9F">
        <w:t>. at 31,720.</w:t>
      </w:r>
    </w:p>
  </w:footnote>
  <w:footnote w:id="9">
    <w:p w:rsidR="00115767" w:rsidRPr="00115767" w14:paraId="36C3A5D4" w14:textId="50C803B1">
      <w:pPr>
        <w:pStyle w:val="FootnoteText"/>
      </w:pPr>
      <w:r>
        <w:rPr>
          <w:rStyle w:val="FootnoteReference"/>
        </w:rPr>
        <w:footnoteRef/>
      </w:r>
      <w:r>
        <w:t xml:space="preserve"> </w:t>
      </w:r>
      <w:r>
        <w:rPr>
          <w:i/>
          <w:iCs/>
        </w:rPr>
        <w:t>Id.</w:t>
      </w:r>
      <w:r>
        <w:t xml:space="preserve"> at </w:t>
      </w:r>
      <w:r w:rsidR="00D841FD">
        <w:t>31,707</w:t>
      </w:r>
      <w:r w:rsidR="005C0C30">
        <w:t xml:space="preserve"> &amp;</w:t>
      </w:r>
      <w:r>
        <w:t xml:space="preserve"> n.359.</w:t>
      </w:r>
    </w:p>
  </w:footnote>
  <w:footnote w:id="10">
    <w:p w:rsidR="00BE6118" w:rsidRPr="00CD2C9F" w:rsidP="00BE6118" w14:paraId="730969C5" w14:textId="202E2E94">
      <w:pPr>
        <w:pStyle w:val="FootnoteText"/>
      </w:pPr>
      <w:r w:rsidRPr="00CD2C9F">
        <w:rPr>
          <w:rStyle w:val="FootnoteReference"/>
        </w:rPr>
        <w:footnoteRef/>
      </w:r>
      <w:r w:rsidRPr="00CD2C9F">
        <w:t xml:space="preserve"> </w:t>
      </w:r>
      <w:r w:rsidR="00F014FB">
        <w:rPr>
          <w:i/>
          <w:iCs/>
        </w:rPr>
        <w:t>Id.</w:t>
      </w:r>
      <w:r w:rsidRPr="00CD2C9F">
        <w:t xml:space="preserve"> at 31,705-07 &amp; n.359.</w:t>
      </w:r>
    </w:p>
  </w:footnote>
  <w:footnote w:id="11">
    <w:p w:rsidR="00DB070F" w:rsidRPr="00CD2C9F" w:rsidP="00DB070F" w14:paraId="0A3DD77A" w14:textId="672BBEE8">
      <w:pPr>
        <w:pStyle w:val="FootnoteText"/>
      </w:pPr>
      <w:r w:rsidRPr="00CD2C9F">
        <w:rPr>
          <w:rStyle w:val="FootnoteReference"/>
        </w:rPr>
        <w:footnoteRef/>
      </w:r>
      <w:r w:rsidRPr="00CD2C9F">
        <w:t xml:space="preserve"> </w:t>
      </w:r>
      <w:r w:rsidRPr="00CD2C9F">
        <w:rPr>
          <w:i/>
          <w:iCs/>
        </w:rPr>
        <w:t xml:space="preserve">Standardization of Generator Interconnection Agreements </w:t>
      </w:r>
      <w:r>
        <w:rPr>
          <w:i/>
          <w:iCs/>
        </w:rPr>
        <w:t>&amp;</w:t>
      </w:r>
      <w:r w:rsidRPr="00CD2C9F">
        <w:rPr>
          <w:i/>
          <w:iCs/>
        </w:rPr>
        <w:t xml:space="preserve"> Procs</w:t>
      </w:r>
      <w:r>
        <w:rPr>
          <w:i/>
          <w:iCs/>
        </w:rPr>
        <w:t>.</w:t>
      </w:r>
      <w:r w:rsidRPr="00CD2C9F">
        <w:t xml:space="preserve">, Order </w:t>
      </w:r>
      <w:r w:rsidR="007445BC">
        <w:t xml:space="preserve">    </w:t>
      </w:r>
      <w:r w:rsidRPr="00CD2C9F">
        <w:t>No. 2003</w:t>
      </w:r>
      <w:r>
        <w:t xml:space="preserve">, </w:t>
      </w:r>
      <w:r w:rsidR="007445BC">
        <w:t xml:space="preserve">68 FR 49846 (Aug. 19, 2003), </w:t>
      </w:r>
      <w:r w:rsidRPr="00CD2C9F">
        <w:t xml:space="preserve">104 FERC ¶ 61,103, at P 546 (2003), </w:t>
      </w:r>
      <w:r w:rsidRPr="00CD2C9F">
        <w:rPr>
          <w:i/>
          <w:iCs/>
        </w:rPr>
        <w:t>order on reh’g</w:t>
      </w:r>
      <w:r w:rsidRPr="00CD2C9F">
        <w:t>, Order No. 2003-A</w:t>
      </w:r>
      <w:r>
        <w:t xml:space="preserve">, </w:t>
      </w:r>
      <w:r w:rsidR="007445BC">
        <w:t xml:space="preserve">69 FR 15932 (Mar. 26, 2004), </w:t>
      </w:r>
      <w:r w:rsidRPr="00CD2C9F">
        <w:t>106</w:t>
      </w:r>
      <w:r w:rsidR="000D1A83">
        <w:t> </w:t>
      </w:r>
      <w:r w:rsidRPr="00CD2C9F">
        <w:t xml:space="preserve">FERC ¶ 61,220, </w:t>
      </w:r>
      <w:r w:rsidRPr="00CD2C9F">
        <w:rPr>
          <w:i/>
          <w:iCs/>
        </w:rPr>
        <w:t>order on reh’g</w:t>
      </w:r>
      <w:r w:rsidRPr="00CD2C9F">
        <w:t>, Order No. 2003-B</w:t>
      </w:r>
      <w:r>
        <w:t xml:space="preserve">, </w:t>
      </w:r>
      <w:r w:rsidR="007445BC">
        <w:t xml:space="preserve">70 FR 265 (Jan. 4, 2005), </w:t>
      </w:r>
      <w:r w:rsidRPr="00CD2C9F">
        <w:t xml:space="preserve">109 FERC ¶ 61,287 (2004), </w:t>
      </w:r>
      <w:r w:rsidRPr="00CD2C9F">
        <w:rPr>
          <w:i/>
          <w:iCs/>
        </w:rPr>
        <w:t>order on reh’g</w:t>
      </w:r>
      <w:r w:rsidRPr="00CD2C9F">
        <w:t>, Order No. 2003-C</w:t>
      </w:r>
      <w:r>
        <w:t xml:space="preserve">, </w:t>
      </w:r>
      <w:r w:rsidR="005B2959">
        <w:t xml:space="preserve">70 FR 37661 (June 30, 2005), </w:t>
      </w:r>
      <w:r w:rsidRPr="00CD2C9F">
        <w:t xml:space="preserve">111 FERC ¶ 61,401 (2005), </w:t>
      </w:r>
      <w:r w:rsidRPr="00CD2C9F">
        <w:rPr>
          <w:i/>
          <w:iCs/>
        </w:rPr>
        <w:t>aff’d sub nom. Nat’l Ass’n of Regul</w:t>
      </w:r>
      <w:r>
        <w:rPr>
          <w:i/>
          <w:iCs/>
        </w:rPr>
        <w:t>.</w:t>
      </w:r>
      <w:r w:rsidRPr="00CD2C9F">
        <w:rPr>
          <w:i/>
          <w:iCs/>
        </w:rPr>
        <w:t xml:space="preserve"> Util. Comm’rs v. FERC</w:t>
      </w:r>
      <w:r w:rsidRPr="00CD2C9F">
        <w:t>, 475 F.3d 1277 (D.C. Cir. 2007).</w:t>
      </w:r>
    </w:p>
  </w:footnote>
  <w:footnote w:id="12">
    <w:p w:rsidR="009658F0" w14:paraId="3FEC01D9" w14:textId="2EEA544A">
      <w:pPr>
        <w:pStyle w:val="FootnoteText"/>
      </w:pPr>
      <w:r>
        <w:rPr>
          <w:rStyle w:val="FootnoteReference"/>
        </w:rPr>
        <w:footnoteRef/>
      </w:r>
      <w:r>
        <w:t xml:space="preserve"> </w:t>
      </w:r>
      <w:r w:rsidRPr="009658F0">
        <w:t>The power factor is the ratio of a generating facility’s real power to its apparent power</w:t>
      </w:r>
      <w:r>
        <w:t xml:space="preserve">, where </w:t>
      </w:r>
      <w:r w:rsidR="00C40202">
        <w:t>a</w:t>
      </w:r>
      <w:r w:rsidRPr="00CD2C9F">
        <w:t>pparent power is the total power output of the system (both real and reactive power)</w:t>
      </w:r>
      <w:r>
        <w:t>.</w:t>
      </w:r>
      <w:r w:rsidR="001C5DD6">
        <w:t xml:space="preserve">  </w:t>
      </w:r>
      <w:r w:rsidRPr="001C5DD6" w:rsidR="001C5DD6">
        <w:t xml:space="preserve">Power factors can range from 1.0 to 0.0, with 1.0 representing only real power and 0.0 representing only reactive power.  </w:t>
      </w:r>
    </w:p>
  </w:footnote>
  <w:footnote w:id="13">
    <w:p w:rsidR="005B3817" w:rsidRPr="00CD2C9F" w:rsidP="005B3817" w14:paraId="0F346BC5" w14:textId="33F1EA41">
      <w:pPr>
        <w:pStyle w:val="FootnoteText"/>
      </w:pPr>
      <w:r w:rsidRPr="00CD2C9F">
        <w:rPr>
          <w:rStyle w:val="FootnoteReference"/>
        </w:rPr>
        <w:footnoteRef/>
      </w:r>
      <w:r w:rsidRPr="00CD2C9F">
        <w:t xml:space="preserve"> Order No. 2003, 104 FERC ¶ 61,103 at P 546.</w:t>
      </w:r>
    </w:p>
  </w:footnote>
  <w:footnote w:id="14">
    <w:p w:rsidR="005B3817" w:rsidRPr="00CD2C9F" w:rsidP="005B3817" w14:paraId="69171EC9" w14:textId="2179BF30">
      <w:pPr>
        <w:pStyle w:val="FootnoteText"/>
      </w:pPr>
      <w:r w:rsidRPr="00CD2C9F">
        <w:rPr>
          <w:rStyle w:val="FootnoteReference"/>
        </w:rPr>
        <w:footnoteRef/>
      </w:r>
      <w:r w:rsidRPr="00CD2C9F">
        <w:t xml:space="preserve"> Order No. 2003-A, 106 FERC ¶ 61,220 at P 416.</w:t>
      </w:r>
      <w:r w:rsidR="007B0C35">
        <w:t xml:space="preserve">  </w:t>
      </w:r>
      <w:r w:rsidRPr="007B0C35" w:rsidR="007B0C35">
        <w:t>Order No. 2003-A also exempted wind generating facilities from maintaining the established power factor range</w:t>
      </w:r>
      <w:r w:rsidR="007B0C35">
        <w:t xml:space="preserve">.  </w:t>
      </w:r>
      <w:r w:rsidRPr="009C7F80" w:rsidR="007B0C35">
        <w:rPr>
          <w:i/>
        </w:rPr>
        <w:t>Id</w:t>
      </w:r>
      <w:r w:rsidR="007B0C35">
        <w:t>. P</w:t>
      </w:r>
      <w:r w:rsidR="00D374EE">
        <w:t> </w:t>
      </w:r>
      <w:r w:rsidR="00A76B63">
        <w:t>34</w:t>
      </w:r>
      <w:r w:rsidR="007B0C35">
        <w:t>.</w:t>
      </w:r>
      <w:r w:rsidR="00AB0FF9">
        <w:t xml:space="preserve">  </w:t>
      </w:r>
    </w:p>
  </w:footnote>
  <w:footnote w:id="15">
    <w:p w:rsidR="00F17CCC" w:rsidP="00CC3745" w14:paraId="32757AFF" w14:textId="6152C065">
      <w:pPr>
        <w:pStyle w:val="FootnoteText"/>
      </w:pPr>
      <w:r>
        <w:rPr>
          <w:rStyle w:val="FootnoteReference"/>
        </w:rPr>
        <w:footnoteRef/>
      </w:r>
      <w:r>
        <w:t xml:space="preserve"> </w:t>
      </w:r>
      <w:r w:rsidRPr="00F17CCC">
        <w:t>In Order No. 2006</w:t>
      </w:r>
      <w:r w:rsidR="003C59E3">
        <w:t>,</w:t>
      </w:r>
      <w:r w:rsidRPr="00F17CCC">
        <w:t xml:space="preserve"> the Commission adopted identical power factor and compensation requirements for small generating facilities (those with a capacity of </w:t>
      </w:r>
      <w:r w:rsidR="005B2959">
        <w:t xml:space="preserve">       </w:t>
      </w:r>
      <w:r w:rsidRPr="00F17CCC">
        <w:t xml:space="preserve">20 MW or less) and initially exempted small wind generating facilities from the reactive power requirement before Order No. 827 eliminated such exemptions. </w:t>
      </w:r>
      <w:r w:rsidRPr="00F17CCC">
        <w:t xml:space="preserve"> </w:t>
      </w:r>
      <w:r w:rsidRPr="00F17CCC">
        <w:rPr>
          <w:i/>
          <w:iCs/>
        </w:rPr>
        <w:t>Reactive Power Requirements for Non-Synchronous Generation</w:t>
      </w:r>
      <w:r w:rsidRPr="00F17CCC">
        <w:t xml:space="preserve">, Order No. 827, </w:t>
      </w:r>
      <w:r w:rsidR="005B2959">
        <w:t xml:space="preserve">81 FR 40793 (June 23, 2016), </w:t>
      </w:r>
      <w:r w:rsidRPr="00F17CCC">
        <w:t xml:space="preserve">155 FERC ¶ 61,277, </w:t>
      </w:r>
      <w:r w:rsidRPr="00F17CCC">
        <w:rPr>
          <w:i/>
          <w:iCs/>
        </w:rPr>
        <w:t>order on clarification and reh’g</w:t>
      </w:r>
      <w:r w:rsidRPr="00F17CCC">
        <w:t>, 157 FERC ¶ 61,003 (2016)</w:t>
      </w:r>
      <w:r w:rsidR="00CC3745">
        <w:t xml:space="preserve">; </w:t>
      </w:r>
      <w:r w:rsidRPr="00CD2C9F" w:rsidR="00CC3745">
        <w:rPr>
          <w:i/>
        </w:rPr>
        <w:t xml:space="preserve">Standardization of Small Generator Interconnection Agreements </w:t>
      </w:r>
      <w:r w:rsidR="00CC3745">
        <w:rPr>
          <w:i/>
        </w:rPr>
        <w:t>&amp;</w:t>
      </w:r>
      <w:r w:rsidRPr="00CD2C9F" w:rsidR="00CC3745">
        <w:rPr>
          <w:i/>
        </w:rPr>
        <w:t xml:space="preserve"> Proc</w:t>
      </w:r>
      <w:r w:rsidR="00401928">
        <w:rPr>
          <w:i/>
        </w:rPr>
        <w:t>s</w:t>
      </w:r>
      <w:r w:rsidR="005B2959">
        <w:rPr>
          <w:i/>
        </w:rPr>
        <w:t>.</w:t>
      </w:r>
      <w:r w:rsidRPr="00CD2C9F" w:rsidR="00CC3745">
        <w:t xml:space="preserve">, Order </w:t>
      </w:r>
      <w:r w:rsidR="005B2959">
        <w:t xml:space="preserve">       </w:t>
      </w:r>
      <w:r w:rsidRPr="00CD2C9F" w:rsidR="00CC3745">
        <w:t xml:space="preserve">No. 2006, 111 FERC ¶ 61,220, </w:t>
      </w:r>
      <w:r w:rsidRPr="00CD2C9F" w:rsidR="00CC3745">
        <w:rPr>
          <w:i/>
        </w:rPr>
        <w:t>order on</w:t>
      </w:r>
      <w:r w:rsidRPr="00CD2C9F" w:rsidR="00CC3745">
        <w:t xml:space="preserve"> </w:t>
      </w:r>
      <w:r w:rsidRPr="00CD2C9F" w:rsidR="00CC3745">
        <w:rPr>
          <w:i/>
        </w:rPr>
        <w:t>reh’g</w:t>
      </w:r>
      <w:r w:rsidRPr="00CD2C9F" w:rsidR="00CC3745">
        <w:t xml:space="preserve">, Order No. 2006-A, </w:t>
      </w:r>
      <w:r w:rsidR="005B2959">
        <w:t xml:space="preserve">70 FR 71760 </w:t>
      </w:r>
      <w:r w:rsidR="000D130F">
        <w:t xml:space="preserve">       </w:t>
      </w:r>
      <w:r w:rsidR="005B2959">
        <w:t xml:space="preserve">(Nov. 30, 2005), </w:t>
      </w:r>
      <w:r w:rsidRPr="00CD2C9F" w:rsidR="00CC3745">
        <w:t xml:space="preserve">113 FERC ¶ 61,195 (2005), </w:t>
      </w:r>
      <w:r w:rsidRPr="00CD2C9F" w:rsidR="00CC3745">
        <w:rPr>
          <w:i/>
        </w:rPr>
        <w:t>order granting clarification</w:t>
      </w:r>
      <w:r w:rsidRPr="00CD2C9F" w:rsidR="00CC3745">
        <w:t>, Order</w:t>
      </w:r>
      <w:r w:rsidR="00CC3745">
        <w:t xml:space="preserve"> </w:t>
      </w:r>
      <w:r w:rsidR="000D130F">
        <w:t xml:space="preserve">         </w:t>
      </w:r>
      <w:r w:rsidRPr="00CD2C9F" w:rsidR="00CC3745">
        <w:t>No. 2006-B</w:t>
      </w:r>
      <w:r w:rsidR="00CC3745">
        <w:t>,</w:t>
      </w:r>
      <w:r w:rsidR="005B2959">
        <w:t xml:space="preserve"> 71 FR 42587 (July 27, 2006),</w:t>
      </w:r>
      <w:r w:rsidR="00CC3745">
        <w:t xml:space="preserve"> </w:t>
      </w:r>
      <w:r w:rsidRPr="00CD2C9F" w:rsidR="00CC3745">
        <w:t>116 FERC ¶ 61,046 (2006)</w:t>
      </w:r>
      <w:r w:rsidRPr="00F17CCC">
        <w:t>.</w:t>
      </w:r>
    </w:p>
  </w:footnote>
  <w:footnote w:id="16">
    <w:p w:rsidR="00E611B6" w:rsidRPr="003271F0" w:rsidP="00E611B6" w14:paraId="7C68BDD3" w14:textId="32F9449B">
      <w:pPr>
        <w:pStyle w:val="FootnoteText"/>
      </w:pPr>
      <w:r w:rsidRPr="003271F0">
        <w:rPr>
          <w:rStyle w:val="FootnoteReference"/>
        </w:rPr>
        <w:footnoteRef/>
      </w:r>
      <w:r w:rsidRPr="003271F0">
        <w:t xml:space="preserve"> </w:t>
      </w:r>
      <w:r w:rsidRPr="003271F0">
        <w:rPr>
          <w:i/>
        </w:rPr>
        <w:t>Interconnection for Wind Energy</w:t>
      </w:r>
      <w:r w:rsidRPr="003271F0">
        <w:t xml:space="preserve">, Order No. 661, </w:t>
      </w:r>
      <w:r w:rsidR="005B2959">
        <w:t xml:space="preserve">70 FR 34993 (June 16, 2005), </w:t>
      </w:r>
      <w:r w:rsidRPr="003271F0">
        <w:t xml:space="preserve">111 FERC ¶ 61,353, </w:t>
      </w:r>
      <w:r w:rsidRPr="003271F0">
        <w:rPr>
          <w:i/>
        </w:rPr>
        <w:t>order on reh’g</w:t>
      </w:r>
      <w:r w:rsidRPr="003271F0">
        <w:t xml:space="preserve">, Order No. 661-A, </w:t>
      </w:r>
      <w:r w:rsidR="005B2959">
        <w:t xml:space="preserve">70 FR 75005 (Dec. 19, 2005),  </w:t>
      </w:r>
      <w:r w:rsidRPr="003271F0">
        <w:t>113 FERC ¶ 61,254 (2005).</w:t>
      </w:r>
    </w:p>
  </w:footnote>
  <w:footnote w:id="17">
    <w:p w:rsidR="00EE1317" w:rsidRPr="00CD2C9F" w:rsidP="00EE1317" w14:paraId="091F5D0C" w14:textId="56DEAAA0">
      <w:pPr>
        <w:pStyle w:val="FootnoteText"/>
      </w:pPr>
      <w:r w:rsidRPr="00CD2C9F">
        <w:rPr>
          <w:rStyle w:val="FootnoteReference"/>
        </w:rPr>
        <w:footnoteRef/>
      </w:r>
      <w:r w:rsidRPr="00CD2C9F">
        <w:t xml:space="preserve"> Order No. 2006, 111 FERC ¶ 61,220.</w:t>
      </w:r>
    </w:p>
  </w:footnote>
  <w:footnote w:id="18">
    <w:p w:rsidR="00EE1317" w:rsidRPr="00CD2C9F" w:rsidP="00EE1317" w14:paraId="13415640" w14:textId="37F91A5D">
      <w:pPr>
        <w:pStyle w:val="FootnoteText"/>
      </w:pPr>
      <w:r w:rsidRPr="00CD2C9F">
        <w:rPr>
          <w:rStyle w:val="FootnoteReference"/>
        </w:rPr>
        <w:footnoteRef/>
      </w:r>
      <w:r w:rsidRPr="00CD2C9F">
        <w:t xml:space="preserve"> Order No. 827, 155 FERC ¶ 61,277.</w:t>
      </w:r>
    </w:p>
  </w:footnote>
  <w:footnote w:id="19">
    <w:p w:rsidR="00C53C9D" w:rsidRPr="009901CA" w14:paraId="7DE81EF0" w14:textId="4DA8AE50">
      <w:pPr>
        <w:pStyle w:val="FootnoteText"/>
        <w:rPr>
          <w:i/>
          <w:iCs/>
        </w:rPr>
      </w:pPr>
      <w:r>
        <w:rPr>
          <w:rStyle w:val="FootnoteReference"/>
        </w:rPr>
        <w:footnoteRef/>
      </w:r>
      <w:r>
        <w:t xml:space="preserve"> </w:t>
      </w:r>
      <w:r>
        <w:rPr>
          <w:i/>
          <w:iCs/>
        </w:rPr>
        <w:t xml:space="preserve">See also </w:t>
      </w:r>
      <w:r w:rsidRPr="00482FA1" w:rsidR="005810E7">
        <w:rPr>
          <w:i/>
        </w:rPr>
        <w:t>PJM Interconnection, L.L.C.</w:t>
      </w:r>
      <w:r w:rsidRPr="009901CA" w:rsidR="005810E7">
        <w:t xml:space="preserve">, 151 FERC ¶ 61,097, </w:t>
      </w:r>
      <w:r w:rsidR="00C94892">
        <w:t>at P 28</w:t>
      </w:r>
      <w:r w:rsidRPr="009901CA" w:rsidR="005810E7">
        <w:t xml:space="preserve"> (2015)</w:t>
      </w:r>
      <w:r w:rsidR="005810E7">
        <w:t xml:space="preserve"> (</w:t>
      </w:r>
      <w:r w:rsidR="00745D77">
        <w:t>finding that</w:t>
      </w:r>
      <w:r w:rsidR="007C2647">
        <w:t>, since Order No. 661,</w:t>
      </w:r>
      <w:r w:rsidR="00745D77">
        <w:t xml:space="preserve"> the </w:t>
      </w:r>
      <w:r w:rsidRPr="00745D77" w:rsidR="00745D77">
        <w:t xml:space="preserve">cost of the technology necessary for a </w:t>
      </w:r>
      <w:r w:rsidR="000D130F">
        <w:t xml:space="preserve">               </w:t>
      </w:r>
      <w:r w:rsidRPr="00745D77" w:rsidR="00745D77">
        <w:t>non-synchronous resource to provide reactive power has lessened such that the cost of installing equipment that is capable of providing reactive power is comparable to the costs of a traditional generator</w:t>
      </w:r>
      <w:r w:rsidR="007C2647">
        <w:t>).</w:t>
      </w:r>
    </w:p>
  </w:footnote>
  <w:footnote w:id="20">
    <w:p w:rsidR="00130E3E" w:rsidRPr="00CD2C9F" w:rsidP="00130E3E" w14:paraId="44F54A65" w14:textId="4102F7AF">
      <w:pPr>
        <w:pStyle w:val="FootnoteText"/>
      </w:pPr>
      <w:r w:rsidRPr="00CD2C9F">
        <w:rPr>
          <w:rStyle w:val="FootnoteReference"/>
        </w:rPr>
        <w:footnoteRef/>
      </w:r>
      <w:r w:rsidRPr="00CD2C9F">
        <w:t xml:space="preserve"> </w:t>
      </w:r>
      <w:r w:rsidRPr="00CD2C9F">
        <w:rPr>
          <w:i/>
        </w:rPr>
        <w:t>Bonneville Power Admin. v. Puget Sound Energy, Inc.</w:t>
      </w:r>
      <w:r w:rsidRPr="00CD2C9F">
        <w:t>, 120 FERC ¶ 61,211 (2007) (</w:t>
      </w:r>
      <w:r w:rsidRPr="00CD2C9F">
        <w:rPr>
          <w:i/>
          <w:iCs/>
        </w:rPr>
        <w:t>BPA</w:t>
      </w:r>
      <w:r w:rsidRPr="000C6AD6">
        <w:t>)</w:t>
      </w:r>
      <w:r w:rsidRPr="00CD2C9F">
        <w:t xml:space="preserve">, </w:t>
      </w:r>
      <w:r w:rsidRPr="00CD2C9F">
        <w:rPr>
          <w:i/>
          <w:iCs/>
        </w:rPr>
        <w:t>order denying reh’g and granting clarification</w:t>
      </w:r>
      <w:r w:rsidRPr="00CD2C9F">
        <w:t xml:space="preserve">, 125 FERC ¶ 61,273, </w:t>
      </w:r>
      <w:r w:rsidR="005B2959">
        <w:t xml:space="preserve">       </w:t>
      </w:r>
      <w:r w:rsidRPr="00CD2C9F">
        <w:t>at P 18 (2008) (</w:t>
      </w:r>
      <w:r w:rsidRPr="00CD2C9F">
        <w:rPr>
          <w:iCs/>
        </w:rPr>
        <w:t>BPA Rehearing</w:t>
      </w:r>
      <w:r w:rsidRPr="00CD2C9F">
        <w:t xml:space="preserve"> Order). </w:t>
      </w:r>
      <w:r w:rsidR="005B6D74">
        <w:t xml:space="preserve"> </w:t>
      </w:r>
      <w:r w:rsidRPr="009901CA" w:rsidR="008322C6">
        <w:rPr>
          <w:i/>
          <w:iCs/>
        </w:rPr>
        <w:t>See</w:t>
      </w:r>
      <w:r w:rsidR="003B4D97">
        <w:rPr>
          <w:i/>
          <w:iCs/>
        </w:rPr>
        <w:t xml:space="preserve"> also</w:t>
      </w:r>
      <w:r w:rsidR="008322C6">
        <w:t xml:space="preserve"> BPA Rehearing Order, </w:t>
      </w:r>
      <w:r w:rsidRPr="00CD2C9F" w:rsidR="008322C6">
        <w:t>125 FERC ¶ 61,273 at P 1</w:t>
      </w:r>
      <w:r w:rsidR="008322C6">
        <w:t>5 &amp; n.24</w:t>
      </w:r>
      <w:r w:rsidRPr="00CD2C9F" w:rsidR="008322C6">
        <w:t xml:space="preserve"> </w:t>
      </w:r>
      <w:r w:rsidR="00B250C8">
        <w:t>(</w:t>
      </w:r>
      <w:r w:rsidRPr="00B250C8" w:rsidR="00B250C8">
        <w:t>“</w:t>
      </w:r>
      <w:r w:rsidR="00901E28">
        <w:t>[N]</w:t>
      </w:r>
      <w:r w:rsidRPr="00B250C8" w:rsidR="00B250C8">
        <w:t>either affiliated nor non-affiliated generators have an inherent right to any compensation for reactive power inside the deadband</w:t>
      </w:r>
      <w:r w:rsidR="00901E28">
        <w:t>.</w:t>
      </w:r>
      <w:r w:rsidR="00B250C8">
        <w:t>”)</w:t>
      </w:r>
      <w:r w:rsidRPr="00CD2C9F">
        <w:t>.</w:t>
      </w:r>
      <w:r w:rsidR="00635D84">
        <w:t xml:space="preserve">  </w:t>
      </w:r>
      <w:r w:rsidRPr="009901CA" w:rsidR="002A4FCC">
        <w:rPr>
          <w:i/>
          <w:iCs/>
        </w:rPr>
        <w:t>Accord</w:t>
      </w:r>
      <w:r w:rsidR="002A4FCC">
        <w:t xml:space="preserve">., </w:t>
      </w:r>
      <w:r w:rsidRPr="00CD2C9F" w:rsidR="002A4FCC">
        <w:rPr>
          <w:i/>
          <w:iCs/>
        </w:rPr>
        <w:t>Midcontinent Indep. Sys. Operator, Inc.</w:t>
      </w:r>
      <w:r w:rsidRPr="00CD2C9F" w:rsidR="002A4FCC">
        <w:t>, 182 FERC ¶ 61,033 (</w:t>
      </w:r>
      <w:r w:rsidRPr="00CD2C9F" w:rsidR="002A4FCC">
        <w:rPr>
          <w:i/>
          <w:iCs/>
        </w:rPr>
        <w:t>MISO</w:t>
      </w:r>
      <w:r w:rsidRPr="00CD2C9F" w:rsidR="002A4FCC">
        <w:t xml:space="preserve">), </w:t>
      </w:r>
      <w:r w:rsidRPr="00CD2C9F" w:rsidR="002A4FCC">
        <w:rPr>
          <w:i/>
          <w:iCs/>
        </w:rPr>
        <w:t>order on reh’g</w:t>
      </w:r>
      <w:r w:rsidRPr="00CD2C9F" w:rsidR="002A4FCC">
        <w:t>, 184 FERC ¶ 61,022, at P 23 (2023) (MISO Rehearing Order)</w:t>
      </w:r>
      <w:r w:rsidR="002A4FCC">
        <w:t>;</w:t>
      </w:r>
      <w:r w:rsidRPr="00CD2C9F" w:rsidR="002A4FCC">
        <w:t xml:space="preserve"> </w:t>
      </w:r>
      <w:r w:rsidRPr="00FD17DC" w:rsidR="00FD17DC">
        <w:rPr>
          <w:i/>
          <w:iCs/>
        </w:rPr>
        <w:t>Sw. Power Pool, Inc.</w:t>
      </w:r>
      <w:r w:rsidRPr="00FD17DC" w:rsidR="00FD17DC">
        <w:t>, 119</w:t>
      </w:r>
      <w:r w:rsidR="00901E28">
        <w:t> </w:t>
      </w:r>
      <w:r w:rsidRPr="00FD17DC" w:rsidR="00FD17DC">
        <w:t>FERC ¶ 61,199 (</w:t>
      </w:r>
      <w:r w:rsidRPr="00FD17DC" w:rsidR="00FD17DC">
        <w:rPr>
          <w:i/>
          <w:iCs/>
        </w:rPr>
        <w:t>SPP</w:t>
      </w:r>
      <w:r w:rsidRPr="00FD17DC" w:rsidR="00FD17DC">
        <w:t>)</w:t>
      </w:r>
      <w:r w:rsidRPr="00FD17DC" w:rsidR="00FD17DC">
        <w:rPr>
          <w:iCs/>
        </w:rPr>
        <w:t xml:space="preserve">, </w:t>
      </w:r>
      <w:r w:rsidRPr="00FD17DC" w:rsidR="00FD17DC">
        <w:rPr>
          <w:i/>
        </w:rPr>
        <w:t>order on reh’g</w:t>
      </w:r>
      <w:r w:rsidRPr="00FD17DC" w:rsidR="00FD17DC">
        <w:rPr>
          <w:iCs/>
        </w:rPr>
        <w:t xml:space="preserve">, </w:t>
      </w:r>
      <w:r w:rsidRPr="00482FA1" w:rsidR="002A4FCC">
        <w:rPr>
          <w:i/>
        </w:rPr>
        <w:t>Sw. Power Pool, Inc.</w:t>
      </w:r>
      <w:r w:rsidRPr="002A1935" w:rsidR="002A4FCC">
        <w:t xml:space="preserve">, 121 FERC ¶ 61,196, </w:t>
      </w:r>
      <w:r w:rsidR="005B2959">
        <w:t xml:space="preserve">    </w:t>
      </w:r>
      <w:r w:rsidR="002A4FCC">
        <w:t>at</w:t>
      </w:r>
      <w:r w:rsidRPr="002A1935" w:rsidR="002A4FCC">
        <w:t xml:space="preserve"> 61,968 (2007)</w:t>
      </w:r>
      <w:r w:rsidR="002A4FCC">
        <w:t xml:space="preserve"> </w:t>
      </w:r>
      <w:r w:rsidR="00FD17DC">
        <w:t>(</w:t>
      </w:r>
      <w:r w:rsidR="00901E28">
        <w:t xml:space="preserve">SPP </w:t>
      </w:r>
      <w:r w:rsidR="00FD17DC">
        <w:t xml:space="preserve">Order on Rehearing) </w:t>
      </w:r>
      <w:r w:rsidR="002A4FCC">
        <w:t>(“</w:t>
      </w:r>
      <w:r w:rsidR="00901E28">
        <w:t>[R]</w:t>
      </w:r>
      <w:r w:rsidRPr="002A1935" w:rsidR="002A4FCC">
        <w:t>eactive power is required for an interconnecting generator to deliver its power and reactive power produced within the deadband and is, therefore, generally not compensable</w:t>
      </w:r>
      <w:r w:rsidR="00901E28">
        <w:t>.</w:t>
      </w:r>
      <w:r w:rsidR="002A4FCC">
        <w:t>”);</w:t>
      </w:r>
      <w:r w:rsidRPr="00CD2C9F" w:rsidR="002A4FCC">
        <w:t xml:space="preserve"> </w:t>
      </w:r>
      <w:r w:rsidRPr="00CD2C9F" w:rsidR="002A4FCC">
        <w:rPr>
          <w:i/>
          <w:iCs/>
        </w:rPr>
        <w:t>Mich. Elec. Transmission Co.</w:t>
      </w:r>
      <w:r w:rsidRPr="00CD2C9F" w:rsidR="002A4FCC">
        <w:t>, 97 FERC ¶ 61,187, at 61,852-53 (2001) (</w:t>
      </w:r>
      <w:r w:rsidRPr="00CD2C9F" w:rsidR="002A4FCC">
        <w:rPr>
          <w:i/>
          <w:iCs/>
        </w:rPr>
        <w:t>METC</w:t>
      </w:r>
      <w:r w:rsidR="002A4FCC">
        <w:rPr>
          <w:i/>
          <w:iCs/>
        </w:rPr>
        <w:t xml:space="preserve"> Rehearing Order</w:t>
      </w:r>
      <w:r w:rsidRPr="00CD2C9F" w:rsidR="002A4FCC">
        <w:t>)</w:t>
      </w:r>
      <w:r w:rsidR="002A4FCC">
        <w:t xml:space="preserve"> (“</w:t>
      </w:r>
      <w:r w:rsidRPr="006C5164" w:rsidR="002A4FCC">
        <w:t>Providing reactive power within design limitations is not providing an ancillary service; it is simply ensuring that a generator lives up to its obligations</w:t>
      </w:r>
      <w:r w:rsidR="002A4FCC">
        <w:t>.”</w:t>
      </w:r>
      <w:r w:rsidRPr="00CD2C9F" w:rsidR="002A4FCC">
        <w:t xml:space="preserve">); </w:t>
      </w:r>
      <w:r w:rsidRPr="00FD7872" w:rsidR="002A4FCC">
        <w:rPr>
          <w:i/>
        </w:rPr>
        <w:t>Consumers Energy Co.</w:t>
      </w:r>
      <w:r w:rsidRPr="00FD7872" w:rsidR="002A4FCC">
        <w:t>, 94 FERC ¶ 61,230</w:t>
      </w:r>
      <w:r w:rsidR="002A4FCC">
        <w:t>, at 61,834</w:t>
      </w:r>
      <w:r w:rsidRPr="00FD7872" w:rsidR="002A4FCC">
        <w:t xml:space="preserve"> (</w:t>
      </w:r>
      <w:r w:rsidR="002A4FCC">
        <w:t>2000)</w:t>
      </w:r>
      <w:r w:rsidRPr="00FD7872" w:rsidR="002A4FCC">
        <w:t xml:space="preserve"> </w:t>
      </w:r>
      <w:r w:rsidRPr="00FD7872" w:rsidR="002A4FCC">
        <w:t>(</w:t>
      </w:r>
      <w:r w:rsidR="002A4FCC">
        <w:t>affirming the Commission’s</w:t>
      </w:r>
      <w:r w:rsidRPr="00610EE4" w:rsidR="002A4FCC">
        <w:t xml:space="preserve"> </w:t>
      </w:r>
      <w:r w:rsidRPr="00A20EBC" w:rsidR="002A4FCC">
        <w:t>reject</w:t>
      </w:r>
      <w:r w:rsidR="002A4FCC">
        <w:t>ion of</w:t>
      </w:r>
      <w:r w:rsidRPr="00A20EBC" w:rsidR="002A4FCC">
        <w:t xml:space="preserve"> generators’ request for reactive power compensation when operating within a facility’s reactive power design limitation</w:t>
      </w:r>
      <w:r w:rsidRPr="00610EE4" w:rsidR="002A4FCC">
        <w:t>, stating that as a condition of interconnecting to the transmission provider</w:t>
      </w:r>
      <w:r w:rsidR="002A4FCC">
        <w:t>’</w:t>
      </w:r>
      <w:r w:rsidRPr="00610EE4" w:rsidR="002A4FCC">
        <w:t>s system, “to ensure system security,” the generator was required to provide equipment, “</w:t>
      </w:r>
      <w:r w:rsidRPr="00610EE4" w:rsidR="002A4FCC">
        <w:rPr>
          <w:i/>
        </w:rPr>
        <w:t>at its own cost</w:t>
      </w:r>
      <w:r w:rsidRPr="00610EE4" w:rsidR="002A4FCC">
        <w:t>, to meet its reactive power obligations as provided for in [its interconnection agreement].”</w:t>
      </w:r>
      <w:r w:rsidR="00E8375F">
        <w:t>(emphasis added)</w:t>
      </w:r>
      <w:r w:rsidR="002A4FCC">
        <w:t xml:space="preserve">); </w:t>
      </w:r>
      <w:r w:rsidRPr="00CD2C9F" w:rsidR="002A4FCC">
        <w:rPr>
          <w:i/>
          <w:iCs/>
        </w:rPr>
        <w:t>cf</w:t>
      </w:r>
      <w:r w:rsidRPr="00CD2C9F" w:rsidR="002A4FCC">
        <w:t xml:space="preserve">. </w:t>
      </w:r>
      <w:r w:rsidRPr="00CD2C9F" w:rsidR="002A4FCC">
        <w:rPr>
          <w:i/>
          <w:iCs/>
        </w:rPr>
        <w:t>Dynegy Midwest Generation, Inc.</w:t>
      </w:r>
      <w:r w:rsidRPr="00CD2C9F" w:rsidR="002A4FCC">
        <w:t>, 125 FERC ¶ 61,280, at P 16 (2008) (“Reactive power is a localized service that is quickly used by transmission system components and cannot be transported over long distances.”).</w:t>
      </w:r>
    </w:p>
  </w:footnote>
  <w:footnote w:id="21">
    <w:p w:rsidR="00D72716" w:rsidRPr="006056E4" w:rsidP="00D72716" w14:paraId="0BD35144" w14:textId="531DC8F7">
      <w:pPr>
        <w:pStyle w:val="FootnoteText"/>
        <w:rPr>
          <w:i/>
        </w:rPr>
      </w:pPr>
      <w:r w:rsidRPr="00CD2C9F">
        <w:rPr>
          <w:rStyle w:val="FootnoteReference"/>
        </w:rPr>
        <w:footnoteRef/>
      </w:r>
      <w:r w:rsidRPr="00CD2C9F">
        <w:t xml:space="preserve"> MISO Rehearing Order, 184 FERC ¶ 61,022 at P 23.</w:t>
      </w:r>
      <w:r w:rsidRPr="009237C2" w:rsidR="009237C2">
        <w:t xml:space="preserve">  </w:t>
      </w:r>
      <w:r w:rsidRPr="009237C2" w:rsidR="009237C2">
        <w:t xml:space="preserve"> </w:t>
      </w:r>
      <w:r w:rsidR="00AB255C">
        <w:t xml:space="preserve"> </w:t>
      </w:r>
    </w:p>
  </w:footnote>
  <w:footnote w:id="22">
    <w:p w:rsidR="005B3817" w:rsidRPr="00CD2C9F" w:rsidP="005B2959" w14:paraId="44E1541A" w14:textId="76D9A2CB">
      <w:pPr>
        <w:pStyle w:val="FootnoteText"/>
        <w:widowControl/>
      </w:pPr>
      <w:r w:rsidRPr="00CD2C9F">
        <w:rPr>
          <w:rStyle w:val="FootnoteReference"/>
        </w:rPr>
        <w:footnoteRef/>
      </w:r>
      <w:r w:rsidRPr="00CD2C9F">
        <w:t xml:space="preserve"> </w:t>
      </w:r>
      <w:r w:rsidRPr="00CD2C9F">
        <w:rPr>
          <w:i/>
          <w:iCs/>
        </w:rPr>
        <w:t>See, e.g.</w:t>
      </w:r>
      <w:r w:rsidRPr="00CD2C9F">
        <w:t>,</w:t>
      </w:r>
      <w:r w:rsidRPr="00D374EE">
        <w:t xml:space="preserve"> </w:t>
      </w:r>
      <w:r w:rsidR="00C96673">
        <w:rPr>
          <w:i/>
          <w:iCs/>
        </w:rPr>
        <w:t>id.</w:t>
      </w:r>
      <w:r w:rsidRPr="00CD2C9F">
        <w:t xml:space="preserve"> at PP</w:t>
      </w:r>
      <w:r w:rsidR="00D374EE">
        <w:t> </w:t>
      </w:r>
      <w:r w:rsidRPr="00CD2C9F">
        <w:t>23-24</w:t>
      </w:r>
      <w:r w:rsidR="00053FCA">
        <w:t xml:space="preserve"> (citing </w:t>
      </w:r>
      <w:r w:rsidR="00DF04E8">
        <w:t>METC Rehearing Order</w:t>
      </w:r>
      <w:r w:rsidRPr="00CD2C9F" w:rsidR="00053FCA">
        <w:t xml:space="preserve">, 97 FERC </w:t>
      </w:r>
      <w:r w:rsidR="005B2959">
        <w:t xml:space="preserve">                  </w:t>
      </w:r>
      <w:r w:rsidRPr="00CD2C9F" w:rsidR="00053FCA">
        <w:t>at 61,852-53</w:t>
      </w:r>
      <w:r w:rsidR="009E2B46">
        <w:t>)</w:t>
      </w:r>
      <w:r w:rsidR="009C7F80">
        <w:t>.</w:t>
      </w:r>
    </w:p>
  </w:footnote>
  <w:footnote w:id="23">
    <w:p w:rsidR="000404EC" w:rsidRPr="00CD2C9F" w:rsidP="000404EC" w14:paraId="5CBC024F" w14:textId="3A4D66F5">
      <w:pPr>
        <w:pStyle w:val="FootnoteText"/>
      </w:pPr>
      <w:r w:rsidRPr="00CD2C9F">
        <w:rPr>
          <w:rStyle w:val="FootnoteReference"/>
        </w:rPr>
        <w:footnoteRef/>
      </w:r>
      <w:r w:rsidRPr="00CD2C9F">
        <w:t xml:space="preserve"> </w:t>
      </w:r>
      <w:r w:rsidRPr="00CD2C9F">
        <w:rPr>
          <w:i/>
          <w:iCs/>
        </w:rPr>
        <w:t>See, e.g.</w:t>
      </w:r>
      <w:r w:rsidRPr="000C6AD6">
        <w:t>,</w:t>
      </w:r>
      <w:r w:rsidRPr="00CD2C9F">
        <w:rPr>
          <w:i/>
          <w:iCs/>
        </w:rPr>
        <w:t xml:space="preserve"> M</w:t>
      </w:r>
      <w:r w:rsidRPr="00CD2C9F">
        <w:rPr>
          <w:i/>
          <w:iCs/>
        </w:rPr>
        <w:t>ISO</w:t>
      </w:r>
      <w:r w:rsidRPr="00CD2C9F">
        <w:t>, 182 FERC ¶</w:t>
      </w:r>
      <w:r w:rsidRPr="00CD2C9F">
        <w:t> </w:t>
      </w:r>
      <w:r w:rsidRPr="00CD2C9F">
        <w:t>61,033 at PP</w:t>
      </w:r>
      <w:r w:rsidRPr="00CD2C9F">
        <w:t> </w:t>
      </w:r>
      <w:r w:rsidRPr="00CD2C9F">
        <w:t>52-53</w:t>
      </w:r>
      <w:r w:rsidRPr="00CD2C9F">
        <w:t>;</w:t>
      </w:r>
      <w:r w:rsidRPr="00CD2C9F">
        <w:t xml:space="preserve"> </w:t>
      </w:r>
      <w:r w:rsidRPr="00CD2C9F">
        <w:t>MISO Rehearing Order</w:t>
      </w:r>
      <w:r w:rsidRPr="00CD2C9F">
        <w:t>, 184</w:t>
      </w:r>
      <w:r>
        <w:t> </w:t>
      </w:r>
      <w:r w:rsidRPr="00CD2C9F">
        <w:t>FERC ¶</w:t>
      </w:r>
      <w:r w:rsidRPr="00CD2C9F">
        <w:t> </w:t>
      </w:r>
      <w:r w:rsidRPr="00CD2C9F">
        <w:t>61,022 at P</w:t>
      </w:r>
      <w:r w:rsidR="00906D0B">
        <w:t>P</w:t>
      </w:r>
      <w:r w:rsidRPr="00CD2C9F">
        <w:t> </w:t>
      </w:r>
      <w:r w:rsidRPr="00CD2C9F">
        <w:t>26</w:t>
      </w:r>
      <w:r w:rsidR="002A5739">
        <w:t>-27</w:t>
      </w:r>
      <w:r w:rsidRPr="00CD2C9F">
        <w:t xml:space="preserve">; </w:t>
      </w:r>
      <w:r w:rsidRPr="00CD2C9F">
        <w:rPr>
          <w:i/>
          <w:iCs/>
        </w:rPr>
        <w:t>Pub. Serv. Co. of N.M.</w:t>
      </w:r>
      <w:r w:rsidRPr="00CD2C9F">
        <w:t>, 178 FERC ¶</w:t>
      </w:r>
      <w:r w:rsidRPr="00CD2C9F">
        <w:t> </w:t>
      </w:r>
      <w:r w:rsidRPr="00CD2C9F">
        <w:t xml:space="preserve">61,088, </w:t>
      </w:r>
      <w:r w:rsidR="005B2959">
        <w:t xml:space="preserve">                </w:t>
      </w:r>
      <w:r w:rsidRPr="00CD2C9F">
        <w:t>at PP</w:t>
      </w:r>
      <w:r w:rsidRPr="00CD2C9F">
        <w:t> </w:t>
      </w:r>
      <w:r w:rsidRPr="00CD2C9F">
        <w:t>29-31 (2022)</w:t>
      </w:r>
      <w:r w:rsidRPr="00CD2C9F">
        <w:t xml:space="preserve"> (</w:t>
      </w:r>
      <w:r w:rsidRPr="00CD2C9F">
        <w:rPr>
          <w:i/>
          <w:iCs/>
        </w:rPr>
        <w:t>PNM</w:t>
      </w:r>
      <w:r w:rsidRPr="00CD2C9F">
        <w:t xml:space="preserve">); </w:t>
      </w:r>
      <w:r w:rsidRPr="00CD2C9F">
        <w:rPr>
          <w:i/>
          <w:iCs/>
        </w:rPr>
        <w:t>Nev. Power Co.</w:t>
      </w:r>
      <w:r w:rsidRPr="00CD2C9F">
        <w:t>, 179 FERC ¶</w:t>
      </w:r>
      <w:r w:rsidRPr="00CD2C9F">
        <w:t> </w:t>
      </w:r>
      <w:r w:rsidRPr="00CD2C9F">
        <w:t>61,103, at PP</w:t>
      </w:r>
      <w:r w:rsidRPr="00CD2C9F">
        <w:t> </w:t>
      </w:r>
      <w:r w:rsidRPr="00CD2C9F">
        <w:t>20-21 (2022);</w:t>
      </w:r>
      <w:r w:rsidRPr="00CD2C9F">
        <w:rPr>
          <w:i/>
          <w:iCs/>
        </w:rPr>
        <w:t xml:space="preserve"> BPA</w:t>
      </w:r>
      <w:r w:rsidRPr="00CD2C9F">
        <w:t>, 120</w:t>
      </w:r>
      <w:r>
        <w:t> </w:t>
      </w:r>
      <w:r w:rsidRPr="00CD2C9F">
        <w:t>FERC ¶</w:t>
      </w:r>
      <w:r w:rsidRPr="00CD2C9F">
        <w:t> </w:t>
      </w:r>
      <w:r w:rsidRPr="00CD2C9F">
        <w:t>61,211 at P</w:t>
      </w:r>
      <w:r w:rsidRPr="00CD2C9F">
        <w:t> </w:t>
      </w:r>
      <w:r w:rsidRPr="00CD2C9F">
        <w:t xml:space="preserve">20; </w:t>
      </w:r>
      <w:r w:rsidRPr="00CD2C9F">
        <w:rPr>
          <w:i/>
          <w:iCs/>
        </w:rPr>
        <w:t>E.ON U.S. LLC</w:t>
      </w:r>
      <w:r w:rsidRPr="00CD2C9F">
        <w:t>, 119 FERC ¶</w:t>
      </w:r>
      <w:r w:rsidRPr="00CD2C9F">
        <w:t> </w:t>
      </w:r>
      <w:r w:rsidRPr="00CD2C9F">
        <w:t>61,340, at P</w:t>
      </w:r>
      <w:r w:rsidRPr="00CD2C9F">
        <w:t> </w:t>
      </w:r>
      <w:r w:rsidRPr="00CD2C9F">
        <w:t xml:space="preserve">15 (2007); </w:t>
      </w:r>
      <w:r w:rsidRPr="00CD2C9F">
        <w:rPr>
          <w:i/>
          <w:iCs/>
        </w:rPr>
        <w:t>Entergy Servs., Inc.</w:t>
      </w:r>
      <w:r w:rsidRPr="00CD2C9F">
        <w:t>, 113 FERC ¶</w:t>
      </w:r>
      <w:r w:rsidRPr="00CD2C9F">
        <w:t> </w:t>
      </w:r>
      <w:r w:rsidRPr="00CD2C9F">
        <w:t>61,040, at P</w:t>
      </w:r>
      <w:r w:rsidRPr="00CD2C9F">
        <w:t> </w:t>
      </w:r>
      <w:r w:rsidRPr="00CD2C9F">
        <w:t>38 (2005).</w:t>
      </w:r>
    </w:p>
  </w:footnote>
  <w:footnote w:id="24">
    <w:p w:rsidR="00D57E0E" w:rsidRPr="00CD2C9F" w:rsidP="000D130F" w14:paraId="0D6E48CD" w14:textId="77777777">
      <w:pPr>
        <w:pStyle w:val="FootnoteText"/>
        <w:widowControl/>
      </w:pPr>
      <w:r w:rsidRPr="00CD2C9F">
        <w:rPr>
          <w:rStyle w:val="FootnoteReference"/>
        </w:rPr>
        <w:footnoteRef/>
      </w:r>
      <w:r w:rsidRPr="00CD2C9F">
        <w:t xml:space="preserve"> </w:t>
      </w:r>
      <w:r w:rsidRPr="00CD2C9F">
        <w:rPr>
          <w:i/>
          <w:iCs/>
        </w:rPr>
        <w:t>BPA</w:t>
      </w:r>
      <w:r w:rsidRPr="00CD2C9F">
        <w:t>, 120 FERC ¶ 61,211 at PP 19-20; BPA Rehearing Order, 125 FERC ¶ 61,273 at PP 10-11.</w:t>
      </w:r>
    </w:p>
  </w:footnote>
  <w:footnote w:id="25">
    <w:p w:rsidR="00B67453" w14:paraId="2B70FB09" w14:textId="46739B65">
      <w:pPr>
        <w:pStyle w:val="FootnoteText"/>
      </w:pPr>
      <w:r>
        <w:rPr>
          <w:rStyle w:val="FootnoteReference"/>
        </w:rPr>
        <w:footnoteRef/>
      </w:r>
      <w:r>
        <w:t xml:space="preserve"> </w:t>
      </w:r>
      <w:r w:rsidRPr="001C2A89" w:rsidR="001C2A89">
        <w:rPr>
          <w:i/>
          <w:iCs/>
        </w:rPr>
        <w:t>BPA</w:t>
      </w:r>
      <w:r w:rsidR="001C2A89">
        <w:t>,</w:t>
      </w:r>
      <w:r>
        <w:t xml:space="preserve"> </w:t>
      </w:r>
      <w:r w:rsidRPr="009901CA" w:rsidR="00BE68AA">
        <w:rPr>
          <w:i/>
        </w:rPr>
        <w:t>120</w:t>
      </w:r>
      <w:r w:rsidRPr="00CD2C9F" w:rsidR="00BE68AA">
        <w:t xml:space="preserve"> FERC ¶ 61,211 at </w:t>
      </w:r>
      <w:r w:rsidR="002B0713">
        <w:t>P</w:t>
      </w:r>
      <w:r w:rsidR="005B2959">
        <w:t>P</w:t>
      </w:r>
      <w:r w:rsidR="002B0713">
        <w:t xml:space="preserve"> 19</w:t>
      </w:r>
      <w:r w:rsidR="00362599">
        <w:t>-20</w:t>
      </w:r>
      <w:r w:rsidR="009E6142">
        <w:t xml:space="preserve"> (citing </w:t>
      </w:r>
      <w:r w:rsidRPr="009E6142" w:rsidR="009E6142">
        <w:t>Order No. 2003, FERC Stats. &amp; Regs. ¶ 31,146 at P 546</w:t>
      </w:r>
      <w:r w:rsidR="009E6142">
        <w:t>)</w:t>
      </w:r>
      <w:r w:rsidR="00C8722A">
        <w:t xml:space="preserve">; </w:t>
      </w:r>
      <w:r w:rsidR="00595FDD">
        <w:t>METC</w:t>
      </w:r>
      <w:r w:rsidR="00F4637E">
        <w:t xml:space="preserve"> Rehearing Order</w:t>
      </w:r>
      <w:r w:rsidR="00595FDD">
        <w:t xml:space="preserve">, </w:t>
      </w:r>
      <w:r w:rsidRPr="009901CA" w:rsidR="00595FDD">
        <w:t>97 FERC at 61,852</w:t>
      </w:r>
      <w:r w:rsidRPr="00595FDD" w:rsidR="00595FDD">
        <w:t> (“Providing reactive power within design limitations is not providing an ancillary service; it is simply ensuring that a generator lives up to its obligations.”)</w:t>
      </w:r>
      <w:r w:rsidR="002B0713">
        <w:t>.</w:t>
      </w:r>
    </w:p>
  </w:footnote>
  <w:footnote w:id="26">
    <w:p w:rsidR="00D57E0E" w:rsidRPr="00CD2C9F" w:rsidP="00D57E0E" w14:paraId="18C03829" w14:textId="77777777">
      <w:pPr>
        <w:pStyle w:val="FootnoteText"/>
      </w:pPr>
      <w:r w:rsidRPr="00CD2C9F">
        <w:rPr>
          <w:rStyle w:val="FootnoteReference"/>
        </w:rPr>
        <w:footnoteRef/>
      </w:r>
      <w:r w:rsidRPr="00CD2C9F">
        <w:t xml:space="preserve"> </w:t>
      </w:r>
      <w:r w:rsidRPr="00CD2C9F">
        <w:rPr>
          <w:i/>
        </w:rPr>
        <w:t>Id.</w:t>
      </w:r>
      <w:r w:rsidRPr="00CD2C9F">
        <w:t xml:space="preserve"> PP 19-22.</w:t>
      </w:r>
    </w:p>
  </w:footnote>
  <w:footnote w:id="27">
    <w:p w:rsidR="00FC68AA" w:rsidRPr="00CD2C9F" w:rsidP="00FC68AA" w14:paraId="6CE3EC92" w14:textId="4B81B4D4">
      <w:pPr>
        <w:pStyle w:val="FootnoteText"/>
      </w:pPr>
      <w:r w:rsidRPr="00CD2C9F">
        <w:rPr>
          <w:rStyle w:val="FootnoteReference"/>
        </w:rPr>
        <w:footnoteRef/>
      </w:r>
      <w:r w:rsidRPr="00CD2C9F">
        <w:t xml:space="preserve"> </w:t>
      </w:r>
      <w:r w:rsidRPr="00CD2C9F">
        <w:rPr>
          <w:i/>
        </w:rPr>
        <w:t>Id.</w:t>
      </w:r>
      <w:r w:rsidRPr="00CD2C9F">
        <w:t xml:space="preserve"> P 21 (citing </w:t>
      </w:r>
      <w:r w:rsidRPr="00CD2C9F">
        <w:rPr>
          <w:i/>
        </w:rPr>
        <w:t>S</w:t>
      </w:r>
      <w:r w:rsidRPr="00CD2C9F">
        <w:rPr>
          <w:i/>
          <w:iCs/>
        </w:rPr>
        <w:t>w.</w:t>
      </w:r>
      <w:r w:rsidRPr="00CD2C9F">
        <w:t xml:space="preserve"> </w:t>
      </w:r>
      <w:r w:rsidRPr="00CD2C9F">
        <w:rPr>
          <w:i/>
        </w:rPr>
        <w:t>Power Pool</w:t>
      </w:r>
      <w:r w:rsidRPr="000C6AD6">
        <w:rPr>
          <w:i/>
        </w:rPr>
        <w:t xml:space="preserve">, </w:t>
      </w:r>
      <w:r>
        <w:rPr>
          <w:i/>
        </w:rPr>
        <w:t>Inc.</w:t>
      </w:r>
      <w:r w:rsidRPr="00CD2C9F">
        <w:t>, 119 FERC ¶ 61,199</w:t>
      </w:r>
      <w:r>
        <w:t>,</w:t>
      </w:r>
      <w:r w:rsidRPr="00CD2C9F">
        <w:t xml:space="preserve"> at P 39).</w:t>
      </w:r>
    </w:p>
  </w:footnote>
  <w:footnote w:id="28">
    <w:p w:rsidR="00D57E0E" w:rsidRPr="00CD2C9F" w:rsidP="00D57E0E" w14:paraId="2137479A" w14:textId="5AB10361">
      <w:pPr>
        <w:pStyle w:val="FootnoteText"/>
      </w:pPr>
      <w:r w:rsidRPr="00CD2C9F">
        <w:rPr>
          <w:rStyle w:val="FootnoteReference"/>
        </w:rPr>
        <w:footnoteRef/>
      </w:r>
      <w:r w:rsidRPr="00CD2C9F">
        <w:t xml:space="preserve"> </w:t>
      </w:r>
      <w:r w:rsidRPr="00CD2C9F">
        <w:rPr>
          <w:i/>
        </w:rPr>
        <w:t>Id.</w:t>
      </w:r>
    </w:p>
  </w:footnote>
  <w:footnote w:id="29">
    <w:p w:rsidR="00D11736" w:rsidRPr="00CD2C9F" w:rsidP="00D11736" w14:paraId="600F0704" w14:textId="305BF235">
      <w:pPr>
        <w:pStyle w:val="FootnoteText"/>
        <w:spacing w:before="240"/>
      </w:pPr>
      <w:r w:rsidRPr="00CD2C9F">
        <w:rPr>
          <w:rStyle w:val="FootnoteReference"/>
        </w:rPr>
        <w:footnoteRef/>
      </w:r>
      <w:r w:rsidRPr="00CD2C9F">
        <w:t xml:space="preserve"> </w:t>
      </w:r>
      <w:r w:rsidRPr="00CD2C9F">
        <w:rPr>
          <w:i/>
          <w:iCs/>
        </w:rPr>
        <w:t>MISO</w:t>
      </w:r>
      <w:r w:rsidRPr="00CD2C9F">
        <w:t xml:space="preserve">, 182 FERC ¶ 61,033 at P 53 (“Bearing in mind that the provision of reactive power within the standard power factor range is, in the first instance, an obligation of the interconnecting generator and good utility practice, MISO </w:t>
      </w:r>
      <w:r>
        <w:t>[transmission owners]</w:t>
      </w:r>
      <w:r w:rsidRPr="00CD2C9F">
        <w:t xml:space="preserve"> do not have an obligation to continue to compensate an independent generator for reactive power within the standard power factor range when its own or affiliated generators are no longer being compensated.” (citation omitted)); </w:t>
      </w:r>
      <w:r w:rsidRPr="00CD2C9F">
        <w:rPr>
          <w:i/>
          <w:iCs/>
        </w:rPr>
        <w:t>see also</w:t>
      </w:r>
      <w:r w:rsidRPr="00CD2C9F">
        <w:t xml:space="preserve"> </w:t>
      </w:r>
      <w:r w:rsidRPr="00CD2C9F">
        <w:rPr>
          <w:i/>
          <w:iCs/>
        </w:rPr>
        <w:t>PNM</w:t>
      </w:r>
      <w:r w:rsidRPr="00CD2C9F">
        <w:t>, 178</w:t>
      </w:r>
      <w:r>
        <w:t> </w:t>
      </w:r>
      <w:r w:rsidRPr="00CD2C9F">
        <w:t>FERC ¶ 61,088 at P</w:t>
      </w:r>
      <w:r w:rsidR="00B215D0">
        <w:t>P</w:t>
      </w:r>
      <w:r w:rsidRPr="00CD2C9F">
        <w:t> 29</w:t>
      </w:r>
      <w:r w:rsidR="00B215D0">
        <w:t>, 33</w:t>
      </w:r>
      <w:r w:rsidRPr="00CD2C9F">
        <w:t xml:space="preserve"> (accepting PNM’s revisions to eliminate compensation for reactive service under Schedule 2 and rejecting generators’ arguments that it is “just and reasonable for it to be compensated for investments made” to provide reactive support consistent with interconnection requirements even though PNM elected to no longer pay its own or affiliated generators for such reactive power).</w:t>
      </w:r>
    </w:p>
  </w:footnote>
  <w:footnote w:id="30">
    <w:p w:rsidR="00D11736" w:rsidRPr="00CD2C9F" w:rsidP="000D130F" w14:paraId="3B8D1213" w14:textId="797A99A5">
      <w:pPr>
        <w:pStyle w:val="FootnoteText"/>
        <w:widowControl/>
      </w:pPr>
      <w:r w:rsidRPr="00CD2C9F">
        <w:rPr>
          <w:rStyle w:val="FootnoteReference"/>
        </w:rPr>
        <w:footnoteRef/>
      </w:r>
      <w:r w:rsidRPr="00CD2C9F">
        <w:t xml:space="preserve"> </w:t>
      </w:r>
      <w:r w:rsidRPr="00CD2C9F">
        <w:rPr>
          <w:i/>
          <w:iCs/>
        </w:rPr>
        <w:t>MISO</w:t>
      </w:r>
      <w:r w:rsidRPr="00CD2C9F">
        <w:t>, 182 FERC ¶ 61,033 at P 53</w:t>
      </w:r>
      <w:r w:rsidR="00C96673">
        <w:t>.</w:t>
      </w:r>
      <w:r w:rsidRPr="00CD2C9F">
        <w:t> </w:t>
      </w:r>
      <w:r w:rsidR="00B36484">
        <w:t xml:space="preserve"> </w:t>
      </w:r>
      <w:r w:rsidR="00C96673">
        <w:t>The Commission found</w:t>
      </w:r>
      <w:r w:rsidRPr="00CD2C9F">
        <w:t xml:space="preserve"> “those protests that challenge these well-established policies to be collateral attacks on these earlier determinations</w:t>
      </w:r>
      <w:r>
        <w:t>.</w:t>
      </w:r>
      <w:r w:rsidRPr="00CD2C9F">
        <w:t>”</w:t>
      </w:r>
      <w:r w:rsidR="001350D1">
        <w:t xml:space="preserve">  </w:t>
      </w:r>
      <w:r w:rsidR="001350D1">
        <w:rPr>
          <w:i/>
          <w:iCs/>
        </w:rPr>
        <w:t>Id.</w:t>
      </w:r>
    </w:p>
  </w:footnote>
  <w:footnote w:id="31">
    <w:p w:rsidR="00AA40F0" w:rsidRPr="00CD2C9F" w:rsidP="00AA40F0" w14:paraId="4D04BAFF" w14:textId="27392094">
      <w:pPr>
        <w:pStyle w:val="FootnoteText"/>
      </w:pPr>
      <w:r w:rsidRPr="00CD2C9F">
        <w:rPr>
          <w:rStyle w:val="FootnoteReference"/>
        </w:rPr>
        <w:footnoteRef/>
      </w:r>
      <w:r w:rsidRPr="00CD2C9F">
        <w:t xml:space="preserve"> Synchronous generating facilities (</w:t>
      </w:r>
      <w:r w:rsidRPr="00C06B6B">
        <w:rPr>
          <w:iCs/>
        </w:rPr>
        <w:t>e.g.</w:t>
      </w:r>
      <w:r w:rsidRPr="00CD2C9F">
        <w:t xml:space="preserve">, coal, gas, nuclear resources) produce electricity in sync with the transmission system at the system frequency.  </w:t>
      </w:r>
      <w:r w:rsidR="005B2959">
        <w:t xml:space="preserve">                    </w:t>
      </w:r>
      <w:r w:rsidRPr="00CD2C9F">
        <w:t>Non-synchronous generating facilities (</w:t>
      </w:r>
      <w:r w:rsidRPr="00C06B6B">
        <w:rPr>
          <w:iCs/>
        </w:rPr>
        <w:t>e.g.</w:t>
      </w:r>
      <w:r w:rsidRPr="00CD2C9F">
        <w:t xml:space="preserve">, solar, wind, battery storage resources) produce electricity that is initially not in sync with the transmission system and use inverters to convert their electrical output to synchronize with the transmission system.  </w:t>
      </w:r>
      <w:r w:rsidRPr="00CD2C9F">
        <w:rPr>
          <w:i/>
          <w:iCs/>
        </w:rPr>
        <w:t>See</w:t>
      </w:r>
      <w:r w:rsidRPr="00CD2C9F">
        <w:t xml:space="preserve"> </w:t>
      </w:r>
      <w:r w:rsidR="00996592">
        <w:t>FERC</w:t>
      </w:r>
      <w:r w:rsidRPr="00CD2C9F">
        <w:t xml:space="preserve">, </w:t>
      </w:r>
      <w:r w:rsidRPr="00CD2C9F">
        <w:rPr>
          <w:i/>
        </w:rPr>
        <w:t>Payment for Reactive Power</w:t>
      </w:r>
      <w:r w:rsidRPr="00CD2C9F">
        <w:t>, 7 (Apr. 22, 2014)</w:t>
      </w:r>
      <w:r w:rsidR="000D636B">
        <w:t xml:space="preserve"> (2014 Staff Report</w:t>
      </w:r>
      <w:r w:rsidRPr="00CD2C9F">
        <w:t>), https://www.ferc.gov/sites/default/files/2020-05/04-11-14-reactive-power.pdf.</w:t>
      </w:r>
    </w:p>
  </w:footnote>
  <w:footnote w:id="32">
    <w:p w:rsidR="00AA40F0" w:rsidRPr="00CD2C9F" w:rsidP="00AA40F0" w14:paraId="4986AD91" w14:textId="56D817B4">
      <w:pPr>
        <w:pStyle w:val="FootnoteText"/>
      </w:pPr>
      <w:r w:rsidRPr="00CD2C9F">
        <w:rPr>
          <w:rStyle w:val="FootnoteReference"/>
        </w:rPr>
        <w:footnoteRef/>
      </w:r>
      <w:r w:rsidRPr="00CD2C9F">
        <w:t xml:space="preserve"> MISO Rehearing Order, 184 FERC ¶ 61,022 at PP 29-30 (citing </w:t>
      </w:r>
      <w:r w:rsidRPr="00CD2C9F">
        <w:rPr>
          <w:i/>
          <w:iCs/>
        </w:rPr>
        <w:t>S. Co. Servs., Inc.</w:t>
      </w:r>
      <w:r w:rsidRPr="00CD2C9F">
        <w:t xml:space="preserve">, 80 FERC ¶ 61,318, at 62,091 (1997) (noting also that the primary function of a generating plant is to produce real power; thus, if costs were allocated based on the “predominant” function of the equipment, “all of the costs of generation would thus be assigned to real power production and there would be no basis for any separate reactive power charge”); </w:t>
      </w:r>
      <w:r w:rsidRPr="00CD2C9F">
        <w:rPr>
          <w:i/>
          <w:iCs/>
        </w:rPr>
        <w:t>BPA</w:t>
      </w:r>
      <w:r w:rsidRPr="00CD2C9F">
        <w:t xml:space="preserve">, 120 FERC ¶ 61,211 at P 21 (finding that the incremental cost of reactive power service within the standard power factor range is minimal); </w:t>
      </w:r>
      <w:r w:rsidR="00960EE1">
        <w:t>METC Rehearing Order</w:t>
      </w:r>
      <w:r w:rsidRPr="00CD2C9F">
        <w:t>,</w:t>
      </w:r>
      <w:r>
        <w:t xml:space="preserve"> </w:t>
      </w:r>
      <w:r w:rsidRPr="00CD2C9F">
        <w:t>97 FERC at 61,852-53 (“[R]eactive power provided, not as an ancillary service, but rather as a ‘no cost’ service within reactive design limitations, may therefore, be provided without compensation</w:t>
      </w:r>
      <w:r>
        <w:t>.</w:t>
      </w:r>
      <w:r w:rsidRPr="00CD2C9F">
        <w:t>”).</w:t>
      </w:r>
    </w:p>
  </w:footnote>
  <w:footnote w:id="33">
    <w:p w:rsidR="00D11736" w:rsidRPr="00CD2C9F" w:rsidP="000D130F" w14:paraId="18D7C7E6" w14:textId="73B4ABDC">
      <w:pPr>
        <w:pStyle w:val="FootnoteText"/>
        <w:widowControl/>
      </w:pPr>
      <w:r w:rsidRPr="00CD2C9F">
        <w:rPr>
          <w:rStyle w:val="FootnoteReference"/>
        </w:rPr>
        <w:footnoteRef/>
      </w:r>
      <w:r w:rsidRPr="00CD2C9F">
        <w:t xml:space="preserve"> </w:t>
      </w:r>
      <w:r w:rsidRPr="00CD2C9F" w:rsidR="000D29EA">
        <w:t>MISO Rehearing Order, 184 FERC ¶ 61,022 at PP </w:t>
      </w:r>
      <w:r w:rsidR="000D29EA">
        <w:t>40-42;</w:t>
      </w:r>
      <w:r w:rsidRPr="00CD2C9F" w:rsidR="000D29EA">
        <w:t xml:space="preserve"> </w:t>
      </w:r>
      <w:r w:rsidR="006F0E86">
        <w:rPr>
          <w:i/>
        </w:rPr>
        <w:t>SPP</w:t>
      </w:r>
      <w:r w:rsidRPr="00CD2C9F" w:rsidR="005739AD">
        <w:t>, 119 FERC ¶ 61,199 at P 39 (stating that IPPs “are free to negotiate rates that they charge their customers for real power that are sufficient to compensate them for any costs that they may incur in producing reactive power within their deadbands, just as affiliated generators may seek to negotiate rates that they charge their customers that are sufficient to compensate them for the costs of any reactive power that they provide within their deadbands</w:t>
      </w:r>
      <w:r w:rsidR="005739AD">
        <w:t>.</w:t>
      </w:r>
      <w:r w:rsidRPr="00CD2C9F" w:rsidR="005739AD">
        <w:t>”)</w:t>
      </w:r>
      <w:r w:rsidR="00AE0D1F">
        <w:t>.</w:t>
      </w:r>
    </w:p>
  </w:footnote>
  <w:footnote w:id="34">
    <w:p w:rsidR="005B3817" w:rsidRPr="00CD2C9F" w:rsidP="005B3817" w14:paraId="5A4B5434" w14:textId="0DA5DD2F">
      <w:pPr>
        <w:pStyle w:val="FootnoteText"/>
      </w:pPr>
      <w:r w:rsidRPr="00CD2C9F">
        <w:rPr>
          <w:rStyle w:val="FootnoteReference"/>
        </w:rPr>
        <w:footnoteRef/>
      </w:r>
      <w:r w:rsidRPr="00CD2C9F">
        <w:t xml:space="preserve"> </w:t>
      </w:r>
      <w:r w:rsidRPr="00CD2C9F">
        <w:rPr>
          <w:i/>
          <w:iCs/>
        </w:rPr>
        <w:t>See, e.g.</w:t>
      </w:r>
      <w:r w:rsidRPr="000C6AD6">
        <w:t>,</w:t>
      </w:r>
      <w:r w:rsidRPr="00CD2C9F">
        <w:rPr>
          <w:i/>
          <w:iCs/>
        </w:rPr>
        <w:t xml:space="preserve"> M</w:t>
      </w:r>
      <w:r w:rsidRPr="00CD2C9F">
        <w:rPr>
          <w:i/>
          <w:iCs/>
        </w:rPr>
        <w:t>ISO</w:t>
      </w:r>
      <w:r w:rsidRPr="00CD2C9F">
        <w:t>, 182 FERC ¶</w:t>
      </w:r>
      <w:r w:rsidRPr="00CD2C9F">
        <w:t> </w:t>
      </w:r>
      <w:r w:rsidRPr="00CD2C9F">
        <w:t>61,033 at PP</w:t>
      </w:r>
      <w:r w:rsidRPr="00CD2C9F">
        <w:t> </w:t>
      </w:r>
      <w:r w:rsidRPr="00CD2C9F">
        <w:t>52-53</w:t>
      </w:r>
      <w:r w:rsidRPr="00CD2C9F">
        <w:t>;</w:t>
      </w:r>
      <w:r w:rsidRPr="00CD2C9F">
        <w:t xml:space="preserve"> </w:t>
      </w:r>
      <w:r w:rsidRPr="00CD2C9F">
        <w:t>MISO Rehearing Order</w:t>
      </w:r>
      <w:r w:rsidRPr="00CD2C9F">
        <w:t>, 184</w:t>
      </w:r>
      <w:r w:rsidR="00CA0D7B">
        <w:t> </w:t>
      </w:r>
      <w:r w:rsidRPr="00CD2C9F">
        <w:t>FERC ¶</w:t>
      </w:r>
      <w:r w:rsidRPr="00CD2C9F">
        <w:t> </w:t>
      </w:r>
      <w:r w:rsidRPr="00CD2C9F">
        <w:t>61,022 at P</w:t>
      </w:r>
      <w:r w:rsidRPr="00CD2C9F">
        <w:t> </w:t>
      </w:r>
      <w:r w:rsidRPr="00CD2C9F">
        <w:t xml:space="preserve">26; </w:t>
      </w:r>
      <w:r w:rsidR="00E352A1">
        <w:rPr>
          <w:i/>
          <w:iCs/>
        </w:rPr>
        <w:t>PNM</w:t>
      </w:r>
      <w:r w:rsidRPr="00CD2C9F">
        <w:t>, 178 FERC ¶</w:t>
      </w:r>
      <w:r w:rsidRPr="00CD2C9F">
        <w:t> </w:t>
      </w:r>
      <w:r w:rsidRPr="00CD2C9F">
        <w:t>61,088 at PP</w:t>
      </w:r>
      <w:r w:rsidRPr="00CD2C9F">
        <w:t> </w:t>
      </w:r>
      <w:r w:rsidRPr="00CD2C9F">
        <w:t xml:space="preserve">29-31; </w:t>
      </w:r>
      <w:r w:rsidRPr="00CD2C9F">
        <w:rPr>
          <w:i/>
          <w:iCs/>
        </w:rPr>
        <w:t>Nev. Power Co.</w:t>
      </w:r>
      <w:r w:rsidRPr="00CD2C9F">
        <w:t>, 179</w:t>
      </w:r>
      <w:r w:rsidR="00CA0D7B">
        <w:t> </w:t>
      </w:r>
      <w:r w:rsidRPr="00CD2C9F">
        <w:t>FERC ¶</w:t>
      </w:r>
      <w:r w:rsidRPr="00CD2C9F">
        <w:t> </w:t>
      </w:r>
      <w:r w:rsidRPr="00CD2C9F">
        <w:t>61,103 at PP</w:t>
      </w:r>
      <w:r w:rsidRPr="00CD2C9F">
        <w:t> </w:t>
      </w:r>
      <w:r w:rsidRPr="00CD2C9F">
        <w:t>20-21;</w:t>
      </w:r>
      <w:r w:rsidRPr="00CD2C9F">
        <w:rPr>
          <w:i/>
          <w:iCs/>
        </w:rPr>
        <w:t xml:space="preserve"> BPA</w:t>
      </w:r>
      <w:r w:rsidRPr="00CD2C9F">
        <w:t>, 120</w:t>
      </w:r>
      <w:r w:rsidR="00D374EE">
        <w:t xml:space="preserve"> </w:t>
      </w:r>
      <w:r w:rsidRPr="00CD2C9F">
        <w:t>FERC ¶</w:t>
      </w:r>
      <w:r w:rsidRPr="00CD2C9F">
        <w:t> </w:t>
      </w:r>
      <w:r w:rsidRPr="00CD2C9F">
        <w:t>61,211 at P</w:t>
      </w:r>
      <w:r w:rsidRPr="00CD2C9F">
        <w:t> </w:t>
      </w:r>
      <w:r w:rsidRPr="00CD2C9F">
        <w:t xml:space="preserve">20; </w:t>
      </w:r>
      <w:r w:rsidRPr="00CD2C9F">
        <w:rPr>
          <w:i/>
          <w:iCs/>
        </w:rPr>
        <w:t>E.ON U.S. LLC</w:t>
      </w:r>
      <w:r w:rsidRPr="00CD2C9F">
        <w:t>, 119</w:t>
      </w:r>
      <w:r w:rsidR="00CA0D7B">
        <w:t> </w:t>
      </w:r>
      <w:r w:rsidRPr="00CD2C9F">
        <w:t>FERC ¶</w:t>
      </w:r>
      <w:r w:rsidRPr="00CD2C9F">
        <w:t> </w:t>
      </w:r>
      <w:r w:rsidRPr="00CD2C9F">
        <w:t>61,340 at P</w:t>
      </w:r>
      <w:r w:rsidRPr="00CD2C9F">
        <w:t> </w:t>
      </w:r>
      <w:r w:rsidRPr="00CD2C9F">
        <w:t xml:space="preserve">15; </w:t>
      </w:r>
      <w:r w:rsidRPr="00CD2C9F">
        <w:rPr>
          <w:i/>
          <w:iCs/>
        </w:rPr>
        <w:t>Entergy Servs., Inc.</w:t>
      </w:r>
      <w:r w:rsidRPr="00CD2C9F">
        <w:t>, 113 FERC ¶</w:t>
      </w:r>
      <w:r w:rsidRPr="00CD2C9F">
        <w:t> </w:t>
      </w:r>
      <w:r w:rsidRPr="00CD2C9F">
        <w:t>61,040 at P</w:t>
      </w:r>
      <w:r w:rsidRPr="00CD2C9F">
        <w:t> </w:t>
      </w:r>
      <w:r w:rsidRPr="00CD2C9F">
        <w:t>38.</w:t>
      </w:r>
    </w:p>
  </w:footnote>
  <w:footnote w:id="35">
    <w:p w:rsidR="00D82909" w14:paraId="2A2C03AC" w14:textId="0FF6C62A">
      <w:pPr>
        <w:pStyle w:val="FootnoteText"/>
      </w:pPr>
      <w:r>
        <w:rPr>
          <w:rStyle w:val="FootnoteReference"/>
        </w:rPr>
        <w:footnoteRef/>
      </w:r>
      <w:r>
        <w:t xml:space="preserve"> </w:t>
      </w:r>
      <w:r w:rsidRPr="00C03506" w:rsidR="00C03506">
        <w:t>PJM Interconnection, L.L.C.</w:t>
      </w:r>
      <w:r w:rsidR="00C03506">
        <w:t xml:space="preserve">, </w:t>
      </w:r>
      <w:r w:rsidRPr="00C03506" w:rsidR="00C03506">
        <w:t>Intra-PJM Tariffs</w:t>
      </w:r>
      <w:r w:rsidR="00C03506">
        <w:t xml:space="preserve">, </w:t>
      </w:r>
      <w:r w:rsidRPr="00F019E6" w:rsidR="00F019E6">
        <w:t>OATT S</w:t>
      </w:r>
      <w:r w:rsidRPr="00F019E6" w:rsidR="00993D13">
        <w:t>chedule</w:t>
      </w:r>
      <w:r w:rsidRPr="00F019E6" w:rsidR="00F019E6">
        <w:t xml:space="preserve"> 2, </w:t>
      </w:r>
      <w:r w:rsidR="00993D13">
        <w:t xml:space="preserve">(Reactive Supply and Voltage Control from Generation or Other Sources Service) </w:t>
      </w:r>
      <w:r w:rsidRPr="00F019E6" w:rsidR="00F019E6">
        <w:t>(4.0.0)</w:t>
      </w:r>
      <w:r>
        <w:t>.</w:t>
      </w:r>
    </w:p>
  </w:footnote>
  <w:footnote w:id="36">
    <w:p w:rsidR="005B3817" w:rsidRPr="00CD2C9F" w:rsidP="005B3817" w14:paraId="7595AB42" w14:textId="2F2306BA">
      <w:pPr>
        <w:pStyle w:val="FootnoteText"/>
        <w:rPr>
          <w:i/>
          <w:iCs/>
        </w:rPr>
      </w:pPr>
      <w:r w:rsidRPr="00CD2C9F">
        <w:rPr>
          <w:rStyle w:val="FootnoteReference"/>
        </w:rPr>
        <w:footnoteRef/>
      </w:r>
      <w:r w:rsidRPr="00CD2C9F">
        <w:t xml:space="preserve"> The AEP Methodology derives its name from Opinion No. 440, where the Commission approved AEP’s, a vertically integrated utility, method for calculating the costs of synchronous generation equipment associated with the production of reactive power.  </w:t>
      </w:r>
      <w:r w:rsidRPr="00CD2C9F">
        <w:rPr>
          <w:i/>
        </w:rPr>
        <w:t>See</w:t>
      </w:r>
      <w:r w:rsidRPr="00CD2C9F">
        <w:rPr>
          <w:iCs/>
        </w:rPr>
        <w:t xml:space="preserve"> </w:t>
      </w:r>
      <w:r w:rsidRPr="00CD2C9F">
        <w:rPr>
          <w:i/>
          <w:iCs/>
        </w:rPr>
        <w:t>Am. Elec. Power Serv. Corp</w:t>
      </w:r>
      <w:r w:rsidRPr="00CD2C9F">
        <w:rPr>
          <w:iCs/>
        </w:rPr>
        <w:t>., Opinion No. 440, 88 FERC ¶ 61,141 (1999)</w:t>
      </w:r>
      <w:r w:rsidRPr="00BE2440">
        <w:rPr>
          <w:iCs/>
        </w:rPr>
        <w:t xml:space="preserve">, </w:t>
      </w:r>
      <w:r w:rsidRPr="00BE2440">
        <w:rPr>
          <w:i/>
          <w:iCs/>
        </w:rPr>
        <w:t>order on reh’g</w:t>
      </w:r>
      <w:r w:rsidRPr="00BE2440">
        <w:rPr>
          <w:iCs/>
        </w:rPr>
        <w:t>, 92 FERC ¶</w:t>
      </w:r>
      <w:r w:rsidR="00D374EE">
        <w:rPr>
          <w:iCs/>
        </w:rPr>
        <w:t> </w:t>
      </w:r>
      <w:r w:rsidRPr="00BE2440">
        <w:rPr>
          <w:iCs/>
        </w:rPr>
        <w:t>61,001 (2000)</w:t>
      </w:r>
      <w:r w:rsidRPr="00CD2C9F">
        <w:t>.  In</w:t>
      </w:r>
      <w:r w:rsidRPr="00CD2C9F">
        <w:t xml:space="preserve"> </w:t>
      </w:r>
      <w:r w:rsidRPr="00CD2C9F">
        <w:rPr>
          <w:i/>
        </w:rPr>
        <w:t>WPS Westwood</w:t>
      </w:r>
      <w:r w:rsidRPr="00CD2C9F">
        <w:t xml:space="preserve">, the Commission recommended that all generating facilities that have actual cost data and support documentation use the AEP Methodology.  </w:t>
      </w:r>
      <w:r w:rsidRPr="00CD2C9F">
        <w:rPr>
          <w:i/>
          <w:iCs/>
        </w:rPr>
        <w:t>See WPS Westwood Generation, LLC</w:t>
      </w:r>
      <w:r w:rsidRPr="00CD2C9F">
        <w:t>,</w:t>
      </w:r>
      <w:r>
        <w:t xml:space="preserve"> </w:t>
      </w:r>
      <w:r w:rsidRPr="00CD2C9F">
        <w:t>101</w:t>
      </w:r>
      <w:r w:rsidR="00CA0D7B">
        <w:t> </w:t>
      </w:r>
      <w:r w:rsidRPr="00CD2C9F">
        <w:t>FERC ¶ 61,290, at P 14 (2002)</w:t>
      </w:r>
      <w:r w:rsidRPr="00CD2C9F">
        <w:rPr>
          <w:i/>
          <w:iCs/>
        </w:rPr>
        <w:t>.</w:t>
      </w:r>
    </w:p>
  </w:footnote>
  <w:footnote w:id="37">
    <w:p w:rsidR="006101DD" w:rsidP="00993D13" w14:paraId="09D7F1A6" w14:textId="0BF836E0">
      <w:pPr>
        <w:pStyle w:val="FootnoteText"/>
        <w:widowControl/>
      </w:pPr>
      <w:r>
        <w:rPr>
          <w:rStyle w:val="FootnoteReference"/>
        </w:rPr>
        <w:footnoteRef/>
      </w:r>
      <w:r>
        <w:t xml:space="preserve"> </w:t>
      </w:r>
      <w:r w:rsidRPr="006101DD">
        <w:t>ISO New England Inc.</w:t>
      </w:r>
      <w:r>
        <w:t xml:space="preserve">, </w:t>
      </w:r>
      <w:r w:rsidRPr="006101DD">
        <w:t>ISO New England Inc. Transmission, Markets and Services Tariff</w:t>
      </w:r>
      <w:r>
        <w:t>,</w:t>
      </w:r>
      <w:r w:rsidRPr="0025088B" w:rsidR="0025088B">
        <w:t xml:space="preserve"> Schedule 2 </w:t>
      </w:r>
      <w:r w:rsidR="00993D13">
        <w:t>(</w:t>
      </w:r>
      <w:r w:rsidRPr="0025088B" w:rsidR="0025088B">
        <w:t>Reactive Supply and Voltage Control Service</w:t>
      </w:r>
      <w:r w:rsidR="00993D13">
        <w:t>)</w:t>
      </w:r>
      <w:r w:rsidRPr="0025088B" w:rsidR="0025088B">
        <w:t xml:space="preserve"> (8.0.0)</w:t>
      </w:r>
      <w:r w:rsidR="0025088B">
        <w:t>.</w:t>
      </w:r>
    </w:p>
  </w:footnote>
  <w:footnote w:id="38">
    <w:p w:rsidR="003162DC" w14:paraId="3C5E2BB8" w14:textId="3607732D">
      <w:pPr>
        <w:pStyle w:val="FootnoteText"/>
      </w:pPr>
      <w:r>
        <w:rPr>
          <w:rStyle w:val="FootnoteReference"/>
        </w:rPr>
        <w:footnoteRef/>
      </w:r>
      <w:r>
        <w:t xml:space="preserve"> </w:t>
      </w:r>
      <w:r w:rsidRPr="00A53751" w:rsidR="00A53751">
        <w:t>New York Independent System Operator, Inc.</w:t>
      </w:r>
      <w:r w:rsidR="00A53751">
        <w:t xml:space="preserve">, </w:t>
      </w:r>
      <w:r w:rsidRPr="00A53751" w:rsidR="00A53751">
        <w:t>NYISO Tariffs</w:t>
      </w:r>
      <w:r w:rsidR="00A53751">
        <w:t xml:space="preserve">, </w:t>
      </w:r>
      <w:r w:rsidRPr="00B4280A" w:rsidR="00B4280A">
        <w:t xml:space="preserve">NYISO OATT, </w:t>
      </w:r>
      <w:r w:rsidRPr="00993D13" w:rsidR="00993D13">
        <w:t>§</w:t>
      </w:r>
      <w:r w:rsidR="00993D13">
        <w:t xml:space="preserve"> </w:t>
      </w:r>
      <w:r w:rsidRPr="00B4280A" w:rsidR="00B4280A">
        <w:t xml:space="preserve">6.2 OATT Schedule 2 </w:t>
      </w:r>
      <w:r w:rsidR="00993D13">
        <w:t>(</w:t>
      </w:r>
      <w:r w:rsidRPr="00B4280A" w:rsidR="00B4280A">
        <w:t>Charges For Voltage Support Service</w:t>
      </w:r>
      <w:r w:rsidR="00993D13">
        <w:t>)</w:t>
      </w:r>
      <w:r w:rsidRPr="00B4280A" w:rsidR="00B4280A">
        <w:t xml:space="preserve"> (6.0.0</w:t>
      </w:r>
      <w:r w:rsidR="00B4280A">
        <w:t>).</w:t>
      </w:r>
    </w:p>
  </w:footnote>
  <w:footnote w:id="39">
    <w:p w:rsidR="005B3817" w:rsidRPr="00CD2C9F" w:rsidP="005B3817" w14:paraId="03C01773" w14:textId="5B33B27E">
      <w:pPr>
        <w:pStyle w:val="FootnoteText"/>
      </w:pPr>
      <w:r>
        <w:rPr>
          <w:rStyle w:val="FootnoteReference"/>
        </w:rPr>
        <w:footnoteRef/>
      </w:r>
      <w:r w:rsidR="00722478">
        <w:t xml:space="preserve"> </w:t>
      </w:r>
      <w:r w:rsidRPr="00722478" w:rsidR="00722478">
        <w:t xml:space="preserve">Both ISO-NE and NYISO proposed their respective reactive power capability compensation mechanisms pursuant to section 205 filings.  </w:t>
      </w:r>
      <w:r w:rsidRPr="00722478" w:rsidR="00722478">
        <w:rPr>
          <w:i/>
        </w:rPr>
        <w:t>See ISO New England Inc.</w:t>
      </w:r>
      <w:r w:rsidRPr="00722478" w:rsidR="00722478">
        <w:t>, 122 FERC ¶</w:t>
      </w:r>
      <w:r w:rsidR="00C05B45">
        <w:t> </w:t>
      </w:r>
      <w:r w:rsidRPr="00722478" w:rsidR="00722478">
        <w:t>61,056, at P</w:t>
      </w:r>
      <w:r w:rsidR="00C05B45">
        <w:t> </w:t>
      </w:r>
      <w:r w:rsidRPr="00722478" w:rsidR="00722478">
        <w:t xml:space="preserve">1 (2008) (settling, in part, for a new flat rate in $/kVAR-yr).  </w:t>
      </w:r>
      <w:r w:rsidRPr="00722478" w:rsidR="00722478">
        <w:rPr>
          <w:i/>
        </w:rPr>
        <w:t>N.Y. Indep. Sys. Operator, Inc.</w:t>
      </w:r>
      <w:r w:rsidRPr="00722478" w:rsidR="00722478">
        <w:t>, Docket No. ER02-617-000 (Feb. 5, 2002) (delegated order accepting NYISO’s amended Rate Schedule 2 of the Market Administration and Control Area Services Tariff).</w:t>
      </w:r>
    </w:p>
  </w:footnote>
  <w:footnote w:id="40">
    <w:p w:rsidR="005B3817" w:rsidRPr="00CD2C9F" w:rsidP="005B3817" w14:paraId="28F6205F" w14:textId="7DB4CFD0">
      <w:pPr>
        <w:pStyle w:val="FootnoteText"/>
      </w:pPr>
      <w:r w:rsidRPr="00CD2C9F">
        <w:rPr>
          <w:rStyle w:val="FootnoteReference"/>
        </w:rPr>
        <w:footnoteRef/>
      </w:r>
      <w:r w:rsidRPr="00CD2C9F">
        <w:t xml:space="preserve"> CAISO never provided compensation for reactive power within the standard power factor range.  </w:t>
      </w:r>
      <w:r w:rsidRPr="00CD2C9F">
        <w:rPr>
          <w:i/>
          <w:iCs/>
        </w:rPr>
        <w:t>See Cal. Indep. Sys. Operator Corp.</w:t>
      </w:r>
      <w:r w:rsidRPr="00CD2C9F">
        <w:t>, 160 FERC ¶ 61,035, at P 7 (2017) (explaining that CAISO considered the possibility of compensating generating facilities for reactive power in its stakeholder process, but decided against it, reasoning that the ability to provide reactive power is part of a generator’s fixed costs, which are recovered through power purchase agreements).</w:t>
      </w:r>
    </w:p>
  </w:footnote>
  <w:footnote w:id="41">
    <w:p w:rsidR="005B3817" w:rsidRPr="00CD2C9F" w:rsidP="005B3817" w14:paraId="0544A20D" w14:textId="465C0F3E">
      <w:pPr>
        <w:pStyle w:val="FootnoteText"/>
      </w:pPr>
      <w:r w:rsidRPr="00CD2C9F">
        <w:rPr>
          <w:rStyle w:val="FootnoteReference"/>
        </w:rPr>
        <w:footnoteRef/>
      </w:r>
      <w:r w:rsidRPr="00CD2C9F">
        <w:t xml:space="preserve"> </w:t>
      </w:r>
      <w:r w:rsidR="001F0D1A">
        <w:rPr>
          <w:i/>
          <w:iCs/>
        </w:rPr>
        <w:t>SPP</w:t>
      </w:r>
      <w:r w:rsidRPr="00CD2C9F">
        <w:t>, 119 FERC ¶ 61,199 at P 30.</w:t>
      </w:r>
    </w:p>
  </w:footnote>
  <w:footnote w:id="42">
    <w:p w:rsidR="005B3817" w:rsidRPr="00CD2C9F" w:rsidP="005B3817" w14:paraId="35096F6A" w14:textId="483B1A35">
      <w:pPr>
        <w:pStyle w:val="FootnoteText"/>
      </w:pPr>
      <w:r w:rsidRPr="00CD2C9F">
        <w:rPr>
          <w:rStyle w:val="FootnoteReference"/>
        </w:rPr>
        <w:footnoteRef/>
      </w:r>
      <w:r w:rsidRPr="00CD2C9F">
        <w:t xml:space="preserve"> </w:t>
      </w:r>
      <w:r w:rsidRPr="00CD2C9F">
        <w:rPr>
          <w:i/>
          <w:iCs/>
        </w:rPr>
        <w:t>MISO</w:t>
      </w:r>
      <w:r w:rsidRPr="00CD2C9F">
        <w:t>, 182 FERC ¶ 61,033 at PP 52-66; MISO Rehearing Order, 184 FERC ¶ 61,022 at PP 23-55.</w:t>
      </w:r>
    </w:p>
  </w:footnote>
  <w:footnote w:id="43">
    <w:p w:rsidR="005B3817" w:rsidRPr="00CD2C9F" w:rsidP="00D374EE" w14:paraId="4604132B" w14:textId="59452223">
      <w:pPr>
        <w:pStyle w:val="FootnoteText"/>
        <w:spacing w:before="144"/>
      </w:pPr>
      <w:r w:rsidRPr="00CD2C9F">
        <w:rPr>
          <w:rStyle w:val="FootnoteReference"/>
        </w:rPr>
        <w:footnoteRef/>
      </w:r>
      <w:r w:rsidRPr="00CD2C9F">
        <w:t xml:space="preserve"> </w:t>
      </w:r>
      <w:r w:rsidRPr="00CD2C9F">
        <w:rPr>
          <w:i/>
          <w:iCs/>
        </w:rPr>
        <w:t>See, e.g.</w:t>
      </w:r>
      <w:r w:rsidRPr="00CD2C9F">
        <w:t xml:space="preserve">, Arizona Public Service Company, </w:t>
      </w:r>
      <w:r w:rsidRPr="008C15C1">
        <w:t>FERC Electric Tariff Vol. No. 2, Schedule 2</w:t>
      </w:r>
      <w:r>
        <w:t xml:space="preserve"> </w:t>
      </w:r>
      <w:r w:rsidRPr="008C15C1">
        <w:t>(Reactive Supply and Voltage Control from</w:t>
      </w:r>
      <w:r>
        <w:t xml:space="preserve"> Generation or Other Sources Service</w:t>
      </w:r>
      <w:r w:rsidRPr="008C15C1">
        <w:t>)</w:t>
      </w:r>
      <w:r w:rsidRPr="00CD2C9F">
        <w:t xml:space="preserve"> (6.0.0) (“This service will be provided at no charge until </w:t>
      </w:r>
      <w:r w:rsidR="005435EE">
        <w:t>[Arizona Public Service Company]</w:t>
      </w:r>
      <w:r w:rsidRPr="00CD2C9F">
        <w:t xml:space="preserve"> has developed a rate that has been filed with the Commission and allowed to be implemented; however, Transmission Customers taking service at transmission voltage levels shall be responsible for maintaining a power factor of ± 95.0%, and Transmission Customers taking service at distribution voltage levels shall maintain a power factor of not less than 90% lagging</w:t>
      </w:r>
      <w:r w:rsidRPr="00CD2C9F">
        <w:rPr>
          <w:b/>
          <w:bCs/>
        </w:rPr>
        <w:t xml:space="preserve"> </w:t>
      </w:r>
      <w:r w:rsidRPr="00CD2C9F">
        <w:t xml:space="preserve">but in no event leading, unless agreed to by </w:t>
      </w:r>
      <w:r w:rsidR="00D44867">
        <w:t>[Arizona Public Service Company]</w:t>
      </w:r>
      <w:r w:rsidRPr="00CD2C9F">
        <w:t>.”); Public Service Company of</w:t>
      </w:r>
      <w:r>
        <w:t xml:space="preserve"> </w:t>
      </w:r>
      <w:r w:rsidRPr="00CD2C9F">
        <w:t xml:space="preserve">New Mexico, PNM Open Access Transmission Tariff, Schedule 2 </w:t>
      </w:r>
      <w:r>
        <w:t>(</w:t>
      </w:r>
      <w:r w:rsidRPr="00CD2C9F">
        <w:t>Reactive Supply and Voltage Control from Generation or Other Sources Service</w:t>
      </w:r>
      <w:r>
        <w:t>)</w:t>
      </w:r>
      <w:r w:rsidRPr="00CD2C9F">
        <w:t xml:space="preserve"> (2.1.0) (“As of October 1, 2021, the Effective Date of this Schedule 2, the Transmission Provider is not charging for Reactive Supply and Voltage Control from Generation or Other Sources Service from its own resources.  As a result, there will be no separate charge for such service.”).</w:t>
      </w:r>
    </w:p>
  </w:footnote>
  <w:footnote w:id="44">
    <w:p w:rsidR="00FF3E2F" w:rsidRPr="00CD2C9F" w:rsidP="00FF3E2F" w14:paraId="5153FC8E" w14:textId="1FC4D462">
      <w:pPr>
        <w:pStyle w:val="FootnoteText"/>
      </w:pPr>
      <w:r w:rsidRPr="00CD2C9F">
        <w:rPr>
          <w:rStyle w:val="FootnoteReference"/>
        </w:rPr>
        <w:footnoteRef/>
      </w:r>
      <w:r w:rsidRPr="00CD2C9F">
        <w:t xml:space="preserve"> </w:t>
      </w:r>
      <w:r w:rsidR="0094767A">
        <w:rPr>
          <w:i/>
          <w:iCs/>
        </w:rPr>
        <w:t>Reactive Power Capability Compensation</w:t>
      </w:r>
      <w:r w:rsidR="0094767A">
        <w:t xml:space="preserve">, </w:t>
      </w:r>
      <w:r w:rsidR="003760DB">
        <w:t>Notice of Inquiry</w:t>
      </w:r>
      <w:r w:rsidRPr="00CD2C9F">
        <w:t>, 177 FERC ¶ 61,118</w:t>
      </w:r>
      <w:r w:rsidR="00730615">
        <w:t xml:space="preserve"> (2021)</w:t>
      </w:r>
      <w:r w:rsidR="00C90DCF">
        <w:t xml:space="preserve"> (NOI)</w:t>
      </w:r>
      <w:r w:rsidRPr="00CD2C9F">
        <w:t>.</w:t>
      </w:r>
    </w:p>
  </w:footnote>
  <w:footnote w:id="45">
    <w:p w:rsidR="00FF3E2F" w:rsidRPr="00CD2C9F" w:rsidP="00FF3E2F" w14:paraId="1E0CBCA3" w14:textId="4BBF9CFE">
      <w:pPr>
        <w:pStyle w:val="FootnoteText"/>
      </w:pPr>
      <w:r w:rsidRPr="00CD2C9F">
        <w:rPr>
          <w:rStyle w:val="FootnoteReference"/>
        </w:rPr>
        <w:footnoteRef/>
      </w:r>
      <w:r w:rsidRPr="00CD2C9F">
        <w:t xml:space="preserve"> </w:t>
      </w:r>
      <w:r w:rsidRPr="00CD2C9F">
        <w:rPr>
          <w:i/>
          <w:iCs/>
        </w:rPr>
        <w:t>Id.</w:t>
      </w:r>
      <w:r w:rsidRPr="00D374EE">
        <w:t xml:space="preserve"> </w:t>
      </w:r>
      <w:r w:rsidRPr="00CD2C9F">
        <w:t>P 19.</w:t>
      </w:r>
    </w:p>
  </w:footnote>
  <w:footnote w:id="46">
    <w:p w:rsidR="00652A0E" w:rsidRPr="00CD2C9F" w:rsidP="00652A0E" w14:paraId="776ED8D5" w14:textId="1FCEC173">
      <w:pPr>
        <w:pStyle w:val="FootnoteText"/>
        <w:widowControl/>
      </w:pPr>
      <w:r w:rsidRPr="00CD2C9F">
        <w:rPr>
          <w:rStyle w:val="FootnoteReference"/>
        </w:rPr>
        <w:footnoteRef/>
      </w:r>
      <w:r w:rsidRPr="00CD2C9F">
        <w:t xml:space="preserve"> Real power, which accomplishes useful work (</w:t>
      </w:r>
      <w:r w:rsidRPr="00C06B6B">
        <w:rPr>
          <w:iCs/>
        </w:rPr>
        <w:t>e.g.</w:t>
      </w:r>
      <w:r w:rsidRPr="00CD2C9F">
        <w:t>, runs motors), is typically measured in MW</w:t>
      </w:r>
      <w:r w:rsidR="009C2ADA">
        <w:t>s</w:t>
      </w:r>
      <w:r w:rsidRPr="00CD2C9F">
        <w:t>.</w:t>
      </w:r>
    </w:p>
  </w:footnote>
  <w:footnote w:id="47">
    <w:p w:rsidR="000D3677" w:rsidRPr="00CD2C9F" w:rsidP="000D3677" w14:paraId="34DD7FA9" w14:textId="77777777">
      <w:pPr>
        <w:pStyle w:val="FootnoteText"/>
      </w:pPr>
      <w:r w:rsidRPr="00CD2C9F">
        <w:rPr>
          <w:rStyle w:val="FootnoteReference"/>
        </w:rPr>
        <w:footnoteRef/>
      </w:r>
      <w:r w:rsidRPr="00CD2C9F">
        <w:t xml:space="preserve"> 16 U.S.C. 824e.</w:t>
      </w:r>
    </w:p>
  </w:footnote>
  <w:footnote w:id="48">
    <w:p w:rsidR="00652A0E" w:rsidRPr="00CD2C9F" w:rsidP="00652A0E" w14:paraId="269A3447" w14:textId="77777777">
      <w:pPr>
        <w:pStyle w:val="FootnoteText"/>
      </w:pPr>
      <w:r w:rsidRPr="00CD2C9F">
        <w:rPr>
          <w:rStyle w:val="FootnoteReference"/>
        </w:rPr>
        <w:footnoteRef/>
      </w:r>
      <w:r w:rsidRPr="00CD2C9F">
        <w:t xml:space="preserve"> </w:t>
      </w:r>
      <w:r w:rsidRPr="00CD2C9F">
        <w:rPr>
          <w:i/>
          <w:iCs/>
        </w:rPr>
        <w:t>See</w:t>
      </w:r>
      <w:r w:rsidRPr="00CD2C9F">
        <w:t xml:space="preserve"> </w:t>
      </w:r>
      <w:r w:rsidRPr="00CD2C9F">
        <w:rPr>
          <w:i/>
          <w:iCs/>
        </w:rPr>
        <w:t>pro forma</w:t>
      </w:r>
      <w:r w:rsidRPr="00CD2C9F">
        <w:t xml:space="preserve"> OATT, Schedule 2.</w:t>
      </w:r>
    </w:p>
  </w:footnote>
  <w:footnote w:id="49">
    <w:p w:rsidR="00652A0E" w:rsidRPr="00CD2C9F" w:rsidP="00652A0E" w14:paraId="04D43D39" w14:textId="389F5C88">
      <w:pPr>
        <w:pStyle w:val="FootnoteText"/>
      </w:pPr>
      <w:r w:rsidRPr="00CD2C9F">
        <w:rPr>
          <w:rStyle w:val="FootnoteReference"/>
        </w:rPr>
        <w:footnoteRef/>
      </w:r>
      <w:r w:rsidRPr="00CD2C9F">
        <w:t xml:space="preserve"> </w:t>
      </w:r>
      <w:r w:rsidRPr="00CD2C9F">
        <w:rPr>
          <w:i/>
          <w:iCs/>
        </w:rPr>
        <w:t>See</w:t>
      </w:r>
      <w:r w:rsidRPr="00CD2C9F">
        <w:t xml:space="preserve"> </w:t>
      </w:r>
      <w:r w:rsidRPr="00CD2C9F">
        <w:rPr>
          <w:i/>
          <w:iCs/>
        </w:rPr>
        <w:t>pro forma</w:t>
      </w:r>
      <w:r w:rsidRPr="00CD2C9F">
        <w:t xml:space="preserve"> LGIA, § 9.6.3.</w:t>
      </w:r>
    </w:p>
  </w:footnote>
  <w:footnote w:id="50">
    <w:p w:rsidR="00652A0E" w:rsidRPr="00CD2C9F" w:rsidP="00652A0E" w14:paraId="5D3D5460" w14:textId="4B4F0F07">
      <w:pPr>
        <w:pStyle w:val="FootnoteText"/>
      </w:pPr>
      <w:r w:rsidRPr="00CD2C9F">
        <w:rPr>
          <w:rStyle w:val="FootnoteReference"/>
        </w:rPr>
        <w:footnoteRef/>
      </w:r>
      <w:r w:rsidRPr="00CD2C9F">
        <w:t xml:space="preserve"> </w:t>
      </w:r>
      <w:r w:rsidRPr="00CD2C9F">
        <w:rPr>
          <w:i/>
          <w:iCs/>
        </w:rPr>
        <w:t>See pro forma</w:t>
      </w:r>
      <w:r w:rsidRPr="00CD2C9F">
        <w:t xml:space="preserve"> SGIA, § 1.8.2.</w:t>
      </w:r>
    </w:p>
  </w:footnote>
  <w:footnote w:id="51">
    <w:p w:rsidR="000B1F36" w14:paraId="1AFFBC97" w14:textId="30ED8E69">
      <w:pPr>
        <w:pStyle w:val="FootnoteText"/>
      </w:pPr>
      <w:r>
        <w:rPr>
          <w:rStyle w:val="FootnoteReference"/>
        </w:rPr>
        <w:footnoteRef/>
      </w:r>
      <w:r>
        <w:t xml:space="preserve"> </w:t>
      </w:r>
      <w:r w:rsidRPr="00CC6424" w:rsidR="004933FD">
        <w:rPr>
          <w:i/>
          <w:iCs/>
        </w:rPr>
        <w:t>See</w:t>
      </w:r>
      <w:r w:rsidR="004933FD">
        <w:t xml:space="preserve"> </w:t>
      </w:r>
      <w:r w:rsidR="00993D13">
        <w:t>a</w:t>
      </w:r>
      <w:r w:rsidR="004933FD">
        <w:t>pp</w:t>
      </w:r>
      <w:r w:rsidR="00993D13">
        <w:t>.</w:t>
      </w:r>
      <w:r w:rsidR="004933FD">
        <w:t xml:space="preserve"> A.</w:t>
      </w:r>
    </w:p>
  </w:footnote>
  <w:footnote w:id="52">
    <w:p w:rsidR="00BD62A7" w14:paraId="04B27D17" w14:textId="61751B9F">
      <w:pPr>
        <w:pStyle w:val="FootnoteText"/>
      </w:pPr>
      <w:r>
        <w:rPr>
          <w:rStyle w:val="FootnoteReference"/>
        </w:rPr>
        <w:footnoteRef/>
      </w:r>
      <w:r>
        <w:t xml:space="preserve"> </w:t>
      </w:r>
      <w:r w:rsidRPr="00BD62A7">
        <w:t xml:space="preserve">C T Gaunt states that </w:t>
      </w:r>
      <w:r w:rsidRPr="00BD62A7">
        <w:rPr>
          <w:lang w:val="en-ZA"/>
        </w:rPr>
        <w:t>reactive power cannot be delivered and also that it cannot be lost in transmission through a transformer or power system.  Thus, C T Gaunt claims that there are no grounds for arguing against the Commission’s determination in the NOPR.</w:t>
      </w:r>
      <w:r>
        <w:rPr>
          <w:lang w:val="en-ZA"/>
        </w:rPr>
        <w:t xml:space="preserve">  </w:t>
      </w:r>
      <w:r>
        <w:t>C T Gaunt Reply Comments at 2-3.</w:t>
      </w:r>
    </w:p>
  </w:footnote>
  <w:footnote w:id="53">
    <w:p w:rsidR="00C1498E" w14:paraId="7C1937DE" w14:textId="48F538AA">
      <w:pPr>
        <w:pStyle w:val="FootnoteText"/>
      </w:pPr>
      <w:r>
        <w:rPr>
          <w:rStyle w:val="FootnoteReference"/>
        </w:rPr>
        <w:footnoteRef/>
      </w:r>
      <w:r>
        <w:t xml:space="preserve"> </w:t>
      </w:r>
      <w:r w:rsidR="003F0A0E">
        <w:t>American Electric Power</w:t>
      </w:r>
      <w:r w:rsidR="003052D0">
        <w:t xml:space="preserve"> Service Corporation</w:t>
      </w:r>
      <w:r w:rsidR="003F0A0E">
        <w:t xml:space="preserve"> (</w:t>
      </w:r>
      <w:r w:rsidR="00E82BA5">
        <w:t>AEP</w:t>
      </w:r>
      <w:r w:rsidR="003F0A0E">
        <w:t>)</w:t>
      </w:r>
      <w:r w:rsidR="00E82BA5">
        <w:t xml:space="preserve"> (</w:t>
      </w:r>
      <w:r w:rsidRPr="00504C1D" w:rsidR="00E82BA5">
        <w:t>on behalf of itself and its affiliates, including Appalachian Power Company, Indiana Michigan Power Company, Kentucky Power Company, Kingsport Power Company, Ohio Power Company, Wheeling Power Company, Public Service Company of Oklahoma, Southwestern Electric Power Company, AEP Appalachian Transmission Company, Inc., AEP Indiana Michigan Transmission Company, Inc., AEP Kentucky Transmission Company, Inc., AEP Ohio Transmission Company, Inc., AEP West Virginia Transmission Company, Inc., AEP Oklahoma Transmission Company, Inc., and AEP Southwestern Transmission Company, Inc.</w:t>
      </w:r>
      <w:r w:rsidR="00E82BA5">
        <w:t xml:space="preserve">); Ameren </w:t>
      </w:r>
      <w:r w:rsidR="0071563E">
        <w:t xml:space="preserve">Service </w:t>
      </w:r>
      <w:r w:rsidR="00696860">
        <w:t>Company (Ameren)</w:t>
      </w:r>
      <w:r w:rsidR="00E82BA5">
        <w:t xml:space="preserve"> </w:t>
      </w:r>
      <w:r w:rsidRPr="00504C1D" w:rsidR="00E82BA5">
        <w:t>(on behalf of Ameren Illinois Company d/b/a Ameren Illinois, Union Electric Company d/b/a Ameren Missouri and Ameren Transmission Company of Illinois)</w:t>
      </w:r>
      <w:r w:rsidR="00E82BA5">
        <w:t xml:space="preserve">; </w:t>
      </w:r>
      <w:r w:rsidR="00C83B81">
        <w:t xml:space="preserve">C T Gaunt; </w:t>
      </w:r>
      <w:r w:rsidR="00E82BA5">
        <w:t>New England Consumer Advocates (</w:t>
      </w:r>
      <w:r w:rsidRPr="00504C1D" w:rsidR="00E82BA5">
        <w:t>consisting of the Office of Massachusetts Attorney General Andrea Joy Campbell, the Connecticut Office of Consumer Counsel, the Maine Office of Public Advocate, the New Hampshire Office of Consumer Advocate, and the Rhode Island Division of Public Utilities and Carriers</w:t>
      </w:r>
      <w:r w:rsidR="00E82BA5">
        <w:t>); Joint Consumer Advocates (</w:t>
      </w:r>
      <w:r w:rsidRPr="00504C1D" w:rsidR="00E82BA5">
        <w:t>including the Illinois Attorney General, Illinois Citizens Utility Board, Maryland Office of People’s Counsel, the New Jersey Division of Rate Counsel, the North Carolina Utilities Commission Public Staff, the Office of the People’s Counsel for the District of Columbia, and the West Virginia Consumer Advocate Division of the Public Service Commission</w:t>
      </w:r>
      <w:r w:rsidR="00E82BA5">
        <w:t>), Joint Customers (</w:t>
      </w:r>
      <w:r w:rsidRPr="00504C1D" w:rsidR="00E82BA5">
        <w:t>including Old Dominion Electric Cooperative, Northern Virginia Electric Cooperative, Inc., and Dominion Energy Services, Inc. on behalf of Virginia Electric and Power Company d/b/a Dominion Energy Virginia</w:t>
      </w:r>
      <w:r w:rsidR="00E82BA5">
        <w:t>)</w:t>
      </w:r>
      <w:r w:rsidR="008F6449">
        <w:t xml:space="preserve">; </w:t>
      </w:r>
      <w:r w:rsidRPr="00BC1F48" w:rsidR="008F6449">
        <w:t>Liberty Utilities (Granite State Electric) Corp. d/b/a Liberty</w:t>
      </w:r>
      <w:r w:rsidR="00CC0FA1">
        <w:t xml:space="preserve"> (Liberty)</w:t>
      </w:r>
      <w:r w:rsidR="008F6449">
        <w:t>;</w:t>
      </w:r>
      <w:r w:rsidRPr="00C34CC0" w:rsidR="00C34CC0">
        <w:t xml:space="preserve"> </w:t>
      </w:r>
      <w:r w:rsidR="00C34CC0">
        <w:t>MISO;</w:t>
      </w:r>
      <w:r w:rsidR="00E82BA5">
        <w:t xml:space="preserve"> MISO Transmission Owners (</w:t>
      </w:r>
      <w:r w:rsidRPr="00504C1D" w:rsidR="00E82BA5">
        <w:t>including Ameren, as agent for Union Electric Company d/b/a Ameren Missouri, Ameren Illinois Company d/b/a Ameren Illinois, and Ameren Transmission Company of Illinois; Arkansas Electric Cooperative Corporation; City Water, Light &amp; Power; Cooperative Energy; Dairyland Power Cooperative; East Texas Electric Cooperative; Entergy Arkansas, LLC; Entergy Louisiana, LLC; Entergy Mississippi, LLC; Entergy Texas, Inc.; Great River Energy; Indianapolis Power &amp; Light Company; Lafayette Utilities System; MidAmerican Energy Company; Minnesota Power (and its subsidiary Superior Water, L&amp;P); Missouri River Energy Services; Montana-Dakota Utilities Co.; Northern States Power Company, a Minnesota corporation, and Northern States Power Company, a Wisconsin corporation, subsidiaries of Xcel Energy Inc.; Northwestern Wisconsin Electric Company; Otter Tail Power Company; Prairie Power, Inc.; Southern Indiana Gas &amp; Electric Company (d/b/a CenterPoint Energy Indiana South); and Southern Minnesota Municipal Power Agency</w:t>
      </w:r>
      <w:r w:rsidR="00E82BA5">
        <w:t>); the Ohio Office of the Federal Energy Advocate of the Public Utilities Commission of Ohio</w:t>
      </w:r>
      <w:r w:rsidR="00732068">
        <w:t xml:space="preserve"> (Ohio FEA)</w:t>
      </w:r>
      <w:r w:rsidR="00E82BA5">
        <w:t>; Portland General Electric Company</w:t>
      </w:r>
      <w:r w:rsidR="00DD6870">
        <w:t xml:space="preserve"> (PGE)</w:t>
      </w:r>
      <w:r w:rsidR="00E82BA5">
        <w:t xml:space="preserve">; </w:t>
      </w:r>
      <w:r w:rsidR="00E7495F">
        <w:t xml:space="preserve">PJM; </w:t>
      </w:r>
      <w:r w:rsidR="00526532">
        <w:t xml:space="preserve">the </w:t>
      </w:r>
      <w:r w:rsidR="00E82BA5">
        <w:t>PJM IMM; the Transmission Access Policy Study Group</w:t>
      </w:r>
      <w:r w:rsidR="00AA3EB3">
        <w:t xml:space="preserve"> (</w:t>
      </w:r>
      <w:r w:rsidR="00CC58A4">
        <w:t>TAPS)</w:t>
      </w:r>
      <w:r w:rsidR="00AA3EB3">
        <w:t xml:space="preserve"> (</w:t>
      </w:r>
      <w:r w:rsidR="001D0DA7">
        <w:t xml:space="preserve">an association of transmission dependent </w:t>
      </w:r>
      <w:r w:rsidR="006F2FAF">
        <w:t>utilities in 35 states)</w:t>
      </w:r>
      <w:r w:rsidR="00E82BA5">
        <w:t>.</w:t>
      </w:r>
      <w:r w:rsidR="00F73085">
        <w:t xml:space="preserve">  </w:t>
      </w:r>
      <w:r w:rsidR="00FB3F2C">
        <w:t>For convenience, we</w:t>
      </w:r>
      <w:r w:rsidR="00C5598A">
        <w:t xml:space="preserve"> have listed </w:t>
      </w:r>
      <w:r w:rsidR="00904163">
        <w:t xml:space="preserve">each </w:t>
      </w:r>
      <w:r w:rsidR="00BF1DC9">
        <w:t xml:space="preserve">commenter and the parties </w:t>
      </w:r>
      <w:r w:rsidR="00801FDD">
        <w:t>they represent</w:t>
      </w:r>
      <w:r w:rsidR="001D14A1">
        <w:t>.</w:t>
      </w:r>
      <w:r w:rsidR="003D768E">
        <w:t xml:space="preserve">  </w:t>
      </w:r>
      <w:r w:rsidR="00591E62">
        <w:t>For</w:t>
      </w:r>
      <w:r w:rsidR="003D768E">
        <w:t xml:space="preserve"> </w:t>
      </w:r>
      <w:r w:rsidR="00591E62">
        <w:t xml:space="preserve">brevity, for </w:t>
      </w:r>
      <w:r w:rsidR="003D768E">
        <w:t>the remainder of this rule, we will refer</w:t>
      </w:r>
      <w:r w:rsidR="00591E62">
        <w:t xml:space="preserve"> to each commenter by their abbreviated names as defined in this footnote.</w:t>
      </w:r>
    </w:p>
  </w:footnote>
  <w:footnote w:id="54">
    <w:p w:rsidR="00C1498E" w14:paraId="1E85AFFF" w14:textId="23764592">
      <w:pPr>
        <w:pStyle w:val="FootnoteText"/>
      </w:pPr>
      <w:r>
        <w:rPr>
          <w:rStyle w:val="FootnoteReference"/>
        </w:rPr>
        <w:footnoteRef/>
      </w:r>
      <w:r>
        <w:t xml:space="preserve"> </w:t>
      </w:r>
      <w:r w:rsidRPr="00AE4CF1" w:rsidR="00AE4CF1">
        <w:t xml:space="preserve">The American Council on Renewable Energy (ACORE); Calpine Corporation (Calpine); Eagle Creek Reactive Generators (including Mahoning Creek Hydroelectric Company, LLC, York Haven Power Company, LLC, Eagle Creek Reusens Hydro, LLC, Great Falls Hydroelectric Company Limited Partnership, Lake Lynn Generation, LLC, PE Hydro Generation, LLC, Black River Hydroelectric, LLC, All Dams Generation, LLC, and Eagle Creek Hydro Power, LLC); EDP Renewables North America LLC (EDPR); Elevate Renewables F7, LLC (Elevate); Generation Developers (including Vistra Corp. and Dynegy Marketing and Trade, LLC); Glenvale LLC (Glenvale); Indicated Reactive Power Suppliers (including KMC Thermo, LLC, Bitter Ridge Wind Farm, LLC, Guernsey Power Station LLC, Moxie Freedom LLC, Safe Harbor Water Power Corporation, BIF III Holtwood LLC, Brookfield Power Piney &amp; Deep Creek LLC, Erie Boulevard Hydropower, L.P., Carr Street Generating Station, L.P., Bear Swamp Power Company LLC, Brookfield White Pine Hydro LLC, Brookfield Renewable Trading and Marketing LP, and Reworld Waste, LLC f/k/a Covanta; </w:t>
      </w:r>
      <w:r w:rsidRPr="00B37DB9" w:rsidR="00B37DB9">
        <w:t>Independent Power Producers of New York, Inc. (IPPNY)</w:t>
      </w:r>
      <w:r w:rsidR="00B37DB9">
        <w:t xml:space="preserve">; </w:t>
      </w:r>
      <w:r w:rsidRPr="00AE4CF1" w:rsidR="00AE4CF1">
        <w:t>Indicated Trade Associations (including Electric Power Supply Association, The PJM Power Providers Group the New England Power Generators Association, Inc., Independent Power Producers of New York, Inc., the Coalition of Midwest Power Producers); ISO</w:t>
      </w:r>
      <w:r w:rsidR="00B434DC">
        <w:t>-NE</w:t>
      </w:r>
      <w:r w:rsidRPr="00AE4CF1" w:rsidR="00AE4CF1">
        <w:t>; Middle River Power LLC (including Coalition of Midwest Power Producers, the Electric Power Supply Association, the PJM Power Providers Group, the New England Power Generators Association, Inc., and the Independent Power Producers</w:t>
      </w:r>
      <w:r w:rsidR="002848B8">
        <w:t xml:space="preserve"> of New York, Inc.</w:t>
      </w:r>
      <w:r w:rsidR="00836D7C">
        <w:t xml:space="preserve">); </w:t>
      </w:r>
      <w:r w:rsidRPr="00B41D35" w:rsidR="00B41D35">
        <w:t>National Hydropower Association (NHA)</w:t>
      </w:r>
      <w:r w:rsidR="00B41D35">
        <w:t xml:space="preserve"> (a national trade association with over 320 member companies); </w:t>
      </w:r>
      <w:r w:rsidRPr="00686CA8" w:rsidR="00686CA8">
        <w:t>New England Power Generators Association, Inc. (NEPGA)</w:t>
      </w:r>
      <w:r w:rsidR="00686CA8">
        <w:t xml:space="preserve">; </w:t>
      </w:r>
      <w:r w:rsidRPr="005A7299" w:rsidR="005A7299">
        <w:t>New England Power Pool (NEPOOL)</w:t>
      </w:r>
      <w:r w:rsidR="005A7299">
        <w:t xml:space="preserve">; </w:t>
      </w:r>
      <w:r w:rsidRPr="00005366" w:rsidR="00005366">
        <w:t>New England States Committee on Electricity (NESCOE</w:t>
      </w:r>
      <w:r w:rsidRPr="00686CA8" w:rsidR="00686CA8">
        <w:t>)</w:t>
      </w:r>
      <w:r w:rsidR="00686CA8">
        <w:t xml:space="preserve">; </w:t>
      </w:r>
      <w:r w:rsidRPr="00EE3FDA" w:rsidR="00EE3FDA">
        <w:t>Nuclear Energy Institute (NEI)</w:t>
      </w:r>
      <w:r w:rsidR="00EE3FDA">
        <w:t xml:space="preserve">; </w:t>
      </w:r>
      <w:r w:rsidRPr="00711655" w:rsidR="00711655">
        <w:t>North American Generator Forum (NAGF)</w:t>
      </w:r>
      <w:r w:rsidR="00B87384">
        <w:t xml:space="preserve">; </w:t>
      </w:r>
      <w:r w:rsidRPr="00AD2561" w:rsidR="00AD2561">
        <w:t>NYISO</w:t>
      </w:r>
      <w:r w:rsidR="00124A60">
        <w:t xml:space="preserve">; </w:t>
      </w:r>
      <w:r w:rsidR="00244B66">
        <w:t>Onward Energy Holdings</w:t>
      </w:r>
      <w:r w:rsidR="003C150A">
        <w:t>, LLC</w:t>
      </w:r>
      <w:r w:rsidR="000D2825">
        <w:t xml:space="preserve"> (Onward Energy)</w:t>
      </w:r>
      <w:r w:rsidR="003C150A">
        <w:t xml:space="preserve">; </w:t>
      </w:r>
      <w:r w:rsidRPr="00921E06" w:rsidR="00124A60">
        <w:t>PSEG</w:t>
      </w:r>
      <w:r w:rsidR="00124A60">
        <w:t xml:space="preserve"> (including </w:t>
      </w:r>
      <w:r w:rsidRPr="006C6D26" w:rsidR="006C6D26">
        <w:t>Public Service Electric and Gas Company, PSEG Power LLC, and PSEG</w:t>
      </w:r>
      <w:r w:rsidR="006C6D26">
        <w:t xml:space="preserve"> </w:t>
      </w:r>
      <w:r w:rsidRPr="006C6D26" w:rsidR="006C6D26">
        <w:t>Energy Resources &amp; Trade LLC, and each wholly</w:t>
      </w:r>
      <w:r w:rsidR="009E0C93">
        <w:t xml:space="preserve"> </w:t>
      </w:r>
      <w:r w:rsidRPr="006C6D26" w:rsidR="006C6D26">
        <w:t>owned, direct or indirect subsidiaries of Public</w:t>
      </w:r>
      <w:r w:rsidR="006C6D26">
        <w:t xml:space="preserve"> </w:t>
      </w:r>
      <w:r w:rsidRPr="006C6D26" w:rsidR="006C6D26">
        <w:t>Service Enterprise Group Incorporated</w:t>
      </w:r>
      <w:r w:rsidR="00124A60">
        <w:t>)</w:t>
      </w:r>
      <w:r w:rsidR="00EF00D2">
        <w:t xml:space="preserve"> (PSEG</w:t>
      </w:r>
      <w:r w:rsidR="00124A60">
        <w:t>);</w:t>
      </w:r>
      <w:r w:rsidR="006C6D26">
        <w:t xml:space="preserve"> </w:t>
      </w:r>
      <w:r w:rsidR="002C770D">
        <w:t>Reactive Service Providers (including</w:t>
      </w:r>
      <w:r w:rsidRPr="002C770D" w:rsidR="002C770D">
        <w:t xml:space="preserve"> CIP, D. E. Shaw Renewable Investments, L.L.C., Invenergy Renewables LLC, Leeward Renewable Energy, LLC, Lightsource Renewable Energy Operations, LLC, NextEra Energy Resources, LLC,1 Ørsted Wind Power North America, LLC, and RWE Clean Energy, LLC</w:t>
      </w:r>
      <w:r w:rsidR="002C770D">
        <w:t>);</w:t>
      </w:r>
      <w:r w:rsidR="00414334">
        <w:t xml:space="preserve"> </w:t>
      </w:r>
      <w:r w:rsidR="00B47261">
        <w:t xml:space="preserve">Clean Energy Associations (including </w:t>
      </w:r>
      <w:r w:rsidRPr="00414334" w:rsidR="00414334">
        <w:t>Solar Energy Industries Association</w:t>
      </w:r>
      <w:r w:rsidR="00414334">
        <w:t xml:space="preserve"> (SEIA)</w:t>
      </w:r>
      <w:r w:rsidR="00B47261">
        <w:t xml:space="preserve"> and </w:t>
      </w:r>
      <w:r w:rsidRPr="00AA3EB3" w:rsidR="00AA3EB3">
        <w:t>American Clean Power Association (ACP</w:t>
      </w:r>
      <w:r w:rsidR="00AA3EB3">
        <w:t>)).</w:t>
      </w:r>
      <w:r w:rsidR="00591E62">
        <w:t xml:space="preserve">  For brevity, for the remainder of this rule, we will refer to each commenter by their abbreviated names as defined in this footnote.</w:t>
      </w:r>
    </w:p>
  </w:footnote>
  <w:footnote w:id="55">
    <w:p w:rsidR="005B23F9" w:rsidP="005B23F9" w14:paraId="7E0B385F" w14:textId="088F5530">
      <w:pPr>
        <w:pStyle w:val="FootnoteText"/>
      </w:pPr>
      <w:r>
        <w:rPr>
          <w:rStyle w:val="FootnoteReference"/>
        </w:rPr>
        <w:footnoteRef/>
      </w:r>
      <w:r>
        <w:t xml:space="preserve"> Order No. 888</w:t>
      </w:r>
      <w:r w:rsidR="00014401">
        <w:t xml:space="preserve">, </w:t>
      </w:r>
      <w:r w:rsidRPr="003D6628" w:rsidR="00014401">
        <w:t>FERC Stats. &amp; Regs. ¶ 31,036</w:t>
      </w:r>
      <w:r>
        <w:t xml:space="preserve"> at 31,654 (“</w:t>
      </w:r>
      <w:r w:rsidRPr="005B23F9">
        <w:t xml:space="preserve">We conclude that functional unbundling of wholesale services is necessary to implement </w:t>
      </w:r>
      <w:r w:rsidR="00993D13">
        <w:t xml:space="preserve">                       </w:t>
      </w:r>
      <w:r w:rsidRPr="005B23F9">
        <w:t>non-discriminatory open access</w:t>
      </w:r>
      <w:r>
        <w:t xml:space="preserve"> </w:t>
      </w:r>
      <w:r w:rsidRPr="005B23F9">
        <w:t>transmission</w:t>
      </w:r>
      <w:r w:rsidR="009D3053">
        <w:t>.</w:t>
      </w:r>
      <w:r>
        <w:t>”).</w:t>
      </w:r>
    </w:p>
  </w:footnote>
  <w:footnote w:id="56">
    <w:p w:rsidR="005B23F9" w14:paraId="7200EA34" w14:textId="34C14693">
      <w:pPr>
        <w:pStyle w:val="FootnoteText"/>
      </w:pPr>
      <w:r>
        <w:rPr>
          <w:rStyle w:val="FootnoteReference"/>
        </w:rPr>
        <w:footnoteRef/>
      </w:r>
      <w:r>
        <w:t xml:space="preserve"> </w:t>
      </w:r>
      <w:r w:rsidRPr="00CC6424" w:rsidR="00586050">
        <w:rPr>
          <w:i/>
          <w:iCs/>
        </w:rPr>
        <w:t>R</w:t>
      </w:r>
      <w:r w:rsidRPr="00586050" w:rsidR="00586050">
        <w:rPr>
          <w:i/>
          <w:iCs/>
        </w:rPr>
        <w:t>egional Transmission Orgs</w:t>
      </w:r>
      <w:r w:rsidR="00C71A19">
        <w:rPr>
          <w:i/>
          <w:iCs/>
        </w:rPr>
        <w:t>.</w:t>
      </w:r>
      <w:r w:rsidRPr="00586050" w:rsidR="00586050">
        <w:t xml:space="preserve">, Order No. </w:t>
      </w:r>
      <w:r w:rsidR="00571B6C">
        <w:t>2000</w:t>
      </w:r>
      <w:r w:rsidRPr="00586050" w:rsidR="00586050">
        <w:t>, FERC Stats. &amp; Regs. ¶</w:t>
      </w:r>
      <w:r w:rsidR="00423222">
        <w:t> </w:t>
      </w:r>
      <w:r w:rsidRPr="00586050" w:rsidR="00586050">
        <w:t>31,089 (1999) (cross-referenced</w:t>
      </w:r>
      <w:r w:rsidR="00571B6C">
        <w:t xml:space="preserve"> at </w:t>
      </w:r>
      <w:r w:rsidRPr="00586050" w:rsidR="00586050">
        <w:t>89 FERC ¶ 61,285)</w:t>
      </w:r>
      <w:r w:rsidR="00571B6C">
        <w:t xml:space="preserve"> </w:t>
      </w:r>
      <w:r w:rsidR="00511486">
        <w:t>(“</w:t>
      </w:r>
      <w:r w:rsidRPr="00511486" w:rsidR="00511486">
        <w:t>We conclude that properly structured RTOs throughout the United States can provide significant benefits in the operation of the transmission grid</w:t>
      </w:r>
      <w:r w:rsidR="00586050">
        <w:t>.”)</w:t>
      </w:r>
      <w:r w:rsidRPr="00586050" w:rsidR="00586050">
        <w:t xml:space="preserve">, </w:t>
      </w:r>
      <w:r w:rsidRPr="00586050" w:rsidR="00586050">
        <w:rPr>
          <w:i/>
          <w:iCs/>
        </w:rPr>
        <w:t>order on reh’g</w:t>
      </w:r>
      <w:r w:rsidRPr="00586050" w:rsidR="00586050">
        <w:t xml:space="preserve">, Order No. 2000-A, FERC Stats. &amp; Regs. </w:t>
      </w:r>
      <w:r w:rsidR="00C71A19">
        <w:t xml:space="preserve">           </w:t>
      </w:r>
      <w:r w:rsidRPr="00586050" w:rsidR="00586050">
        <w:t xml:space="preserve">¶ 31,092 (2000) (cross-referenced at 90 FERC ¶ 61,201), </w:t>
      </w:r>
      <w:r w:rsidRPr="00586050" w:rsidR="00586050">
        <w:rPr>
          <w:i/>
          <w:iCs/>
        </w:rPr>
        <w:t>aff’d sub nom. Pub. Util. Dist. No. 1 of Snohomish Cty. v. FERC</w:t>
      </w:r>
      <w:r w:rsidRPr="00586050" w:rsidR="00586050">
        <w:t>, 272 F.3d 607 (D.C. Cir. 2001).</w:t>
      </w:r>
    </w:p>
  </w:footnote>
  <w:footnote w:id="57">
    <w:p w:rsidR="001F65B9" w:rsidRPr="00640C53" w:rsidP="001F65B9" w14:paraId="61A86DB9" w14:textId="6ADCB0F2">
      <w:pPr>
        <w:pStyle w:val="FootnoteText"/>
        <w:rPr>
          <w:i/>
          <w:iCs/>
        </w:rPr>
      </w:pPr>
      <w:r>
        <w:rPr>
          <w:rStyle w:val="FootnoteReference"/>
        </w:rPr>
        <w:footnoteRef/>
      </w:r>
      <w:r>
        <w:t xml:space="preserve"> </w:t>
      </w:r>
      <w:r>
        <w:rPr>
          <w:i/>
          <w:iCs/>
        </w:rPr>
        <w:t xml:space="preserve">See, e.g., </w:t>
      </w:r>
      <w:r w:rsidRPr="00640C53">
        <w:t>Order No. 2003</w:t>
      </w:r>
      <w:r>
        <w:t xml:space="preserve">, </w:t>
      </w:r>
      <w:r w:rsidRPr="00CD2C9F" w:rsidR="00592713">
        <w:t>104 FERC ¶ 61,103</w:t>
      </w:r>
      <w:r w:rsidRPr="00640C53">
        <w:t xml:space="preserve"> </w:t>
      </w:r>
      <w:r w:rsidRPr="00640C53">
        <w:t>at P 12</w:t>
      </w:r>
      <w:r w:rsidR="004A695E">
        <w:t xml:space="preserve"> (</w:t>
      </w:r>
      <w:r w:rsidR="00462A40">
        <w:t>explain</w:t>
      </w:r>
      <w:r w:rsidR="00D62D78">
        <w:t>ing</w:t>
      </w:r>
      <w:r w:rsidR="00462A40">
        <w:t xml:space="preserve"> that </w:t>
      </w:r>
      <w:r w:rsidRPr="004A695E" w:rsidR="004A695E">
        <w:t>standard interconnection procedures and a standard agreement will</w:t>
      </w:r>
      <w:r w:rsidR="00462A40">
        <w:t xml:space="preserve">: </w:t>
      </w:r>
      <w:r w:rsidRPr="004A695E" w:rsidR="004A695E">
        <w:t xml:space="preserve"> </w:t>
      </w:r>
      <w:r w:rsidR="00D62D78">
        <w:t>“</w:t>
      </w:r>
      <w:r w:rsidRPr="004A695E" w:rsidR="004A695E">
        <w:t>(1) limit opportunities for Transmission Providers to favor their own generation</w:t>
      </w:r>
      <w:r w:rsidR="00C71A19">
        <w:t>;</w:t>
      </w:r>
      <w:r w:rsidRPr="004A695E" w:rsidR="004A695E">
        <w:t xml:space="preserve"> (2) facilitate market entry for generation competitors by reducing interconnection costs and time</w:t>
      </w:r>
      <w:r w:rsidR="00C71A19">
        <w:t>;</w:t>
      </w:r>
      <w:r w:rsidRPr="004A695E" w:rsidR="004A695E">
        <w:t xml:space="preserve"> and (3) encourage needed investment in generator and transmission infrastructure</w:t>
      </w:r>
      <w:r w:rsidR="00D62D78">
        <w:t>”</w:t>
      </w:r>
      <w:r w:rsidR="00462A40">
        <w:t>)</w:t>
      </w:r>
      <w:r>
        <w:rPr>
          <w:i/>
          <w:iCs/>
        </w:rPr>
        <w:t>.</w:t>
      </w:r>
    </w:p>
  </w:footnote>
  <w:footnote w:id="58">
    <w:p w:rsidR="00D81957" w:rsidP="00D81957" w14:paraId="5FE25722" w14:textId="77777777">
      <w:pPr>
        <w:pStyle w:val="FootnoteText"/>
        <w:spacing w:before="144"/>
      </w:pPr>
      <w:r>
        <w:rPr>
          <w:rStyle w:val="FootnoteReference"/>
        </w:rPr>
        <w:footnoteRef/>
      </w:r>
      <w:r>
        <w:t xml:space="preserve"> </w:t>
      </w:r>
      <w:r w:rsidRPr="004F24A8">
        <w:rPr>
          <w:i/>
          <w:iCs/>
        </w:rPr>
        <w:t>See</w:t>
      </w:r>
      <w:r w:rsidRPr="004F24A8">
        <w:t xml:space="preserve"> In re Permian Basin Area Rate Cases, 390 U.S. at 804 (“There is ample support for the Commission's judgment that the apportionment of actual costs between two jointly produced commodities, only one of which is regulated by the Commission, is intrinsically unreliable.”); </w:t>
      </w:r>
      <w:r w:rsidRPr="00416E38">
        <w:rPr>
          <w:i/>
        </w:rPr>
        <w:t>A.A. Poultry Farms, Inc. v. Rose Acre Farms, Inc</w:t>
      </w:r>
      <w:r w:rsidRPr="004F24A8">
        <w:t>., 881 F.2d 1396, 1400 (7th Cir. 1989) (“How does one allocate the cost of activities that have joint products?  Agencies engaged in ratemaking struggle with these problems for years, even decades, without producing clear answers.”); Richard A. Posner, Natural Monopoly and Its Regulation, 21 Stan. L. Rev. 548, 595 (1969) (“where services involve joint or common costs a rational allocation is impossible even in theory.  How much of the cost of a telephone handset is assignable to local and how much to interstate telephone service?”).</w:t>
      </w:r>
      <w:r>
        <w:t xml:space="preserve">  </w:t>
      </w:r>
    </w:p>
  </w:footnote>
  <w:footnote w:id="59">
    <w:p w:rsidR="00D81957" w:rsidP="00D81957" w14:paraId="0935ADDD" w14:textId="1AD3896E">
      <w:pPr>
        <w:pStyle w:val="FootnoteText"/>
        <w:spacing w:before="144"/>
      </w:pPr>
      <w:r>
        <w:rPr>
          <w:rStyle w:val="FootnoteReference"/>
        </w:rPr>
        <w:footnoteRef/>
      </w:r>
      <w:r>
        <w:t xml:space="preserve"> When both real power and reactive power rate</w:t>
      </w:r>
      <w:r w:rsidR="00EE3D80">
        <w:t>s</w:t>
      </w:r>
      <w:r>
        <w:t xml:space="preserve"> were cost-based, the only effect of the allocation was to change the allocation of costs and the rates for transmission and generation service; the </w:t>
      </w:r>
      <w:r w:rsidR="0098751C">
        <w:t>transmission provider</w:t>
      </w:r>
      <w:r>
        <w:t xml:space="preserve"> would not exceed its total revenue requirement.</w:t>
      </w:r>
    </w:p>
  </w:footnote>
  <w:footnote w:id="60">
    <w:p w:rsidR="002C5CF0" w14:paraId="372384EB" w14:textId="78196FBE">
      <w:pPr>
        <w:pStyle w:val="FootnoteText"/>
      </w:pPr>
      <w:r>
        <w:rPr>
          <w:rStyle w:val="FootnoteReference"/>
        </w:rPr>
        <w:footnoteRef/>
      </w:r>
      <w:r>
        <w:t xml:space="preserve"> The PJM IMM notes that </w:t>
      </w:r>
      <w:r w:rsidR="00DA3A51">
        <w:t xml:space="preserve">total settled reactive power revenue requirements </w:t>
      </w:r>
      <w:r w:rsidR="00E763BC">
        <w:t xml:space="preserve">for </w:t>
      </w:r>
      <w:r w:rsidR="00DB1007">
        <w:t>oil-fueled steam units</w:t>
      </w:r>
      <w:r w:rsidR="00F95206">
        <w:t xml:space="preserve"> average </w:t>
      </w:r>
      <w:r w:rsidR="00213A9C">
        <w:t xml:space="preserve">$993/MW-year whereas </w:t>
      </w:r>
      <w:r w:rsidR="00261A5E">
        <w:t xml:space="preserve">other units </w:t>
      </w:r>
      <w:r w:rsidR="00E41CE7">
        <w:t>have settled reactive power revenue requirements as high as $18,750/MW-year.  IMM Initial Comments at 5.</w:t>
      </w:r>
    </w:p>
  </w:footnote>
  <w:footnote w:id="61">
    <w:p w:rsidR="00F37708" w14:paraId="524983BD" w14:textId="4A085EC8">
      <w:pPr>
        <w:pStyle w:val="FootnoteText"/>
      </w:pPr>
      <w:r>
        <w:rPr>
          <w:rStyle w:val="FootnoteReference"/>
        </w:rPr>
        <w:footnoteRef/>
      </w:r>
      <w:r>
        <w:t xml:space="preserve"> </w:t>
      </w:r>
      <w:r w:rsidRPr="00CC6424">
        <w:rPr>
          <w:i/>
          <w:iCs/>
        </w:rPr>
        <w:t>See, e.g.</w:t>
      </w:r>
      <w:r w:rsidR="0064019B">
        <w:rPr>
          <w:i/>
          <w:iCs/>
        </w:rPr>
        <w:t>,</w:t>
      </w:r>
      <w:r>
        <w:t xml:space="preserve"> PJM IMM Initial Comments at 11-12 (</w:t>
      </w:r>
      <w:r w:rsidRPr="00F37708">
        <w:t>“</w:t>
      </w:r>
      <w:r w:rsidR="009B07C7">
        <w:t>T</w:t>
      </w:r>
      <w:r w:rsidRPr="00F37708">
        <w:t>he salient difference between PJM and CAISO, SPP, and MISO is that PJM customers paid $388,044,837.00 in out of market payments for reactive capability in 2023, and customers in CAISO, SPP and MISO, paid $0.00”</w:t>
      </w:r>
      <w:r>
        <w:t>)</w:t>
      </w:r>
      <w:r w:rsidR="004B6344">
        <w:t xml:space="preserve">; </w:t>
      </w:r>
      <w:r w:rsidR="00C46560">
        <w:t>For Schedule 2 service in 2023,</w:t>
      </w:r>
      <w:r w:rsidR="001D1206">
        <w:t xml:space="preserve"> </w:t>
      </w:r>
      <w:r w:rsidR="004B6344">
        <w:t>PJM paid $388 million</w:t>
      </w:r>
      <w:r w:rsidR="000C47E3">
        <w:t xml:space="preserve">, NYISO paid $75 million, and ISO-NE paid $18 million.  </w:t>
      </w:r>
      <w:r w:rsidR="000C47E3">
        <w:rPr>
          <w:i/>
          <w:iCs/>
        </w:rPr>
        <w:t>See</w:t>
      </w:r>
      <w:r w:rsidR="004B6344">
        <w:t xml:space="preserve"> </w:t>
      </w:r>
      <w:r w:rsidRPr="00C06B6B" w:rsidR="004B6344">
        <w:t>PJM 2023 Annual Report</w:t>
      </w:r>
      <w:r w:rsidR="004B6344">
        <w:t xml:space="preserve"> at 5, </w:t>
      </w:r>
      <w:r w:rsidRPr="00C06B6B" w:rsidR="005256CA">
        <w:t>https://services.pjm.com/annualreport2023/</w:t>
      </w:r>
      <w:r w:rsidR="004B6344">
        <w:t>)</w:t>
      </w:r>
      <w:r w:rsidR="00975A78">
        <w:t xml:space="preserve">; </w:t>
      </w:r>
      <w:r w:rsidRPr="00C06B6B" w:rsidR="004B6344">
        <w:t>2023</w:t>
      </w:r>
      <w:r w:rsidRPr="00161EE9" w:rsidR="004B6344">
        <w:rPr>
          <w:i/>
        </w:rPr>
        <w:t xml:space="preserve"> </w:t>
      </w:r>
      <w:r w:rsidRPr="00C06B6B" w:rsidR="004B6344">
        <w:t>NYISO Voltage Support Service Rates</w:t>
      </w:r>
      <w:r w:rsidR="004B6344">
        <w:t xml:space="preserve">, </w:t>
      </w:r>
      <w:r w:rsidRPr="002058B8" w:rsidR="004B6344">
        <w:t>https://www.nyiso.com/documents/20142/35126567/2023-OATT-MST-Schedule-2-VSS-Rates-FINAL-for-posting.pdf/f59317b0-41c6-9f41-5d61-e7f502af82c2</w:t>
      </w:r>
      <w:r w:rsidR="004B6344">
        <w:t>)</w:t>
      </w:r>
      <w:r w:rsidR="007A7AFE">
        <w:t>;</w:t>
      </w:r>
      <w:r w:rsidR="004B6344">
        <w:t xml:space="preserve"> </w:t>
      </w:r>
      <w:r w:rsidRPr="00C06B6B" w:rsidR="004B6344">
        <w:t>2023 Annual Markets Report</w:t>
      </w:r>
      <w:r w:rsidR="004B6344">
        <w:t xml:space="preserve"> at 154, </w:t>
      </w:r>
      <w:r w:rsidRPr="00BB4B75" w:rsidR="003F4362">
        <w:t>iso-ne.com/static-assets/documents/100011/2023-annual-markets-report.pdf</w:t>
      </w:r>
      <w:r w:rsidR="007A7AFE">
        <w:t>.</w:t>
      </w:r>
    </w:p>
  </w:footnote>
  <w:footnote w:id="62">
    <w:p w:rsidR="000B78FE" w14:paraId="63BEEA25" w14:textId="574A5621">
      <w:pPr>
        <w:pStyle w:val="FootnoteText"/>
      </w:pPr>
      <w:r>
        <w:rPr>
          <w:rStyle w:val="FootnoteReference"/>
        </w:rPr>
        <w:footnoteRef/>
      </w:r>
      <w:r>
        <w:t xml:space="preserve"> </w:t>
      </w:r>
      <w:r w:rsidR="00535DC7">
        <w:rPr>
          <w:i/>
          <w:iCs/>
        </w:rPr>
        <w:t xml:space="preserve">See </w:t>
      </w:r>
      <w:r w:rsidRPr="000B78FE">
        <w:t>Order No. 2003-C, 111 FERC ¶ 61,401 at P 42 (finding that because providing reactive power within the established range is an “important service,” payment for such service does not constitute a “windfall”).</w:t>
      </w:r>
    </w:p>
  </w:footnote>
  <w:footnote w:id="63">
    <w:p w:rsidR="005D094E" w:rsidP="00B71964" w14:paraId="6F2699C6" w14:textId="7B713C22">
      <w:pPr>
        <w:pStyle w:val="FootnoteText"/>
      </w:pPr>
      <w:r>
        <w:rPr>
          <w:rStyle w:val="FootnoteReference"/>
        </w:rPr>
        <w:footnoteRef/>
      </w:r>
      <w:r>
        <w:t xml:space="preserve"> </w:t>
      </w:r>
      <w:r w:rsidRPr="00E81663" w:rsidR="00502637">
        <w:rPr>
          <w:i/>
          <w:iCs/>
        </w:rPr>
        <w:t>PJM Power Providers Grp. v. FERC</w:t>
      </w:r>
      <w:r w:rsidRPr="00E81663" w:rsidR="00502637">
        <w:t>, 88 F.4th 250, 271</w:t>
      </w:r>
      <w:r w:rsidR="00502637">
        <w:t>-72</w:t>
      </w:r>
      <w:r w:rsidRPr="00E81663" w:rsidR="00502637">
        <w:t xml:space="preserve"> (3d Cir. 2023)</w:t>
      </w:r>
      <w:r w:rsidR="00502637">
        <w:t>,</w:t>
      </w:r>
      <w:r w:rsidRPr="00B71964" w:rsidR="00502637">
        <w:rPr>
          <w:rFonts w:asciiTheme="minorHAnsi" w:hAnsiTheme="minorHAnsi" w:cstheme="minorBidi"/>
          <w:i/>
          <w:iCs/>
          <w:sz w:val="22"/>
        </w:rPr>
        <w:t xml:space="preserve"> </w:t>
      </w:r>
      <w:r w:rsidRPr="00B71964" w:rsidR="00502637">
        <w:rPr>
          <w:i/>
          <w:iCs/>
        </w:rPr>
        <w:t>amended sub nom.</w:t>
      </w:r>
      <w:r w:rsidRPr="00B71964" w:rsidR="00502637">
        <w:t xml:space="preserve"> </w:t>
      </w:r>
      <w:r w:rsidRPr="00001F69" w:rsidR="00502637">
        <w:rPr>
          <w:i/>
          <w:iCs/>
        </w:rPr>
        <w:t>PJM Power Provi</w:t>
      </w:r>
      <w:r w:rsidRPr="006721C8" w:rsidR="00502637">
        <w:rPr>
          <w:i/>
        </w:rPr>
        <w:t>s</w:t>
      </w:r>
      <w:r w:rsidRPr="00001F69" w:rsidR="00502637">
        <w:rPr>
          <w:i/>
          <w:iCs/>
        </w:rPr>
        <w:t>ers Grp. v. FERC</w:t>
      </w:r>
      <w:r w:rsidRPr="00B71964" w:rsidR="00502637">
        <w:t>, No. 21-3068, 2024 WL 259448 (3d Cir. Jan. 24, 2024)</w:t>
      </w:r>
      <w:r w:rsidR="00502637">
        <w:t xml:space="preserve"> (“</w:t>
      </w:r>
      <w:r w:rsidRPr="0041647D" w:rsidR="00502637">
        <w:t xml:space="preserve">An agency may alter its </w:t>
      </w:r>
      <w:r w:rsidR="00502637">
        <w:t>‘</w:t>
      </w:r>
      <w:r w:rsidRPr="0041647D" w:rsidR="00502637">
        <w:t>view of what is in the public interest.</w:t>
      </w:r>
      <w:r w:rsidR="00502637">
        <w:t>’</w:t>
      </w:r>
      <w:r w:rsidRPr="0041647D" w:rsidR="00502637">
        <w:t xml:space="preserve"> </w:t>
      </w:r>
      <w:r w:rsidR="00502637">
        <w:t xml:space="preserve"> </w:t>
      </w:r>
      <w:r w:rsidRPr="0041647D" w:rsidR="00502637">
        <w:t xml:space="preserve">The fact that contrary agency precedent exists </w:t>
      </w:r>
      <w:r w:rsidR="00502637">
        <w:t>‘</w:t>
      </w:r>
      <w:r w:rsidRPr="0041647D" w:rsidR="00502637">
        <w:t>gives us no more power than usual to question the Commission's substantive determinations.</w:t>
      </w:r>
      <w:r w:rsidR="00502637">
        <w:t>’</w:t>
      </w:r>
      <w:r w:rsidRPr="0041647D" w:rsidR="00502637">
        <w:t xml:space="preserve"> The agency need not establish that </w:t>
      </w:r>
      <w:r w:rsidR="00502637">
        <w:t>‘</w:t>
      </w:r>
      <w:r w:rsidRPr="0041647D" w:rsidR="00502637">
        <w:t>the reasons for the new policy are better than the reasons for the old one; it suffices that the new policy is permissible under the statute, that there are good reasons for it, and that the agency believes it to be better.</w:t>
      </w:r>
      <w:r w:rsidR="00502637">
        <w:t xml:space="preserve">’”) (citing </w:t>
      </w:r>
      <w:r w:rsidRPr="00E83152" w:rsidR="00502637">
        <w:rPr>
          <w:i/>
        </w:rPr>
        <w:t>FCC v. Fox Television Stations, Inc.</w:t>
      </w:r>
      <w:r w:rsidRPr="00E83152" w:rsidR="00502637">
        <w:t>, 556 U.S. 502, 515 (2009)</w:t>
      </w:r>
      <w:r w:rsidR="00502637">
        <w:t xml:space="preserve">); </w:t>
      </w:r>
      <w:r w:rsidRPr="00E83152" w:rsidR="00E83152">
        <w:rPr>
          <w:i/>
        </w:rPr>
        <w:t>In re Permian Basin Area Rate Cases</w:t>
      </w:r>
      <w:r w:rsidRPr="00E83152" w:rsidR="00E83152">
        <w:t>, 390 U.S. 747, 784 (1968) (</w:t>
      </w:r>
      <w:r w:rsidRPr="00E83152" w:rsidR="00E83152">
        <w:rPr>
          <w:i/>
        </w:rPr>
        <w:t>Permian Basin</w:t>
      </w:r>
      <w:r w:rsidRPr="00E83152" w:rsidR="00E83152">
        <w:t xml:space="preserve">); </w:t>
      </w:r>
      <w:r w:rsidRPr="00E83152" w:rsidR="00E83152">
        <w:rPr>
          <w:i/>
        </w:rPr>
        <w:t>see also Motor Vehicle Mfrs. Ass’n of U</w:t>
      </w:r>
      <w:r w:rsidR="00C71A19">
        <w:rPr>
          <w:i/>
        </w:rPr>
        <w:t>.</w:t>
      </w:r>
      <w:r w:rsidRPr="00E83152" w:rsidR="00E83152">
        <w:rPr>
          <w:i/>
        </w:rPr>
        <w:t>S</w:t>
      </w:r>
      <w:r w:rsidR="00C71A19">
        <w:rPr>
          <w:i/>
        </w:rPr>
        <w:t>.</w:t>
      </w:r>
      <w:r w:rsidRPr="00E83152" w:rsidR="00E83152">
        <w:rPr>
          <w:i/>
        </w:rPr>
        <w:t>, Inc. v. State Farm Mut. Auto. Ins. Co.</w:t>
      </w:r>
      <w:r w:rsidRPr="00E83152" w:rsidR="00E83152">
        <w:t>, 463 U.S. 29, 42 (1983) (“</w:t>
      </w:r>
      <w:r w:rsidR="007A7AFE">
        <w:t>[W]</w:t>
      </w:r>
      <w:r w:rsidRPr="00E83152" w:rsidR="00E83152">
        <w:t>e fully recognize that regulatory agencies do not establish rules of conduct to last forever</w:t>
      </w:r>
      <w:r w:rsidR="007A7AFE">
        <w:t>.</w:t>
      </w:r>
      <w:r w:rsidRPr="00E83152" w:rsidR="00E83152">
        <w:t xml:space="preserve">”) (internal quotations omitted); </w:t>
      </w:r>
      <w:r w:rsidRPr="00E83152" w:rsidR="00E83152">
        <w:rPr>
          <w:i/>
          <w:iCs/>
        </w:rPr>
        <w:t>Greater Bos. Television Corp. v. FCC</w:t>
      </w:r>
      <w:r w:rsidRPr="00E83152" w:rsidR="00E83152">
        <w:t>, 444 F.2d 841, 852 (D.C. Cir. 1970) (</w:t>
      </w:r>
      <w:r w:rsidR="007A7AFE">
        <w:t xml:space="preserve">an </w:t>
      </w:r>
      <w:r w:rsidRPr="00E83152" w:rsidR="00E83152">
        <w:t xml:space="preserve">agency may change its course as long as it “suppl[ies] a reasoned analysis indicating that prior policies and standards are being deliberately changed, not casually ignored.”), </w:t>
      </w:r>
      <w:r w:rsidRPr="00E83152" w:rsidR="00E83152">
        <w:rPr>
          <w:i/>
          <w:iCs/>
        </w:rPr>
        <w:t>cert. denied</w:t>
      </w:r>
      <w:r w:rsidRPr="00E83152" w:rsidR="00E83152">
        <w:t>, 403 U.S. 923 (1971)).</w:t>
      </w:r>
    </w:p>
  </w:footnote>
  <w:footnote w:id="64">
    <w:p w:rsidR="00AE699C" w:rsidP="00AE699C" w14:paraId="687E0E17" w14:textId="52C2BC1D">
      <w:pPr>
        <w:pStyle w:val="FootnoteText"/>
      </w:pPr>
      <w:r>
        <w:rPr>
          <w:rStyle w:val="FootnoteReference"/>
        </w:rPr>
        <w:footnoteRef/>
      </w:r>
      <w:r>
        <w:t xml:space="preserve"> </w:t>
      </w:r>
      <w:r w:rsidR="003A2E39">
        <w:t>NOPR</w:t>
      </w:r>
      <w:r w:rsidR="00B940BA">
        <w:t>,</w:t>
      </w:r>
      <w:r w:rsidR="000453BC">
        <w:t xml:space="preserve"> </w:t>
      </w:r>
      <w:r w:rsidRPr="00B940BA" w:rsidR="00B940BA">
        <w:t>186 FERC ¶ 61,203</w:t>
      </w:r>
      <w:r w:rsidR="003A2E39">
        <w:t xml:space="preserve"> at </w:t>
      </w:r>
      <w:r w:rsidR="00E639E9">
        <w:t xml:space="preserve">PP </w:t>
      </w:r>
      <w:r w:rsidR="003A2E39">
        <w:t>25</w:t>
      </w:r>
      <w:r w:rsidR="00B04E94">
        <w:t>, 40</w:t>
      </w:r>
      <w:r>
        <w:t>.</w:t>
      </w:r>
    </w:p>
  </w:footnote>
  <w:footnote w:id="65">
    <w:p w:rsidR="003C5D60" w14:paraId="4CEB2FCD" w14:textId="49D62FD2">
      <w:pPr>
        <w:pStyle w:val="FootnoteText"/>
      </w:pPr>
      <w:r>
        <w:rPr>
          <w:rStyle w:val="FootnoteReference"/>
        </w:rPr>
        <w:footnoteRef/>
      </w:r>
      <w:r>
        <w:t xml:space="preserve"> </w:t>
      </w:r>
      <w:r w:rsidR="001A5549">
        <w:rPr>
          <w:i/>
          <w:iCs/>
        </w:rPr>
        <w:t>Id.</w:t>
      </w:r>
      <w:r w:rsidR="00F55855">
        <w:t xml:space="preserve"> </w:t>
      </w:r>
      <w:r w:rsidR="008D7F6F">
        <w:t xml:space="preserve">PP </w:t>
      </w:r>
      <w:r w:rsidR="00F55855">
        <w:t>28-33.</w:t>
      </w:r>
    </w:p>
  </w:footnote>
  <w:footnote w:id="66">
    <w:p w:rsidR="005D7F09" w14:paraId="17D53FD2" w14:textId="38F57550">
      <w:pPr>
        <w:pStyle w:val="FootnoteText"/>
      </w:pPr>
      <w:r>
        <w:rPr>
          <w:rStyle w:val="FootnoteReference"/>
        </w:rPr>
        <w:footnoteRef/>
      </w:r>
      <w:r>
        <w:t xml:space="preserve"> </w:t>
      </w:r>
      <w:r w:rsidR="001A5549">
        <w:rPr>
          <w:i/>
          <w:iCs/>
        </w:rPr>
        <w:t>Id.</w:t>
      </w:r>
      <w:r w:rsidR="00E51974">
        <w:t xml:space="preserve"> PP 34-40.</w:t>
      </w:r>
    </w:p>
  </w:footnote>
  <w:footnote w:id="67">
    <w:p w:rsidR="003C5D60" w14:paraId="74F6B571" w14:textId="3BA258BA">
      <w:pPr>
        <w:pStyle w:val="FootnoteText"/>
      </w:pPr>
      <w:r>
        <w:rPr>
          <w:rStyle w:val="FootnoteReference"/>
        </w:rPr>
        <w:footnoteRef/>
      </w:r>
      <w:r>
        <w:t xml:space="preserve"> </w:t>
      </w:r>
      <w:r w:rsidR="001A5549">
        <w:rPr>
          <w:i/>
          <w:iCs/>
        </w:rPr>
        <w:t>Id.</w:t>
      </w:r>
      <w:r w:rsidR="00CA6EA1">
        <w:t xml:space="preserve"> P 35.</w:t>
      </w:r>
    </w:p>
  </w:footnote>
  <w:footnote w:id="68">
    <w:p w:rsidR="003C5D60" w:rsidP="00504C1D" w14:paraId="058622B2" w14:textId="5E32A92A">
      <w:pPr>
        <w:pStyle w:val="FootnoteText"/>
        <w:tabs>
          <w:tab w:val="left" w:pos="1657"/>
        </w:tabs>
      </w:pPr>
      <w:r>
        <w:rPr>
          <w:rStyle w:val="FootnoteReference"/>
        </w:rPr>
        <w:footnoteRef/>
      </w:r>
      <w:r>
        <w:t xml:space="preserve"> </w:t>
      </w:r>
      <w:r w:rsidR="001A5549">
        <w:rPr>
          <w:i/>
          <w:iCs/>
        </w:rPr>
        <w:t>Id.</w:t>
      </w:r>
      <w:r w:rsidR="008D7F6F">
        <w:t xml:space="preserve"> PP 36-38</w:t>
      </w:r>
      <w:r w:rsidR="001E6AAB">
        <w:t>.</w:t>
      </w:r>
    </w:p>
  </w:footnote>
  <w:footnote w:id="69">
    <w:p w:rsidR="003C5D60" w14:paraId="1F47492F" w14:textId="5890A90B">
      <w:pPr>
        <w:pStyle w:val="FootnoteText"/>
      </w:pPr>
      <w:r>
        <w:rPr>
          <w:rStyle w:val="FootnoteReference"/>
        </w:rPr>
        <w:footnoteRef/>
      </w:r>
      <w:r>
        <w:t xml:space="preserve"> </w:t>
      </w:r>
      <w:r w:rsidR="001A5549">
        <w:rPr>
          <w:i/>
          <w:iCs/>
        </w:rPr>
        <w:t>Id.</w:t>
      </w:r>
      <w:r w:rsidR="00F02A64">
        <w:t xml:space="preserve"> P 39.</w:t>
      </w:r>
    </w:p>
  </w:footnote>
  <w:footnote w:id="70">
    <w:p w:rsidR="00F02A64" w14:paraId="6C225C84" w14:textId="40B1DD58">
      <w:pPr>
        <w:pStyle w:val="FootnoteText"/>
      </w:pPr>
      <w:r>
        <w:rPr>
          <w:rStyle w:val="FootnoteReference"/>
        </w:rPr>
        <w:footnoteRef/>
      </w:r>
      <w:r>
        <w:t xml:space="preserve"> </w:t>
      </w:r>
      <w:r w:rsidR="001A5549">
        <w:rPr>
          <w:i/>
          <w:iCs/>
        </w:rPr>
        <w:t>Id.</w:t>
      </w:r>
      <w:r>
        <w:t xml:space="preserve"> P 40.</w:t>
      </w:r>
    </w:p>
  </w:footnote>
  <w:footnote w:id="71">
    <w:p w:rsidR="00F02A64" w14:paraId="38F4FA2E" w14:textId="0285445A">
      <w:pPr>
        <w:pStyle w:val="FootnoteText"/>
      </w:pPr>
      <w:r>
        <w:rPr>
          <w:rStyle w:val="FootnoteReference"/>
        </w:rPr>
        <w:footnoteRef/>
      </w:r>
      <w:r>
        <w:t xml:space="preserve"> </w:t>
      </w:r>
      <w:r w:rsidR="001A5549">
        <w:rPr>
          <w:i/>
          <w:iCs/>
        </w:rPr>
        <w:t>Id.</w:t>
      </w:r>
      <w:r>
        <w:t xml:space="preserve"> P 42.</w:t>
      </w:r>
    </w:p>
  </w:footnote>
  <w:footnote w:id="72">
    <w:p w:rsidR="00271F05" w14:paraId="69A96FFB" w14:textId="4D9BD9D5">
      <w:pPr>
        <w:pStyle w:val="FootnoteText"/>
      </w:pPr>
      <w:r>
        <w:rPr>
          <w:rStyle w:val="FootnoteReference"/>
        </w:rPr>
        <w:footnoteRef/>
      </w:r>
      <w:r>
        <w:t xml:space="preserve"> AEP Initial Comments at 1-2; Ameren Initial Comments at 2-3; Joint Consumer Advocates Initial Comments at 1; Joint Customers Initial Comments at 2; MISO Transmission Owners Initial Comments at 1, 5; </w:t>
      </w:r>
      <w:r w:rsidR="008D5DDA">
        <w:t xml:space="preserve">New England Consumer Advocates Initial Comments at 6; </w:t>
      </w:r>
      <w:r w:rsidR="001D6623">
        <w:t>Ohio FEA Initial Comments at 3; PGE Initial Comments at 1; PJM Initial Comments at 1, 3; PJM IMM Initial Comments at 2; TAPS Initial Comments at 1.</w:t>
      </w:r>
    </w:p>
  </w:footnote>
  <w:footnote w:id="73">
    <w:p w:rsidR="00CB150C" w14:paraId="724AA3D3" w14:textId="644962F9">
      <w:pPr>
        <w:pStyle w:val="FootnoteText"/>
      </w:pPr>
      <w:r>
        <w:rPr>
          <w:rStyle w:val="FootnoteReference"/>
        </w:rPr>
        <w:footnoteRef/>
      </w:r>
      <w:r>
        <w:t xml:space="preserve"> </w:t>
      </w:r>
      <w:r w:rsidR="004736D5">
        <w:rPr>
          <w:i/>
          <w:iCs/>
        </w:rPr>
        <w:t>See, e.g.</w:t>
      </w:r>
      <w:r w:rsidRPr="006056E4" w:rsidR="004736D5">
        <w:t>,</w:t>
      </w:r>
      <w:r w:rsidR="004736D5">
        <w:rPr>
          <w:i/>
          <w:iCs/>
        </w:rPr>
        <w:t xml:space="preserve"> </w:t>
      </w:r>
      <w:r w:rsidR="00FB1CC1">
        <w:t>Joint Customers Reply Comments at 10-11</w:t>
      </w:r>
      <w:r w:rsidR="004736D5">
        <w:t xml:space="preserve"> (“</w:t>
      </w:r>
      <w:r w:rsidRPr="004736D5" w:rsidR="004736D5">
        <w:t xml:space="preserve">Standing on its own, the record in this proceeding is sufficient to justify the conclusion that compensating generators, any generators, for reactive service within the standard power factor range is not just and reasonable. </w:t>
      </w:r>
      <w:r w:rsidR="00CA4AE4">
        <w:t xml:space="preserve"> </w:t>
      </w:r>
      <w:r w:rsidRPr="004736D5" w:rsidR="004736D5">
        <w:t>Through the NOI comments, the development of the NOPR, and</w:t>
      </w:r>
      <w:r w:rsidR="004736D5">
        <w:t xml:space="preserve"> </w:t>
      </w:r>
      <w:r w:rsidRPr="004736D5" w:rsidR="004736D5">
        <w:t>comments to the NOPR, the Commission has supported its conclusions and addressed potential concerns</w:t>
      </w:r>
      <w:r w:rsidR="00FB1CC1">
        <w:t>.</w:t>
      </w:r>
      <w:r w:rsidR="004736D5">
        <w:t>”).</w:t>
      </w:r>
    </w:p>
  </w:footnote>
  <w:footnote w:id="74">
    <w:p w:rsidR="0039730C" w:rsidP="0039730C" w14:paraId="05882472" w14:textId="77777777">
      <w:pPr>
        <w:pStyle w:val="FootnoteText"/>
      </w:pPr>
      <w:r>
        <w:rPr>
          <w:rStyle w:val="FootnoteReference"/>
        </w:rPr>
        <w:footnoteRef/>
      </w:r>
      <w:r>
        <w:t xml:space="preserve"> </w:t>
      </w:r>
      <w:r>
        <w:rPr>
          <w:szCs w:val="26"/>
        </w:rPr>
        <w:t xml:space="preserve">Joint Consumer Advocates </w:t>
      </w:r>
      <w:r w:rsidRPr="0008595C">
        <w:rPr>
          <w:szCs w:val="26"/>
        </w:rPr>
        <w:t>Initial Comment</w:t>
      </w:r>
      <w:r>
        <w:rPr>
          <w:szCs w:val="26"/>
        </w:rPr>
        <w:t>s</w:t>
      </w:r>
      <w:r w:rsidRPr="0008595C">
        <w:rPr>
          <w:szCs w:val="26"/>
        </w:rPr>
        <w:t xml:space="preserve"> at 1</w:t>
      </w:r>
      <w:r>
        <w:rPr>
          <w:szCs w:val="26"/>
        </w:rPr>
        <w:t xml:space="preserve">, 5; </w:t>
      </w:r>
      <w:r>
        <w:t>Joint Customers Initial Comments at 5-6; Joint Customers Reply Comments at 1-2; MISO Transmission Owners Reply Comments at 2; PGE Initial Comments at 5; TAPS Initial Comments at 3.</w:t>
      </w:r>
    </w:p>
  </w:footnote>
  <w:footnote w:id="75">
    <w:p w:rsidR="0039730C" w:rsidP="0039730C" w14:paraId="52EAD15A" w14:textId="77777777">
      <w:pPr>
        <w:pStyle w:val="FootnoteText"/>
      </w:pPr>
      <w:r>
        <w:rPr>
          <w:rStyle w:val="FootnoteReference"/>
        </w:rPr>
        <w:footnoteRef/>
      </w:r>
      <w:r>
        <w:t xml:space="preserve"> Joint Customers Initial Comments at 13-17; MISO Transmission Owners Reply Comments at 8, 19; New England Consumer Advocates Initial Comments at 4-6; TAPS Initial Comments at 3.</w:t>
      </w:r>
    </w:p>
  </w:footnote>
  <w:footnote w:id="76">
    <w:p w:rsidR="00DA4568" w:rsidP="00DA4568" w14:paraId="26B40722" w14:textId="77777777">
      <w:pPr>
        <w:pStyle w:val="FootnoteText"/>
      </w:pPr>
      <w:r>
        <w:rPr>
          <w:rStyle w:val="FootnoteReference"/>
        </w:rPr>
        <w:footnoteRef/>
      </w:r>
      <w:r>
        <w:t xml:space="preserve"> Joint Customers Reply Comments at 10-11.</w:t>
      </w:r>
    </w:p>
  </w:footnote>
  <w:footnote w:id="77">
    <w:p w:rsidR="00DA4568" w:rsidP="00DA4568" w14:paraId="638273D3" w14:textId="23F46C47">
      <w:pPr>
        <w:pStyle w:val="FootnoteText"/>
      </w:pPr>
      <w:r>
        <w:rPr>
          <w:rStyle w:val="FootnoteReference"/>
        </w:rPr>
        <w:footnoteRef/>
      </w:r>
      <w:r>
        <w:t xml:space="preserve"> </w:t>
      </w:r>
      <w:r w:rsidR="00053F2A">
        <w:rPr>
          <w:i/>
          <w:iCs/>
        </w:rPr>
        <w:t>Id.</w:t>
      </w:r>
      <w:r>
        <w:t xml:space="preserve"> at 11 (emphasis in original).</w:t>
      </w:r>
    </w:p>
  </w:footnote>
  <w:footnote w:id="78">
    <w:p w:rsidR="0039730C" w:rsidP="0039730C" w14:paraId="156E3C6B" w14:textId="3130F56A">
      <w:pPr>
        <w:pStyle w:val="FootnoteText"/>
      </w:pPr>
      <w:r>
        <w:rPr>
          <w:rStyle w:val="FootnoteReference"/>
        </w:rPr>
        <w:footnoteRef/>
      </w:r>
      <w:r>
        <w:t xml:space="preserve"> PJM Initial Comments at 1</w:t>
      </w:r>
      <w:r w:rsidR="00255D21">
        <w:t>-</w:t>
      </w:r>
      <w:r>
        <w:t>3.</w:t>
      </w:r>
    </w:p>
  </w:footnote>
  <w:footnote w:id="79">
    <w:p w:rsidR="00B2126E" w:rsidP="00B2126E" w14:paraId="2F5872C5" w14:textId="77777777">
      <w:pPr>
        <w:pStyle w:val="FootnoteText"/>
      </w:pPr>
      <w:r>
        <w:rPr>
          <w:rStyle w:val="FootnoteReference"/>
        </w:rPr>
        <w:footnoteRef/>
      </w:r>
      <w:r>
        <w:t xml:space="preserve"> MISO Initial Comments at 2.</w:t>
      </w:r>
    </w:p>
  </w:footnote>
  <w:footnote w:id="80">
    <w:p w:rsidR="0039730C" w:rsidP="0039730C" w14:paraId="41109CBA" w14:textId="6F008F81">
      <w:pPr>
        <w:pStyle w:val="FootnoteText"/>
      </w:pPr>
      <w:r>
        <w:rPr>
          <w:rStyle w:val="FootnoteReference"/>
        </w:rPr>
        <w:footnoteRef/>
      </w:r>
      <w:r>
        <w:t xml:space="preserve"> </w:t>
      </w:r>
      <w:r w:rsidR="00AA34E5">
        <w:rPr>
          <w:i/>
          <w:iCs/>
        </w:rPr>
        <w:t>Id.</w:t>
      </w:r>
    </w:p>
  </w:footnote>
  <w:footnote w:id="81">
    <w:p w:rsidR="00F57A44" w14:paraId="089995C3" w14:textId="71481DE8">
      <w:pPr>
        <w:pStyle w:val="FootnoteText"/>
      </w:pPr>
      <w:r>
        <w:rPr>
          <w:rStyle w:val="FootnoteReference"/>
        </w:rPr>
        <w:footnoteRef/>
      </w:r>
      <w:r>
        <w:t xml:space="preserve"> MISO Transmission Owners Initial Comments at 5.</w:t>
      </w:r>
    </w:p>
  </w:footnote>
  <w:footnote w:id="82">
    <w:p w:rsidR="00A3726E" w14:paraId="6215672E" w14:textId="79273E2C">
      <w:pPr>
        <w:pStyle w:val="FootnoteText"/>
      </w:pPr>
      <w:r>
        <w:rPr>
          <w:rStyle w:val="FootnoteReference"/>
        </w:rPr>
        <w:footnoteRef/>
      </w:r>
      <w:r w:rsidR="009F5B7D">
        <w:t xml:space="preserve"> </w:t>
      </w:r>
      <w:r w:rsidR="007A4B1A">
        <w:t xml:space="preserve">Joint Customers Initial Comments at 12; MISO Transmission Owners Initial Comments at </w:t>
      </w:r>
      <w:r w:rsidR="00BC5215">
        <w:t xml:space="preserve">19; </w:t>
      </w:r>
      <w:r w:rsidR="007A4B1A">
        <w:t xml:space="preserve">MISO Transmission Owners </w:t>
      </w:r>
      <w:r w:rsidR="00826CA7">
        <w:t xml:space="preserve">Reply </w:t>
      </w:r>
      <w:r w:rsidR="007A4B1A">
        <w:t xml:space="preserve">Comments at </w:t>
      </w:r>
      <w:r w:rsidR="00826CA7">
        <w:t>3</w:t>
      </w:r>
      <w:r w:rsidR="007A4B1A">
        <w:t xml:space="preserve">-5; </w:t>
      </w:r>
      <w:r w:rsidR="00287520">
        <w:t xml:space="preserve">New England Consumer Advocates Initial Comments at </w:t>
      </w:r>
      <w:r w:rsidR="00826CA7">
        <w:t>4-6</w:t>
      </w:r>
      <w:r w:rsidR="00287520">
        <w:t xml:space="preserve">; </w:t>
      </w:r>
      <w:r w:rsidR="007A4B1A">
        <w:t xml:space="preserve">TAPS Initial Comments at </w:t>
      </w:r>
      <w:r w:rsidR="00287520">
        <w:t>3</w:t>
      </w:r>
      <w:r w:rsidR="007A4B1A">
        <w:t>-5.</w:t>
      </w:r>
    </w:p>
  </w:footnote>
  <w:footnote w:id="83">
    <w:p w:rsidR="00907F97" w:rsidRPr="00836E3B" w14:paraId="6E6026AC" w14:textId="52D8ACF8">
      <w:pPr>
        <w:pStyle w:val="FootnoteText"/>
      </w:pPr>
      <w:r>
        <w:rPr>
          <w:rStyle w:val="FootnoteReference"/>
        </w:rPr>
        <w:footnoteRef/>
      </w:r>
      <w:r>
        <w:t xml:space="preserve"> </w:t>
      </w:r>
      <w:r w:rsidR="00836E3B">
        <w:rPr>
          <w:i/>
          <w:iCs/>
        </w:rPr>
        <w:t>See, e</w:t>
      </w:r>
      <w:r w:rsidRPr="008B3AAE" w:rsidR="00836E3B">
        <w:rPr>
          <w:i/>
          <w:iCs/>
        </w:rPr>
        <w:t>.g.</w:t>
      </w:r>
      <w:r w:rsidRPr="00C06B6B" w:rsidR="00836E3B">
        <w:t>,</w:t>
      </w:r>
      <w:r w:rsidRPr="008B3AAE" w:rsidR="00836E3B">
        <w:t xml:space="preserve"> PJM</w:t>
      </w:r>
      <w:r w:rsidR="00836E3B">
        <w:t xml:space="preserve"> IMM Initial Comments at 11-12 (“</w:t>
      </w:r>
      <w:r w:rsidRPr="00836E3B" w:rsidR="00836E3B">
        <w:t xml:space="preserve">There will be no adverse reliability impacts in PJM (or other similarly situated regions) for the same reasons </w:t>
      </w:r>
      <w:r w:rsidR="00C71A19">
        <w:t xml:space="preserve">       </w:t>
      </w:r>
      <w:r w:rsidRPr="00836E3B" w:rsidR="00836E3B">
        <w:t xml:space="preserve">that </w:t>
      </w:r>
      <w:r w:rsidR="007B71A5">
        <w:t>. . .</w:t>
      </w:r>
      <w:r w:rsidRPr="00836E3B" w:rsidR="00836E3B">
        <w:t xml:space="preserve"> there have been no observable impacts in regions that do not compensate generating facilities for the supply of reactive power with the standard power factor range. </w:t>
      </w:r>
      <w:r w:rsidR="0025444D">
        <w:t xml:space="preserve"> </w:t>
      </w:r>
      <w:r w:rsidRPr="00836E3B" w:rsidR="00836E3B">
        <w:t>As in the case of CAISO, SPP and MISO, new and existing generating facilities in PJM are required to provide reactive power within the standard power factor range as a condition of</w:t>
      </w:r>
      <w:r w:rsidR="00836E3B">
        <w:t xml:space="preserve"> </w:t>
      </w:r>
      <w:r w:rsidRPr="00836E3B" w:rsidR="00836E3B">
        <w:t xml:space="preserve">obtaining and maintaining interconnection service. </w:t>
      </w:r>
      <w:r w:rsidR="00120ED3">
        <w:t xml:space="preserve"> </w:t>
      </w:r>
      <w:r w:rsidRPr="00836E3B" w:rsidR="00836E3B">
        <w:t>There is no evidence that expanding the just and reasonable approach to compensation already in place in CAISO, SPP and MISO to PJM will have any adverse impact on reliability in PJM.</w:t>
      </w:r>
      <w:r w:rsidR="00836E3B">
        <w:t xml:space="preserve">”); </w:t>
      </w:r>
      <w:r w:rsidR="00E348B9">
        <w:t>MISO Transmission Owners Initial Comments at 13 (“</w:t>
      </w:r>
      <w:r w:rsidRPr="00E348B9" w:rsidR="00E348B9">
        <w:t xml:space="preserve">When the MISO Transmission Owners proposed to eliminate compensation for producing reactive power within the deadband, the most common protest from generators was that it would impact the reliability of the grid. </w:t>
      </w:r>
      <w:r w:rsidR="00F31896">
        <w:t xml:space="preserve"> </w:t>
      </w:r>
      <w:r w:rsidRPr="00E348B9" w:rsidR="00E348B9">
        <w:t>However, such claims are not supported by evidence and distract from the underlying fact that generators are obligated to provide reactive power within the deadband whether or not they are compensated for it.</w:t>
      </w:r>
      <w:r w:rsidR="00E348B9">
        <w:t>” (citations omitted)).</w:t>
      </w:r>
    </w:p>
  </w:footnote>
  <w:footnote w:id="84">
    <w:p w:rsidR="00D53702" w:rsidP="005067E6" w14:paraId="2615A781" w14:textId="1CF20F1F">
      <w:pPr>
        <w:pStyle w:val="FootnoteText"/>
      </w:pPr>
      <w:r>
        <w:rPr>
          <w:rStyle w:val="FootnoteReference"/>
        </w:rPr>
        <w:footnoteRef/>
      </w:r>
      <w:r>
        <w:t xml:space="preserve"> </w:t>
      </w:r>
      <w:r w:rsidR="00E348B9">
        <w:rPr>
          <w:i/>
          <w:iCs/>
        </w:rPr>
        <w:t>See, e.g.,</w:t>
      </w:r>
      <w:r w:rsidR="00E348B9">
        <w:t xml:space="preserve"> Ohio FEA Initial Comments at 5 (“</w:t>
      </w:r>
      <w:r w:rsidRPr="00E348B9" w:rsidR="00E348B9">
        <w:t>As a</w:t>
      </w:r>
      <w:r w:rsidR="00E348B9">
        <w:t xml:space="preserve"> </w:t>
      </w:r>
      <w:r w:rsidRPr="00E348B9" w:rsidR="00E348B9">
        <w:t>result, in areas like PJM, generators currently receive compensation regardless of proximity to</w:t>
      </w:r>
      <w:r w:rsidR="00E348B9">
        <w:t xml:space="preserve"> </w:t>
      </w:r>
      <w:r w:rsidRPr="00E348B9" w:rsidR="00E348B9">
        <w:t>locations on the transmission system where there is an actual need for additional reactive power.</w:t>
      </w:r>
      <w:r w:rsidR="00E348B9">
        <w:t>”)</w:t>
      </w:r>
      <w:r w:rsidR="005067E6">
        <w:t xml:space="preserve">; </w:t>
      </w:r>
      <w:r w:rsidR="005067E6">
        <w:rPr>
          <w:szCs w:val="26"/>
        </w:rPr>
        <w:t>Joint Customers Initial Comments at 17 (“</w:t>
      </w:r>
      <w:r w:rsidRPr="005067E6" w:rsidR="005067E6">
        <w:rPr>
          <w:szCs w:val="26"/>
        </w:rPr>
        <w:t>Further, the failure to account for transmission system needs or grid geography in the</w:t>
      </w:r>
      <w:r w:rsidR="005067E6">
        <w:rPr>
          <w:szCs w:val="26"/>
        </w:rPr>
        <w:t xml:space="preserve"> </w:t>
      </w:r>
      <w:r w:rsidRPr="005067E6" w:rsidR="005067E6">
        <w:rPr>
          <w:szCs w:val="26"/>
        </w:rPr>
        <w:t>current regime in regions like PJM undermine the reliability benefits of generators that</w:t>
      </w:r>
      <w:r w:rsidR="005067E6">
        <w:rPr>
          <w:szCs w:val="26"/>
        </w:rPr>
        <w:t xml:space="preserve"> </w:t>
      </w:r>
      <w:r w:rsidRPr="005067E6" w:rsidR="005067E6">
        <w:rPr>
          <w:szCs w:val="26"/>
        </w:rPr>
        <w:t>interconnect to the system with reactive capabilities, whether meeting or exceeding their baseline</w:t>
      </w:r>
      <w:r w:rsidR="005067E6">
        <w:rPr>
          <w:szCs w:val="26"/>
        </w:rPr>
        <w:t xml:space="preserve"> </w:t>
      </w:r>
      <w:r w:rsidRPr="005067E6" w:rsidR="005067E6">
        <w:rPr>
          <w:szCs w:val="26"/>
        </w:rPr>
        <w:t xml:space="preserve">interconnection requirements. </w:t>
      </w:r>
      <w:r w:rsidR="00F8017B">
        <w:rPr>
          <w:szCs w:val="26"/>
        </w:rPr>
        <w:t xml:space="preserve"> </w:t>
      </w:r>
      <w:r w:rsidRPr="005067E6" w:rsidR="005067E6">
        <w:rPr>
          <w:szCs w:val="26"/>
        </w:rPr>
        <w:t>The current paradigm has resulted in the development and</w:t>
      </w:r>
      <w:r w:rsidR="005067E6">
        <w:rPr>
          <w:szCs w:val="26"/>
        </w:rPr>
        <w:t xml:space="preserve"> </w:t>
      </w:r>
      <w:r w:rsidRPr="005067E6" w:rsidR="005067E6">
        <w:rPr>
          <w:szCs w:val="26"/>
        </w:rPr>
        <w:t>deployment of generator based reactive capability that is ill-suited to the needs of the transmission</w:t>
      </w:r>
      <w:r w:rsidR="005067E6">
        <w:rPr>
          <w:szCs w:val="26"/>
        </w:rPr>
        <w:t xml:space="preserve"> </w:t>
      </w:r>
      <w:r w:rsidRPr="005067E6" w:rsidR="005067E6">
        <w:rPr>
          <w:szCs w:val="26"/>
        </w:rPr>
        <w:t xml:space="preserve">system, and specifically that is well in excess of needs. </w:t>
      </w:r>
      <w:r w:rsidR="00F8017B">
        <w:rPr>
          <w:szCs w:val="26"/>
        </w:rPr>
        <w:t xml:space="preserve"> </w:t>
      </w:r>
      <w:r w:rsidRPr="005067E6" w:rsidR="005067E6">
        <w:rPr>
          <w:szCs w:val="26"/>
        </w:rPr>
        <w:t>Eliminating the incentive to overbuild</w:t>
      </w:r>
      <w:r w:rsidR="005067E6">
        <w:rPr>
          <w:szCs w:val="26"/>
        </w:rPr>
        <w:t xml:space="preserve"> </w:t>
      </w:r>
      <w:r w:rsidRPr="005067E6" w:rsidR="005067E6">
        <w:rPr>
          <w:szCs w:val="26"/>
        </w:rPr>
        <w:t>reactive capability will not negatively impact reliability.</w:t>
      </w:r>
      <w:r w:rsidR="005067E6">
        <w:rPr>
          <w:szCs w:val="26"/>
        </w:rPr>
        <w:t>”)</w:t>
      </w:r>
      <w:r>
        <w:rPr>
          <w:szCs w:val="26"/>
        </w:rPr>
        <w:t>.</w:t>
      </w:r>
    </w:p>
  </w:footnote>
  <w:footnote w:id="85">
    <w:p w:rsidR="00015BF5" w14:paraId="2B850116" w14:textId="459025BE">
      <w:pPr>
        <w:pStyle w:val="FootnoteText"/>
      </w:pPr>
      <w:r>
        <w:rPr>
          <w:rStyle w:val="FootnoteReference"/>
        </w:rPr>
        <w:footnoteRef/>
      </w:r>
      <w:r>
        <w:t xml:space="preserve"> </w:t>
      </w:r>
      <w:r w:rsidR="00593784">
        <w:t xml:space="preserve">TAPS Initial Comments at </w:t>
      </w:r>
      <w:r w:rsidR="008F1BD7">
        <w:t>4-5.</w:t>
      </w:r>
      <w:r w:rsidRPr="000529BB" w:rsidR="000529BB">
        <w:rPr>
          <w:szCs w:val="22"/>
        </w:rPr>
        <w:t xml:space="preserve"> </w:t>
      </w:r>
    </w:p>
  </w:footnote>
  <w:footnote w:id="86">
    <w:p w:rsidR="00C261D3" w14:paraId="170EB91C" w14:textId="38C7F368">
      <w:pPr>
        <w:pStyle w:val="FootnoteText"/>
      </w:pPr>
      <w:r>
        <w:rPr>
          <w:rStyle w:val="FootnoteReference"/>
        </w:rPr>
        <w:footnoteRef/>
      </w:r>
      <w:r>
        <w:t xml:space="preserve"> </w:t>
      </w:r>
      <w:r w:rsidRPr="00C261D3">
        <w:t>Joint Customers Initial Comments at 12</w:t>
      </w:r>
      <w:r>
        <w:t xml:space="preserve"> (citing </w:t>
      </w:r>
      <w:r w:rsidRPr="00C261D3">
        <w:rPr>
          <w:i/>
          <w:iCs/>
        </w:rPr>
        <w:t>Ill. Com</w:t>
      </w:r>
      <w:r w:rsidR="000B1DE3">
        <w:rPr>
          <w:i/>
          <w:iCs/>
        </w:rPr>
        <w:t>.</w:t>
      </w:r>
      <w:r w:rsidRPr="00C261D3">
        <w:rPr>
          <w:i/>
          <w:iCs/>
        </w:rPr>
        <w:t xml:space="preserve"> Comm’n. v. FERC</w:t>
      </w:r>
      <w:r w:rsidRPr="00C261D3">
        <w:t xml:space="preserve">, </w:t>
      </w:r>
      <w:r w:rsidR="000D130F">
        <w:t xml:space="preserve">   </w:t>
      </w:r>
      <w:r w:rsidRPr="00C261D3">
        <w:t>576 F.3d 470</w:t>
      </w:r>
      <w:r w:rsidR="00060AD0">
        <w:t>,</w:t>
      </w:r>
      <w:r w:rsidRPr="00C261D3">
        <w:t> 477 (</w:t>
      </w:r>
      <w:r w:rsidR="00EB7271">
        <w:t xml:space="preserve">7th Cir. </w:t>
      </w:r>
      <w:r w:rsidRPr="00C261D3">
        <w:t>2009))</w:t>
      </w:r>
      <w:r>
        <w:t>.</w:t>
      </w:r>
    </w:p>
  </w:footnote>
  <w:footnote w:id="87">
    <w:p w:rsidR="004E3881" w:rsidP="004E3881" w14:paraId="79578D5F" w14:textId="77777777">
      <w:pPr>
        <w:pStyle w:val="FootnoteText"/>
      </w:pPr>
      <w:r>
        <w:rPr>
          <w:rStyle w:val="FootnoteReference"/>
        </w:rPr>
        <w:footnoteRef/>
      </w:r>
      <w:r>
        <w:t xml:space="preserve"> AEP Initial Comments at 4-6; Joint Customers Initial Comments at 1-5; PJM IMM Initial Comments at 9.</w:t>
      </w:r>
    </w:p>
  </w:footnote>
  <w:footnote w:id="88">
    <w:p w:rsidR="00577021" w:rsidRPr="00DF7637" w:rsidP="00DF7637" w14:paraId="196500E4" w14:textId="3E1772AF">
      <w:pPr>
        <w:pStyle w:val="FootnoteText"/>
      </w:pPr>
      <w:r>
        <w:rPr>
          <w:rStyle w:val="FootnoteReference"/>
        </w:rPr>
        <w:footnoteRef/>
      </w:r>
      <w:r>
        <w:t xml:space="preserve"> Joint Consumer Advocates Initial Comments at 7.</w:t>
      </w:r>
      <w:r w:rsidR="00DF7637">
        <w:t xml:space="preserve">  </w:t>
      </w:r>
      <w:r w:rsidR="00DF7637">
        <w:rPr>
          <w:i/>
          <w:iCs/>
        </w:rPr>
        <w:t>See also</w:t>
      </w:r>
      <w:r w:rsidR="00DF7637">
        <w:t xml:space="preserve"> PJM IMM Initial Comments at 9 (“</w:t>
      </w:r>
      <w:r w:rsidRPr="00DF7637" w:rsidR="00DF7637">
        <w:t>Applying cost of service rules is costly, burdensome and unnecessary. Most reactive</w:t>
      </w:r>
      <w:r w:rsidR="00DF7637">
        <w:t xml:space="preserve"> </w:t>
      </w:r>
      <w:r w:rsidRPr="00DF7637" w:rsidR="00DF7637">
        <w:t>proceedings for generators in PJM are resolved in black box settlements that require</w:t>
      </w:r>
      <w:r w:rsidR="00DF7637">
        <w:t xml:space="preserve"> </w:t>
      </w:r>
      <w:r w:rsidRPr="00DF7637" w:rsidR="00DF7637">
        <w:t>substantial time and resources from all parties, fail to address the merits of the cost support</w:t>
      </w:r>
      <w:r w:rsidR="00DF7637">
        <w:t xml:space="preserve"> </w:t>
      </w:r>
      <w:r w:rsidRPr="00DF7637" w:rsidR="00DF7637">
        <w:t>provided, result from an unsupported split the difference approach, and that produce a wide,</w:t>
      </w:r>
      <w:r w:rsidR="00DF7637">
        <w:t xml:space="preserve"> </w:t>
      </w:r>
      <w:r w:rsidRPr="00DF7637" w:rsidR="00DF7637">
        <w:t>unreasonable and discriminatory disparity among the rates per paid per MW-year for the</w:t>
      </w:r>
      <w:r w:rsidR="00DF7637">
        <w:t xml:space="preserve"> </w:t>
      </w:r>
      <w:r w:rsidRPr="00DF7637" w:rsidR="00DF7637">
        <w:t>same service.</w:t>
      </w:r>
      <w:r w:rsidR="00DF7637">
        <w:t>”); Joint Customers Initial Comments at 7 (“</w:t>
      </w:r>
      <w:r w:rsidRPr="00DF7637" w:rsidR="00DF7637">
        <w:t>As well documented in comments to the NOI and described in the NOPR, the current</w:t>
      </w:r>
      <w:r w:rsidR="00DF7637">
        <w:t xml:space="preserve"> </w:t>
      </w:r>
      <w:r w:rsidRPr="00DF7637" w:rsidR="00DF7637">
        <w:t xml:space="preserve">individualized consideration of reactive filings purporting to apply the </w:t>
      </w:r>
      <w:r w:rsidRPr="00DF7637" w:rsidR="00DF7637">
        <w:rPr>
          <w:i/>
          <w:iCs/>
        </w:rPr>
        <w:t xml:space="preserve">AEP </w:t>
      </w:r>
      <w:r w:rsidR="00CD305A">
        <w:t>[M]</w:t>
      </w:r>
      <w:r w:rsidRPr="00DF7637" w:rsidR="00DF7637">
        <w:t>ethodology places a</w:t>
      </w:r>
      <w:r w:rsidR="00DF7637">
        <w:t xml:space="preserve"> </w:t>
      </w:r>
      <w:r w:rsidRPr="00DF7637" w:rsidR="00DF7637">
        <w:t>heavy burden on customers, Transmission Providers, and the Commission while resulting in</w:t>
      </w:r>
      <w:r w:rsidR="00DF7637">
        <w:t xml:space="preserve"> </w:t>
      </w:r>
      <w:r w:rsidRPr="00DF7637" w:rsidR="00DF7637">
        <w:t>customer charges with dubious connection to any clear benefits to the customers paying those</w:t>
      </w:r>
      <w:r w:rsidR="00DF7637">
        <w:t xml:space="preserve"> </w:t>
      </w:r>
      <w:r w:rsidRPr="00DF7637" w:rsidR="00DF7637">
        <w:t xml:space="preserve">charges. </w:t>
      </w:r>
      <w:r w:rsidR="0089243E">
        <w:t xml:space="preserve"> </w:t>
      </w:r>
      <w:r w:rsidRPr="00DF7637" w:rsidR="00DF7637">
        <w:t>This combination created an intolerable condition necessitating Commission action to</w:t>
      </w:r>
      <w:r w:rsidR="00DF7637">
        <w:t xml:space="preserve"> </w:t>
      </w:r>
      <w:r w:rsidRPr="00DF7637" w:rsidR="00DF7637">
        <w:t>reform the compensation structure.</w:t>
      </w:r>
      <w:r w:rsidR="00DF7637">
        <w:t>”).</w:t>
      </w:r>
    </w:p>
  </w:footnote>
  <w:footnote w:id="89">
    <w:p w:rsidR="009B5F74" w:rsidP="009B5F74" w14:paraId="65E83F94" w14:textId="17497AC1">
      <w:pPr>
        <w:pStyle w:val="FootnoteText"/>
      </w:pPr>
      <w:r>
        <w:rPr>
          <w:rStyle w:val="FootnoteReference"/>
        </w:rPr>
        <w:footnoteRef/>
      </w:r>
      <w:r>
        <w:t xml:space="preserve"> AEP Initial Comments at 4-</w:t>
      </w:r>
      <w:r w:rsidR="00666A97">
        <w:t>5</w:t>
      </w:r>
      <w:r>
        <w:t>.</w:t>
      </w:r>
    </w:p>
  </w:footnote>
  <w:footnote w:id="90">
    <w:p w:rsidR="006D10F9" w:rsidP="006D10F9" w14:paraId="6A25A901" w14:textId="5CBEC3C5">
      <w:pPr>
        <w:pStyle w:val="FootnoteText"/>
      </w:pPr>
      <w:r>
        <w:rPr>
          <w:rStyle w:val="FootnoteReference"/>
        </w:rPr>
        <w:footnoteRef/>
      </w:r>
      <w:r>
        <w:t xml:space="preserve"> New England Consumer Advocates Initial Comments at 3-4.  </w:t>
      </w:r>
      <w:r>
        <w:rPr>
          <w:i/>
          <w:iCs/>
        </w:rPr>
        <w:t>See also</w:t>
      </w:r>
      <w:r>
        <w:t xml:space="preserve"> PJM IMM Initial Comments at 5 (“</w:t>
      </w:r>
      <w:r w:rsidRPr="00593031">
        <w:t>Most recent cases settled prior to issuance of the NOPR have settled for costs well in</w:t>
      </w:r>
      <w:r>
        <w:t xml:space="preserve"> </w:t>
      </w:r>
      <w:r w:rsidRPr="00593031">
        <w:t xml:space="preserve">excess of the average cost and well in excess of the ARR offset amount. </w:t>
      </w:r>
      <w:r w:rsidR="005D3931">
        <w:t xml:space="preserve"> </w:t>
      </w:r>
      <w:r w:rsidRPr="00593031">
        <w:t>The issue is growing</w:t>
      </w:r>
      <w:r>
        <w:t xml:space="preserve"> </w:t>
      </w:r>
      <w:r w:rsidRPr="00593031">
        <w:t>in significance.</w:t>
      </w:r>
      <w:r>
        <w:t>”); MISO Transmission Owners Initial Comments at 5 (“</w:t>
      </w:r>
      <w:r w:rsidRPr="000500D7">
        <w:t>The Commission’s preliminary findings that led to the changes proposed in the</w:t>
      </w:r>
      <w:r>
        <w:t xml:space="preserve"> </w:t>
      </w:r>
      <w:r w:rsidRPr="000500D7">
        <w:t xml:space="preserve">NOPR are accurate. </w:t>
      </w:r>
      <w:r w:rsidR="00AF551B">
        <w:t xml:space="preserve"> </w:t>
      </w:r>
      <w:r w:rsidRPr="000500D7">
        <w:t>The current framework for reactive power compensation can result in</w:t>
      </w:r>
      <w:r>
        <w:t xml:space="preserve"> </w:t>
      </w:r>
      <w:r w:rsidRPr="000500D7">
        <w:t>transmission customers being required to pay for a service that generators already are</w:t>
      </w:r>
      <w:r>
        <w:t xml:space="preserve"> </w:t>
      </w:r>
      <w:r w:rsidRPr="000500D7">
        <w:t xml:space="preserve">required to provide and that costs them little or nothing to provide. </w:t>
      </w:r>
      <w:r w:rsidR="00AF551B">
        <w:t xml:space="preserve"> </w:t>
      </w:r>
      <w:r w:rsidRPr="000500D7">
        <w:t>Therefore, the current</w:t>
      </w:r>
      <w:r>
        <w:t xml:space="preserve"> </w:t>
      </w:r>
      <w:r w:rsidRPr="000500D7">
        <w:t>framework allows for compensation that is neither just nor reasonable.</w:t>
      </w:r>
      <w:r>
        <w:t>”).</w:t>
      </w:r>
    </w:p>
  </w:footnote>
  <w:footnote w:id="91">
    <w:p w:rsidR="00D24C6A" w:rsidP="00D24C6A" w14:paraId="2297E04A" w14:textId="77777777">
      <w:pPr>
        <w:pStyle w:val="FootnoteText"/>
      </w:pPr>
      <w:r w:rsidRPr="7DE1725D">
        <w:rPr>
          <w:rStyle w:val="FootnoteReference"/>
        </w:rPr>
        <w:footnoteRef/>
      </w:r>
      <w:r>
        <w:t xml:space="preserve"> PJM IMM Reply Comments at 1-2.</w:t>
      </w:r>
    </w:p>
  </w:footnote>
  <w:footnote w:id="92">
    <w:p w:rsidR="001B210F" w:rsidP="001B210F" w14:paraId="135ED2EE" w14:textId="77777777">
      <w:pPr>
        <w:pStyle w:val="FootnoteText"/>
      </w:pPr>
      <w:r>
        <w:rPr>
          <w:rStyle w:val="FootnoteReference"/>
        </w:rPr>
        <w:footnoteRef/>
      </w:r>
      <w:r>
        <w:t xml:space="preserve"> Clean Energy Associations Initial Comments at 2-3; </w:t>
      </w:r>
      <w:r w:rsidRPr="00454D81">
        <w:rPr>
          <w:szCs w:val="26"/>
        </w:rPr>
        <w:t>Indicated Trade Associations Reply Comments at 16</w:t>
      </w:r>
      <w:r>
        <w:rPr>
          <w:szCs w:val="26"/>
        </w:rPr>
        <w:t xml:space="preserve">; </w:t>
      </w:r>
      <w:r>
        <w:t>NEI Initial Comments at 1.</w:t>
      </w:r>
    </w:p>
  </w:footnote>
  <w:footnote w:id="93">
    <w:p w:rsidR="00717444" w:rsidP="00717444" w14:paraId="2C7B7926" w14:textId="36458C84">
      <w:pPr>
        <w:pStyle w:val="FootnoteText"/>
      </w:pPr>
      <w:r>
        <w:rPr>
          <w:rStyle w:val="FootnoteReference"/>
        </w:rPr>
        <w:footnoteRef/>
      </w:r>
      <w:r>
        <w:t xml:space="preserve"> Reactive Service Providers Initial Comments at </w:t>
      </w:r>
      <w:r w:rsidR="00084B6A">
        <w:t xml:space="preserve">4, </w:t>
      </w:r>
      <w:r w:rsidR="006130F6">
        <w:t>29</w:t>
      </w:r>
      <w:r>
        <w:t>-34.</w:t>
      </w:r>
    </w:p>
  </w:footnote>
  <w:footnote w:id="94">
    <w:p w:rsidR="00E16BC8" w:rsidP="00E16BC8" w14:paraId="6FC606C0" w14:textId="45232F44">
      <w:pPr>
        <w:pStyle w:val="FootnoteText"/>
      </w:pPr>
      <w:r>
        <w:rPr>
          <w:rStyle w:val="FootnoteReference"/>
        </w:rPr>
        <w:footnoteRef/>
      </w:r>
      <w:r>
        <w:t xml:space="preserve"> </w:t>
      </w:r>
      <w:r w:rsidR="00356F7B">
        <w:rPr>
          <w:i/>
          <w:iCs/>
        </w:rPr>
        <w:t>Id.</w:t>
      </w:r>
      <w:r>
        <w:t xml:space="preserve"> at 41-43.</w:t>
      </w:r>
    </w:p>
  </w:footnote>
  <w:footnote w:id="95">
    <w:p w:rsidR="00E16BC8" w:rsidP="00E16BC8" w14:paraId="1AFDFA06" w14:textId="71D92256">
      <w:pPr>
        <w:pStyle w:val="FootnoteText"/>
      </w:pPr>
      <w:r>
        <w:rPr>
          <w:rStyle w:val="FootnoteReference"/>
        </w:rPr>
        <w:footnoteRef/>
      </w:r>
      <w:r>
        <w:t xml:space="preserve"> </w:t>
      </w:r>
      <w:r w:rsidR="00356F7B">
        <w:rPr>
          <w:i/>
          <w:iCs/>
        </w:rPr>
        <w:t>Id.</w:t>
      </w:r>
      <w:r>
        <w:t xml:space="preserve"> at 43-48.</w:t>
      </w:r>
    </w:p>
  </w:footnote>
  <w:footnote w:id="96">
    <w:p w:rsidR="00E16BC8" w:rsidP="00E16BC8" w14:paraId="1C6D7ED7" w14:textId="576BD729">
      <w:pPr>
        <w:pStyle w:val="FootnoteText"/>
      </w:pPr>
      <w:r>
        <w:rPr>
          <w:rStyle w:val="FootnoteReference"/>
        </w:rPr>
        <w:footnoteRef/>
      </w:r>
      <w:r>
        <w:t xml:space="preserve"> </w:t>
      </w:r>
      <w:r w:rsidR="00356F7B">
        <w:rPr>
          <w:i/>
          <w:iCs/>
        </w:rPr>
        <w:t>Id.</w:t>
      </w:r>
      <w:r>
        <w:t xml:space="preserve"> at 48-52.</w:t>
      </w:r>
    </w:p>
  </w:footnote>
  <w:footnote w:id="97">
    <w:p w:rsidR="00E16BC8" w:rsidP="00E16BC8" w14:paraId="2FA7BC99" w14:textId="5F2A3408">
      <w:pPr>
        <w:pStyle w:val="FootnoteText"/>
      </w:pPr>
      <w:r>
        <w:rPr>
          <w:rStyle w:val="FootnoteReference"/>
        </w:rPr>
        <w:footnoteRef/>
      </w:r>
      <w:r>
        <w:t xml:space="preserve"> </w:t>
      </w:r>
      <w:r w:rsidR="00356F7B">
        <w:rPr>
          <w:i/>
          <w:iCs/>
        </w:rPr>
        <w:t>Id.</w:t>
      </w:r>
      <w:r>
        <w:t xml:space="preserve"> at 53-54.</w:t>
      </w:r>
    </w:p>
  </w:footnote>
  <w:footnote w:id="98">
    <w:p w:rsidR="00E16BC8" w:rsidP="00E16BC8" w14:paraId="50FAFFCA" w14:textId="711B0593">
      <w:pPr>
        <w:pStyle w:val="FootnoteText"/>
      </w:pPr>
      <w:r>
        <w:rPr>
          <w:rStyle w:val="FootnoteReference"/>
        </w:rPr>
        <w:footnoteRef/>
      </w:r>
      <w:r>
        <w:t xml:space="preserve"> </w:t>
      </w:r>
      <w:r w:rsidR="00356F7B">
        <w:rPr>
          <w:i/>
          <w:iCs/>
        </w:rPr>
        <w:t>Id.</w:t>
      </w:r>
      <w:r>
        <w:t xml:space="preserve"> at 76-77.</w:t>
      </w:r>
    </w:p>
  </w:footnote>
  <w:footnote w:id="99">
    <w:p w:rsidR="00E16BC8" w:rsidP="00E16BC8" w14:paraId="4833C9CA" w14:textId="34B1BD1B">
      <w:pPr>
        <w:pStyle w:val="FootnoteText"/>
      </w:pPr>
      <w:r>
        <w:rPr>
          <w:rStyle w:val="FootnoteReference"/>
        </w:rPr>
        <w:footnoteRef/>
      </w:r>
      <w:r>
        <w:t xml:space="preserve"> </w:t>
      </w:r>
      <w:r w:rsidR="00356F7B">
        <w:rPr>
          <w:i/>
          <w:iCs/>
        </w:rPr>
        <w:t>Id.</w:t>
      </w:r>
      <w:r>
        <w:t xml:space="preserve"> at 77.</w:t>
      </w:r>
    </w:p>
  </w:footnote>
  <w:footnote w:id="100">
    <w:p w:rsidR="005770E4" w:rsidP="005770E4" w14:paraId="65A62619" w14:textId="01A4328E">
      <w:pPr>
        <w:pStyle w:val="FootnoteText"/>
      </w:pPr>
      <w:r w:rsidRPr="00454D81">
        <w:rPr>
          <w:rStyle w:val="FootnoteReference"/>
          <w:szCs w:val="26"/>
        </w:rPr>
        <w:footnoteRef/>
      </w:r>
      <w:r w:rsidRPr="00454D81">
        <w:rPr>
          <w:szCs w:val="26"/>
        </w:rPr>
        <w:t xml:space="preserve"> Indicated Trade Associations Reply Comments at </w:t>
      </w:r>
      <w:r w:rsidR="00D8341A">
        <w:rPr>
          <w:szCs w:val="26"/>
        </w:rPr>
        <w:t>16-</w:t>
      </w:r>
      <w:r w:rsidRPr="00454D81">
        <w:rPr>
          <w:szCs w:val="26"/>
        </w:rPr>
        <w:t>17.</w:t>
      </w:r>
    </w:p>
  </w:footnote>
  <w:footnote w:id="101">
    <w:p w:rsidR="00406B43" w:rsidRPr="00454D81" w:rsidP="00406B43" w14:paraId="72277085" w14:textId="21B09372">
      <w:pPr>
        <w:pStyle w:val="FootnoteText"/>
        <w:rPr>
          <w:szCs w:val="26"/>
        </w:rPr>
      </w:pPr>
      <w:r w:rsidRPr="00454D81">
        <w:rPr>
          <w:rStyle w:val="FootnoteReference"/>
          <w:szCs w:val="26"/>
        </w:rPr>
        <w:footnoteRef/>
      </w:r>
      <w:r w:rsidRPr="00454D81">
        <w:rPr>
          <w:szCs w:val="26"/>
        </w:rPr>
        <w:t xml:space="preserve"> </w:t>
      </w:r>
      <w:r w:rsidR="00760A2A">
        <w:rPr>
          <w:i/>
          <w:iCs/>
          <w:szCs w:val="26"/>
        </w:rPr>
        <w:t>Id.</w:t>
      </w:r>
      <w:r w:rsidRPr="00454D81">
        <w:rPr>
          <w:szCs w:val="26"/>
        </w:rPr>
        <w:t xml:space="preserve"> at 8-9.</w:t>
      </w:r>
    </w:p>
  </w:footnote>
  <w:footnote w:id="102">
    <w:p w:rsidR="00E95A93" w:rsidP="00E95A93" w14:paraId="4EB0ED89" w14:textId="0D439E90">
      <w:pPr>
        <w:pStyle w:val="FootnoteText"/>
      </w:pPr>
      <w:r>
        <w:rPr>
          <w:rStyle w:val="FootnoteReference"/>
        </w:rPr>
        <w:footnoteRef/>
      </w:r>
      <w:r>
        <w:t xml:space="preserve"> </w:t>
      </w:r>
      <w:r w:rsidRPr="00EA0C2A">
        <w:rPr>
          <w:szCs w:val="26"/>
        </w:rPr>
        <w:t>ISO-NE Initial Comment</w:t>
      </w:r>
      <w:r>
        <w:rPr>
          <w:szCs w:val="26"/>
        </w:rPr>
        <w:t>s</w:t>
      </w:r>
      <w:r w:rsidRPr="00EA0C2A">
        <w:rPr>
          <w:szCs w:val="26"/>
        </w:rPr>
        <w:t xml:space="preserve"> at 1-2</w:t>
      </w:r>
      <w:r>
        <w:t>, NESCOE Reply Comments at 2; NEPGA Reply Comments at 6-7; NEPOOL Reply Comments at 6-7.</w:t>
      </w:r>
      <w:r w:rsidR="00AC671B">
        <w:t xml:space="preserve">  </w:t>
      </w:r>
      <w:r w:rsidRPr="007A0796" w:rsidR="00AC671B">
        <w:t xml:space="preserve">ISO-NE explains that its VAR service consists of four components: </w:t>
      </w:r>
      <w:r w:rsidR="00CB6FE2">
        <w:t xml:space="preserve"> </w:t>
      </w:r>
      <w:r w:rsidRPr="007A0796" w:rsidR="00AC671B">
        <w:t xml:space="preserve">(1) the fixed Capacity Cost (CC) rate, under which Qualified Reactive Resources are eligible to receive VAR </w:t>
      </w:r>
      <w:r w:rsidR="00AC671B">
        <w:t>p</w:t>
      </w:r>
      <w:r w:rsidRPr="007A0796" w:rsidR="00AC671B">
        <w:t xml:space="preserve">ayments for their measurable capability to provide VAR </w:t>
      </w:r>
      <w:r w:rsidR="00AC671B">
        <w:t>s</w:t>
      </w:r>
      <w:r w:rsidRPr="007A0796" w:rsidR="00AC671B">
        <w:t>ervice to the New England Transmission System; (2) the variable Lost Opportunity Cost, which compensates for the value of a resource’s lost opportunity in the wholesale energy market in situations where a resource that would otherwise be economically dispatched is directed by the ISO to reduce real power output to provide more reactive power; (3) the variable Cost of Energy Consumed, which compensates for the cost of energy consumed by the resource solely to provide reactive power; and (4) the Cost of Energy Produced, which compensates for the difference between the locational marginal price and a resource’s offer price, if the locational marginal price is lower than the offer price, for each hour the resource provides reactive power.</w:t>
      </w:r>
      <w:r w:rsidR="00AC671B">
        <w:t xml:space="preserve">  </w:t>
      </w:r>
      <w:r w:rsidRPr="002B79C6" w:rsidR="00AC671B">
        <w:t>ISO-NE Initial Comments at 3-4.  ISO-NE notes that the components other than the CC component may occur infrequently and are far less than the CC rate component.  ISO-NE Initial Comments at 4 n.5.</w:t>
      </w:r>
    </w:p>
  </w:footnote>
  <w:footnote w:id="103">
    <w:p w:rsidR="00E95A93" w:rsidP="00E95A93" w14:paraId="7495864B" w14:textId="77777777">
      <w:pPr>
        <w:pStyle w:val="FootnoteText"/>
      </w:pPr>
      <w:r>
        <w:rPr>
          <w:rStyle w:val="FootnoteReference"/>
        </w:rPr>
        <w:footnoteRef/>
      </w:r>
      <w:r>
        <w:t xml:space="preserve"> </w:t>
      </w:r>
      <w:r w:rsidRPr="00EA0C2A">
        <w:rPr>
          <w:szCs w:val="26"/>
        </w:rPr>
        <w:t>ISO-NE Initial Comment</w:t>
      </w:r>
      <w:r>
        <w:rPr>
          <w:szCs w:val="26"/>
        </w:rPr>
        <w:t>s</w:t>
      </w:r>
      <w:r w:rsidRPr="00EA0C2A">
        <w:rPr>
          <w:szCs w:val="26"/>
        </w:rPr>
        <w:t xml:space="preserve"> at 1-2</w:t>
      </w:r>
      <w:r>
        <w:rPr>
          <w:szCs w:val="26"/>
        </w:rPr>
        <w:t>.</w:t>
      </w:r>
    </w:p>
  </w:footnote>
  <w:footnote w:id="104">
    <w:p w:rsidR="00E95A93" w:rsidP="00C71A19" w14:paraId="274DF02C" w14:textId="24976D6B">
      <w:pPr>
        <w:pStyle w:val="FootnoteText"/>
        <w:widowControl/>
      </w:pPr>
      <w:r>
        <w:rPr>
          <w:rStyle w:val="FootnoteReference"/>
        </w:rPr>
        <w:footnoteRef/>
      </w:r>
      <w:r>
        <w:t xml:space="preserve"> </w:t>
      </w:r>
      <w:r w:rsidR="00CB6FE2">
        <w:rPr>
          <w:i/>
          <w:iCs/>
          <w:szCs w:val="26"/>
        </w:rPr>
        <w:t>Id.</w:t>
      </w:r>
      <w:r w:rsidRPr="00EA0C2A">
        <w:rPr>
          <w:szCs w:val="26"/>
        </w:rPr>
        <w:t xml:space="preserve"> at 3</w:t>
      </w:r>
      <w:r>
        <w:rPr>
          <w:szCs w:val="26"/>
        </w:rPr>
        <w:t xml:space="preserve">-5, 14. </w:t>
      </w:r>
      <w:r w:rsidR="00CB6FE2">
        <w:rPr>
          <w:szCs w:val="26"/>
        </w:rPr>
        <w:t xml:space="preserve"> </w:t>
      </w:r>
      <w:r w:rsidRPr="00423C77">
        <w:rPr>
          <w:szCs w:val="26"/>
        </w:rPr>
        <w:t xml:space="preserve">The ISO New England Ancillary Service Schedule 2 Business Procedure is available on the ISO-NE website:  </w:t>
      </w:r>
      <w:r w:rsidRPr="00C06B6B">
        <w:rPr>
          <w:szCs w:val="26"/>
        </w:rPr>
        <w:t>https://www.iso-ne.com/static-assets/documents/rules_proceds/operating/gen_var_cap/schedule_2_var_business_procedure.pdf</w:t>
      </w:r>
      <w:r w:rsidRPr="00423C77">
        <w:rPr>
          <w:szCs w:val="26"/>
        </w:rPr>
        <w:t xml:space="preserve">. </w:t>
      </w:r>
      <w:r w:rsidR="00092DFA">
        <w:rPr>
          <w:szCs w:val="26"/>
        </w:rPr>
        <w:t xml:space="preserve"> </w:t>
      </w:r>
      <w:r w:rsidRPr="00423C77">
        <w:rPr>
          <w:szCs w:val="26"/>
        </w:rPr>
        <w:t xml:space="preserve">Operating Procedures include primarily: </w:t>
      </w:r>
      <w:r w:rsidR="00092DFA">
        <w:rPr>
          <w:szCs w:val="26"/>
        </w:rPr>
        <w:t xml:space="preserve"> </w:t>
      </w:r>
      <w:r w:rsidRPr="00423C77">
        <w:rPr>
          <w:szCs w:val="26"/>
        </w:rPr>
        <w:t xml:space="preserve">ISO New England Operating Procedure No. 12 – Voltage and Reactive Control, available at </w:t>
      </w:r>
      <w:r w:rsidRPr="00C06B6B">
        <w:rPr>
          <w:szCs w:val="26"/>
        </w:rPr>
        <w:t>https://www.iso-ne.com/static-assets/documents/rules_proceds/operating/isone/op12/op12_rto_final.pdf</w:t>
      </w:r>
      <w:r w:rsidRPr="00423C77">
        <w:rPr>
          <w:szCs w:val="26"/>
        </w:rPr>
        <w:t xml:space="preserve">; and ISO New England Operating Procedures No. 23 – Generating Resource Auditing, available </w:t>
      </w:r>
      <w:r w:rsidRPr="008B3AAE">
        <w:rPr>
          <w:szCs w:val="26"/>
        </w:rPr>
        <w:t xml:space="preserve">at </w:t>
      </w:r>
      <w:r w:rsidRPr="00C06B6B">
        <w:rPr>
          <w:color w:val="000000" w:themeColor="text1"/>
          <w:szCs w:val="26"/>
        </w:rPr>
        <w:t>http://www.iso-ne.com/static-assets/documents/rules_proceds/operating/isone/op23/op23_rto_final.pdf.</w:t>
      </w:r>
    </w:p>
  </w:footnote>
  <w:footnote w:id="105">
    <w:p w:rsidR="00E95A93" w:rsidP="00E95A93" w14:paraId="74038473" w14:textId="77777777">
      <w:pPr>
        <w:pStyle w:val="FootnoteText"/>
      </w:pPr>
      <w:r>
        <w:rPr>
          <w:rStyle w:val="FootnoteReference"/>
        </w:rPr>
        <w:footnoteRef/>
      </w:r>
      <w:r>
        <w:t xml:space="preserve"> NEPOOL Reply Comments at 6-7.</w:t>
      </w:r>
    </w:p>
  </w:footnote>
  <w:footnote w:id="106">
    <w:p w:rsidR="00A70C79" w:rsidP="00A70C79" w14:paraId="7FE84A84" w14:textId="1BF7C1D2">
      <w:pPr>
        <w:pStyle w:val="FootnoteText"/>
      </w:pPr>
      <w:r>
        <w:rPr>
          <w:rStyle w:val="FootnoteReference"/>
        </w:rPr>
        <w:footnoteRef/>
      </w:r>
      <w:r>
        <w:t xml:space="preserve"> </w:t>
      </w:r>
      <w:r w:rsidR="00CB6FE2">
        <w:rPr>
          <w:i/>
          <w:iCs/>
        </w:rPr>
        <w:t>Id.</w:t>
      </w:r>
      <w:r>
        <w:t xml:space="preserve"> at 6-7.</w:t>
      </w:r>
    </w:p>
  </w:footnote>
  <w:footnote w:id="107">
    <w:p w:rsidR="002E3E7D" w:rsidRPr="008E4AEA" w:rsidP="002E3E7D" w14:paraId="1AC2DA32" w14:textId="77777777">
      <w:pPr>
        <w:pStyle w:val="FootnoteText"/>
      </w:pPr>
      <w:r w:rsidRPr="008E4AEA">
        <w:rPr>
          <w:rStyle w:val="FootnoteReference"/>
        </w:rPr>
        <w:footnoteRef/>
      </w:r>
      <w:r w:rsidRPr="008E4AEA">
        <w:t xml:space="preserve"> NYISO Initial Comments at 1.</w:t>
      </w:r>
    </w:p>
  </w:footnote>
  <w:footnote w:id="108">
    <w:p w:rsidR="00E95A93" w:rsidRPr="008E4AEA" w:rsidP="00E95A93" w14:paraId="1AC23D8E" w14:textId="6AF6A6B2">
      <w:pPr>
        <w:pStyle w:val="FootnoteText"/>
      </w:pPr>
      <w:r w:rsidRPr="008E4AEA">
        <w:rPr>
          <w:rStyle w:val="FootnoteReference"/>
        </w:rPr>
        <w:footnoteRef/>
      </w:r>
      <w:r w:rsidRPr="008E4AEA">
        <w:t xml:space="preserve"> </w:t>
      </w:r>
      <w:r w:rsidR="00CB6FE2">
        <w:rPr>
          <w:i/>
          <w:iCs/>
        </w:rPr>
        <w:t>Id.</w:t>
      </w:r>
      <w:r w:rsidRPr="008E4AEA">
        <w:t xml:space="preserve"> at 2</w:t>
      </w:r>
      <w:r>
        <w:t>; IPPNY Reply Comments at 1-2.</w:t>
      </w:r>
    </w:p>
  </w:footnote>
  <w:footnote w:id="109">
    <w:p w:rsidR="00E95A93" w:rsidRPr="008E4AEA" w:rsidP="00E95A93" w14:paraId="28C02CFB" w14:textId="77777777">
      <w:pPr>
        <w:pStyle w:val="FootnoteText"/>
      </w:pPr>
      <w:r w:rsidRPr="008E4AEA">
        <w:rPr>
          <w:rStyle w:val="FootnoteReference"/>
        </w:rPr>
        <w:footnoteRef/>
      </w:r>
      <w:r w:rsidRPr="008E4AEA">
        <w:t xml:space="preserve"> NYISO Initial Comments at 2-5.</w:t>
      </w:r>
    </w:p>
  </w:footnote>
  <w:footnote w:id="110">
    <w:p w:rsidR="00E95A93" w:rsidRPr="008E4AEA" w:rsidP="00E95A93" w14:paraId="6F8A5C18" w14:textId="1365E058">
      <w:pPr>
        <w:pStyle w:val="FootnoteText"/>
      </w:pPr>
      <w:r w:rsidRPr="008E4AEA">
        <w:rPr>
          <w:rStyle w:val="FootnoteReference"/>
        </w:rPr>
        <w:footnoteRef/>
      </w:r>
      <w:r w:rsidRPr="008E4AEA">
        <w:t xml:space="preserve"> </w:t>
      </w:r>
      <w:r w:rsidR="00CB6FE2">
        <w:rPr>
          <w:i/>
          <w:iCs/>
        </w:rPr>
        <w:t>Id.</w:t>
      </w:r>
      <w:r w:rsidRPr="008E4AEA">
        <w:t xml:space="preserve"> at 7-8.</w:t>
      </w:r>
    </w:p>
  </w:footnote>
  <w:footnote w:id="111">
    <w:p w:rsidR="00E95A93" w:rsidRPr="008E4AEA" w:rsidP="00E95A93" w14:paraId="29FBE66D" w14:textId="465C562D">
      <w:pPr>
        <w:pStyle w:val="FootnoteText"/>
      </w:pPr>
      <w:r w:rsidRPr="008E4AEA">
        <w:rPr>
          <w:rStyle w:val="FootnoteReference"/>
        </w:rPr>
        <w:footnoteRef/>
      </w:r>
      <w:r w:rsidRPr="008E4AEA">
        <w:t xml:space="preserve"> </w:t>
      </w:r>
      <w:r w:rsidR="00CB6FE2">
        <w:rPr>
          <w:i/>
          <w:iCs/>
        </w:rPr>
        <w:t>Id.</w:t>
      </w:r>
      <w:r w:rsidRPr="008E4AEA">
        <w:t xml:space="preserve"> at 7-8.</w:t>
      </w:r>
    </w:p>
  </w:footnote>
  <w:footnote w:id="112">
    <w:p w:rsidR="00E95A93" w:rsidP="00E95A93" w14:paraId="3FC3B80B" w14:textId="5F62DDC1">
      <w:pPr>
        <w:pStyle w:val="FootnoteText"/>
      </w:pPr>
      <w:r w:rsidRPr="008E4AEA">
        <w:rPr>
          <w:rStyle w:val="FootnoteReference"/>
        </w:rPr>
        <w:footnoteRef/>
      </w:r>
      <w:r w:rsidRPr="008E4AEA">
        <w:t xml:space="preserve"> </w:t>
      </w:r>
      <w:r w:rsidR="00CB6FE2">
        <w:rPr>
          <w:i/>
          <w:iCs/>
        </w:rPr>
        <w:t>Id.</w:t>
      </w:r>
      <w:r w:rsidRPr="008E4AEA">
        <w:t xml:space="preserve"> at 14.</w:t>
      </w:r>
    </w:p>
  </w:footnote>
  <w:footnote w:id="113">
    <w:p w:rsidR="005F534D" w14:paraId="2BB53A86" w14:textId="7B4F2E28">
      <w:pPr>
        <w:pStyle w:val="FootnoteText"/>
      </w:pPr>
      <w:r>
        <w:rPr>
          <w:rStyle w:val="FootnoteReference"/>
        </w:rPr>
        <w:footnoteRef/>
      </w:r>
      <w:r>
        <w:t xml:space="preserve"> Indicated Trade Associations Initial Comments at 22-24</w:t>
      </w:r>
      <w:r w:rsidR="00A934B2">
        <w:t xml:space="preserve"> </w:t>
      </w:r>
      <w:r w:rsidRPr="00A934B2" w:rsidR="00A934B2">
        <w:t xml:space="preserve">(citing </w:t>
      </w:r>
      <w:r w:rsidRPr="00A934B2" w:rsidR="00A934B2">
        <w:rPr>
          <w:i/>
          <w:iCs/>
        </w:rPr>
        <w:t>Smyth v. Ames</w:t>
      </w:r>
      <w:r w:rsidRPr="00A934B2" w:rsidR="00A934B2">
        <w:t>, 169 U.S. 466, 546 (1898))</w:t>
      </w:r>
      <w:r>
        <w:t>.</w:t>
      </w:r>
    </w:p>
  </w:footnote>
  <w:footnote w:id="114">
    <w:p w:rsidR="005C1FD5" w:rsidP="005F534D" w14:paraId="63E42874" w14:textId="4A3FBF33">
      <w:pPr>
        <w:pStyle w:val="FootnoteText"/>
      </w:pPr>
      <w:r>
        <w:rPr>
          <w:rStyle w:val="FootnoteReference"/>
        </w:rPr>
        <w:footnoteRef/>
      </w:r>
      <w:r w:rsidR="005F534D">
        <w:t xml:space="preserve"> Generation Developers Initial Comments at 26</w:t>
      </w:r>
      <w:r>
        <w:t xml:space="preserve"> </w:t>
      </w:r>
      <w:r w:rsidR="005F534D">
        <w:t xml:space="preserve">(citing </w:t>
      </w:r>
      <w:r w:rsidRPr="005F534D" w:rsidR="005F534D">
        <w:rPr>
          <w:i/>
          <w:iCs/>
        </w:rPr>
        <w:t>Horne v. Dept. of Ag</w:t>
      </w:r>
      <w:r w:rsidRPr="005F534D" w:rsidR="005F534D">
        <w:t>., 576 U.S. 350, 359, 367 (2015)</w:t>
      </w:r>
      <w:r w:rsidR="001B44B5">
        <w:rPr>
          <w:i/>
          <w:iCs/>
        </w:rPr>
        <w:t>;</w:t>
      </w:r>
      <w:r w:rsidRPr="005F534D" w:rsidR="005F534D">
        <w:rPr>
          <w:i/>
          <w:iCs/>
        </w:rPr>
        <w:t xml:space="preserve"> FPC v. Hope Na</w:t>
      </w:r>
      <w:r w:rsidR="00EA39C6">
        <w:rPr>
          <w:i/>
          <w:iCs/>
        </w:rPr>
        <w:t>t.</w:t>
      </w:r>
      <w:r w:rsidRPr="005F534D" w:rsidR="005F534D">
        <w:rPr>
          <w:i/>
          <w:iCs/>
        </w:rPr>
        <w:t xml:space="preserve"> Gas Co</w:t>
      </w:r>
      <w:r w:rsidRPr="005F534D" w:rsidR="005F534D">
        <w:t>., 320 U.S. 591,</w:t>
      </w:r>
      <w:r w:rsidR="005F534D">
        <w:t xml:space="preserve"> </w:t>
      </w:r>
      <w:r w:rsidRPr="005F534D" w:rsidR="005F534D">
        <w:t xml:space="preserve">603 (1944); </w:t>
      </w:r>
      <w:r w:rsidRPr="005F534D" w:rsidR="005F534D">
        <w:rPr>
          <w:i/>
          <w:iCs/>
        </w:rPr>
        <w:t>Bluefield Waterworks &amp; Improvement Co. v. Pub. Serv. Comm</w:t>
      </w:r>
      <w:r w:rsidR="001B44B5">
        <w:rPr>
          <w:i/>
          <w:iCs/>
        </w:rPr>
        <w:t>’</w:t>
      </w:r>
      <w:r w:rsidRPr="005F534D" w:rsidR="005F534D">
        <w:rPr>
          <w:i/>
          <w:iCs/>
        </w:rPr>
        <w:t>n</w:t>
      </w:r>
      <w:r w:rsidRPr="005F534D" w:rsidR="005F534D">
        <w:t>, 262 U.S. 679, 690 (1923)</w:t>
      </w:r>
      <w:r w:rsidR="005F534D">
        <w:t>)</w:t>
      </w:r>
      <w:r w:rsidRPr="005F534D" w:rsidR="005F534D">
        <w:t>.</w:t>
      </w:r>
    </w:p>
  </w:footnote>
  <w:footnote w:id="115">
    <w:p w:rsidR="008F49C8" w:rsidP="0043469B" w14:paraId="788E2BDF" w14:textId="604D68C0">
      <w:pPr>
        <w:pStyle w:val="FootnoteText"/>
      </w:pPr>
      <w:r>
        <w:rPr>
          <w:rStyle w:val="FootnoteReference"/>
        </w:rPr>
        <w:footnoteRef/>
      </w:r>
      <w:r>
        <w:t xml:space="preserve"> </w:t>
      </w:r>
      <w:r w:rsidR="00A6442E">
        <w:t>PSEG</w:t>
      </w:r>
      <w:r w:rsidR="0043469B">
        <w:t xml:space="preserve"> Initial Comments at 18-19 (citing </w:t>
      </w:r>
      <w:r w:rsidRPr="00504C1D" w:rsidR="0043469B">
        <w:rPr>
          <w:i/>
        </w:rPr>
        <w:t>Bluefield</w:t>
      </w:r>
      <w:r w:rsidR="0058672F">
        <w:rPr>
          <w:i/>
        </w:rPr>
        <w:t xml:space="preserve"> </w:t>
      </w:r>
      <w:r w:rsidRPr="005F534D" w:rsidR="0058672F">
        <w:rPr>
          <w:i/>
          <w:iCs/>
        </w:rPr>
        <w:t>Waterworks &amp; Improvement Co. v. Pub. Serv. Comm</w:t>
      </w:r>
      <w:r w:rsidR="0058672F">
        <w:rPr>
          <w:i/>
          <w:iCs/>
        </w:rPr>
        <w:t>’n</w:t>
      </w:r>
      <w:r w:rsidR="0043469B">
        <w:t xml:space="preserve">, 262 U.S. at 690; </w:t>
      </w:r>
      <w:r w:rsidRPr="00504C1D" w:rsidR="0043469B">
        <w:rPr>
          <w:i/>
        </w:rPr>
        <w:t>Duquesne Light Co. v. Barash</w:t>
      </w:r>
      <w:r w:rsidR="0043469B">
        <w:t>, 488 U.S. 299, 308 (1989) (“</w:t>
      </w:r>
      <w:r w:rsidR="00087148">
        <w:t xml:space="preserve">If </w:t>
      </w:r>
      <w:r w:rsidR="0043469B">
        <w:t>the rate does not afford sufficient compensation, the State has taken the use of the utility property without paying just compensation</w:t>
      </w:r>
      <w:r w:rsidR="00087148">
        <w:t>.</w:t>
      </w:r>
      <w:r w:rsidR="0043469B">
        <w:t>”)</w:t>
      </w:r>
      <w:r w:rsidR="00704968">
        <w:t>)</w:t>
      </w:r>
      <w:r w:rsidR="0043469B">
        <w:t>.</w:t>
      </w:r>
    </w:p>
  </w:footnote>
  <w:footnote w:id="116">
    <w:p w:rsidR="005F534D" w14:paraId="10D1C394" w14:textId="011C8F2C">
      <w:pPr>
        <w:pStyle w:val="FootnoteText"/>
      </w:pPr>
      <w:r>
        <w:rPr>
          <w:rStyle w:val="FootnoteReference"/>
        </w:rPr>
        <w:footnoteRef/>
      </w:r>
      <w:r>
        <w:t xml:space="preserve"> </w:t>
      </w:r>
      <w:r w:rsidR="00A6442E">
        <w:t>PSEG</w:t>
      </w:r>
      <w:r>
        <w:t xml:space="preserve"> Initial Comments at 1</w:t>
      </w:r>
      <w:r w:rsidR="002A06A7">
        <w:t>9</w:t>
      </w:r>
      <w:r>
        <w:t>-20</w:t>
      </w:r>
      <w:r w:rsidR="00DB53BF">
        <w:t xml:space="preserve"> (citing </w:t>
      </w:r>
      <w:r w:rsidRPr="00B672F0" w:rsidR="00B672F0">
        <w:rPr>
          <w:i/>
          <w:iCs/>
        </w:rPr>
        <w:t>Ameren Servs. Co. v. FERC</w:t>
      </w:r>
      <w:r w:rsidRPr="00504C1D" w:rsidR="00B672F0">
        <w:t>, 880 F.3d 571, 581-82 (D.C. Cir. 2018)</w:t>
      </w:r>
      <w:r w:rsidRPr="004139A2" w:rsidR="00482871">
        <w:t>)</w:t>
      </w:r>
      <w:r w:rsidRPr="00482871" w:rsidR="00482871">
        <w:t>.</w:t>
      </w:r>
    </w:p>
  </w:footnote>
  <w:footnote w:id="117">
    <w:p w:rsidR="004B7E00" w14:paraId="548AA4D1" w14:textId="09CD6324">
      <w:pPr>
        <w:pStyle w:val="FootnoteText"/>
      </w:pPr>
      <w:r>
        <w:rPr>
          <w:rStyle w:val="FootnoteReference"/>
        </w:rPr>
        <w:footnoteRef/>
      </w:r>
      <w:r>
        <w:t xml:space="preserve"> MISO Transmission Owners </w:t>
      </w:r>
      <w:r w:rsidR="00F92247">
        <w:t xml:space="preserve">Reply Comments </w:t>
      </w:r>
      <w:r>
        <w:t xml:space="preserve">at </w:t>
      </w:r>
      <w:r w:rsidR="00FF2BCF">
        <w:t xml:space="preserve">12 </w:t>
      </w:r>
      <w:r w:rsidR="00AC77E7">
        <w:t>n.33</w:t>
      </w:r>
      <w:r w:rsidR="006C0CCF">
        <w:t>.</w:t>
      </w:r>
    </w:p>
  </w:footnote>
  <w:footnote w:id="118">
    <w:p w:rsidR="0001771A" w:rsidP="003044D1" w14:paraId="1EACAB14" w14:textId="535F6ED6">
      <w:pPr>
        <w:pStyle w:val="FootnoteText"/>
      </w:pPr>
      <w:r>
        <w:rPr>
          <w:rStyle w:val="FootnoteReference"/>
        </w:rPr>
        <w:footnoteRef/>
      </w:r>
      <w:r>
        <w:t xml:space="preserve"> </w:t>
      </w:r>
      <w:r w:rsidR="00FF2BCF">
        <w:rPr>
          <w:i/>
          <w:iCs/>
        </w:rPr>
        <w:t>Id.</w:t>
      </w:r>
      <w:r w:rsidR="00562670">
        <w:t xml:space="preserve"> (citing </w:t>
      </w:r>
      <w:r w:rsidRPr="003044D1" w:rsidR="003044D1">
        <w:rPr>
          <w:i/>
          <w:iCs/>
        </w:rPr>
        <w:t>Transmission Plan</w:t>
      </w:r>
      <w:r w:rsidR="00EA39C6">
        <w:rPr>
          <w:i/>
          <w:iCs/>
        </w:rPr>
        <w:t>.</w:t>
      </w:r>
      <w:r w:rsidRPr="003044D1" w:rsidR="003044D1">
        <w:rPr>
          <w:i/>
          <w:iCs/>
        </w:rPr>
        <w:t xml:space="preserve"> </w:t>
      </w:r>
      <w:r w:rsidR="00EA39C6">
        <w:rPr>
          <w:i/>
          <w:iCs/>
        </w:rPr>
        <w:t>&amp;</w:t>
      </w:r>
      <w:r w:rsidRPr="003044D1" w:rsidR="003044D1">
        <w:rPr>
          <w:i/>
          <w:iCs/>
        </w:rPr>
        <w:t xml:space="preserve"> Cost Allocation</w:t>
      </w:r>
      <w:r w:rsidR="003044D1">
        <w:rPr>
          <w:i/>
          <w:iCs/>
        </w:rPr>
        <w:t xml:space="preserve"> </w:t>
      </w:r>
      <w:r w:rsidRPr="003044D1" w:rsidR="003044D1">
        <w:rPr>
          <w:i/>
          <w:iCs/>
        </w:rPr>
        <w:t xml:space="preserve">by Transmission Owning </w:t>
      </w:r>
      <w:r w:rsidR="00EA39C6">
        <w:rPr>
          <w:i/>
          <w:iCs/>
        </w:rPr>
        <w:t>&amp;</w:t>
      </w:r>
      <w:r w:rsidRPr="003044D1" w:rsidR="003044D1">
        <w:rPr>
          <w:i/>
          <w:iCs/>
        </w:rPr>
        <w:t xml:space="preserve"> Operating Pub</w:t>
      </w:r>
      <w:r w:rsidR="00EA39C6">
        <w:rPr>
          <w:i/>
          <w:iCs/>
        </w:rPr>
        <w:t>.</w:t>
      </w:r>
      <w:r w:rsidRPr="003044D1" w:rsidR="003044D1">
        <w:rPr>
          <w:i/>
          <w:iCs/>
        </w:rPr>
        <w:t xml:space="preserve"> Utils</w:t>
      </w:r>
      <w:r w:rsidR="00EA39C6">
        <w:rPr>
          <w:i/>
          <w:iCs/>
        </w:rPr>
        <w:t>.</w:t>
      </w:r>
      <w:r w:rsidRPr="003044D1" w:rsidR="003044D1">
        <w:t xml:space="preserve">, Order No. 1000-A, </w:t>
      </w:r>
      <w:r w:rsidR="00EA39C6">
        <w:t xml:space="preserve">77 FR 32184 (May 31, 2012), </w:t>
      </w:r>
      <w:r w:rsidRPr="003044D1" w:rsidR="003044D1">
        <w:t>139</w:t>
      </w:r>
      <w:r w:rsidR="003044D1">
        <w:t xml:space="preserve"> </w:t>
      </w:r>
      <w:r w:rsidRPr="003044D1" w:rsidR="003044D1">
        <w:t xml:space="preserve">FERC </w:t>
      </w:r>
      <w:r w:rsidR="00EA39C6">
        <w:t xml:space="preserve">        </w:t>
      </w:r>
      <w:r w:rsidRPr="003044D1" w:rsidR="003044D1">
        <w:t xml:space="preserve">¶ 61,132, at P 368 (citing </w:t>
      </w:r>
      <w:r w:rsidRPr="003044D1" w:rsidR="003044D1">
        <w:rPr>
          <w:i/>
          <w:iCs/>
        </w:rPr>
        <w:t>Connolly v. Pension Guar. Corp.</w:t>
      </w:r>
      <w:r w:rsidRPr="003044D1" w:rsidR="003044D1">
        <w:t>, 475 U.S. 211,</w:t>
      </w:r>
      <w:r w:rsidR="003044D1">
        <w:t xml:space="preserve"> </w:t>
      </w:r>
      <w:r w:rsidRPr="003044D1" w:rsidR="003044D1">
        <w:t xml:space="preserve">224 (1986)), </w:t>
      </w:r>
      <w:r w:rsidR="0036075F">
        <w:rPr>
          <w:i/>
          <w:iCs/>
        </w:rPr>
        <w:t xml:space="preserve">order on </w:t>
      </w:r>
      <w:r w:rsidRPr="00912832" w:rsidR="0036075F">
        <w:rPr>
          <w:i/>
        </w:rPr>
        <w:t xml:space="preserve">reh’g </w:t>
      </w:r>
      <w:r w:rsidRPr="00C06B6B" w:rsidR="00B31FE1">
        <w:rPr>
          <w:i/>
        </w:rPr>
        <w:t>and</w:t>
      </w:r>
      <w:r w:rsidRPr="00912832" w:rsidR="003044D1">
        <w:rPr>
          <w:i/>
        </w:rPr>
        <w:t xml:space="preserve"> clarification</w:t>
      </w:r>
      <w:r w:rsidRPr="003044D1" w:rsidR="003044D1">
        <w:t xml:space="preserve">, Order No. 1000-B, </w:t>
      </w:r>
      <w:r w:rsidR="00CD51BC">
        <w:t>77 FR 64890 (</w:t>
      </w:r>
      <w:r w:rsidR="004B7EC3">
        <w:t>O</w:t>
      </w:r>
      <w:r w:rsidR="00CD51BC">
        <w:t xml:space="preserve">ct. 24, 2012),         </w:t>
      </w:r>
      <w:r w:rsidRPr="003044D1" w:rsidR="003044D1">
        <w:t>141 FERC ¶ 61,044</w:t>
      </w:r>
      <w:r w:rsidR="003044D1">
        <w:t xml:space="preserve"> </w:t>
      </w:r>
      <w:r w:rsidRPr="003044D1" w:rsidR="003044D1">
        <w:t xml:space="preserve">(2012), </w:t>
      </w:r>
      <w:r w:rsidRPr="00EF00D2" w:rsidR="00406A59">
        <w:rPr>
          <w:i/>
        </w:rPr>
        <w:t>aff’d</w:t>
      </w:r>
      <w:r w:rsidR="00406A59">
        <w:t xml:space="preserve"> </w:t>
      </w:r>
      <w:r w:rsidRPr="003044D1" w:rsidR="003044D1">
        <w:rPr>
          <w:i/>
          <w:iCs/>
        </w:rPr>
        <w:t>sub nom. S.C. Pub. Serv. Auth. v. FERC</w:t>
      </w:r>
      <w:r w:rsidRPr="003044D1" w:rsidR="003044D1">
        <w:t>, 762 F.3d 41 (D.C. Cir. 2014)</w:t>
      </w:r>
      <w:r w:rsidR="00562670">
        <w:t>)</w:t>
      </w:r>
      <w:r w:rsidRPr="003044D1" w:rsidR="003044D1">
        <w:t>.</w:t>
      </w:r>
    </w:p>
  </w:footnote>
  <w:footnote w:id="119">
    <w:p w:rsidR="009A19BE" w:rsidP="009A19BE" w14:paraId="7E503EEC" w14:textId="32CB0863">
      <w:pPr>
        <w:pStyle w:val="FootnoteText"/>
      </w:pPr>
      <w:r>
        <w:rPr>
          <w:rStyle w:val="FootnoteReference"/>
        </w:rPr>
        <w:footnoteRef/>
      </w:r>
      <w:r>
        <w:t xml:space="preserve"> </w:t>
      </w:r>
      <w:r w:rsidR="00CA5272">
        <w:rPr>
          <w:i/>
          <w:iCs/>
        </w:rPr>
        <w:t>Id.</w:t>
      </w:r>
      <w:r w:rsidR="0036075F">
        <w:t xml:space="preserve"> (citing </w:t>
      </w:r>
      <w:r w:rsidRPr="009A19BE">
        <w:t>Order No. 1000-A</w:t>
      </w:r>
      <w:r w:rsidR="00EA5392">
        <w:t>,</w:t>
      </w:r>
      <w:r w:rsidRPr="009A19BE">
        <w:t xml:space="preserve"> </w:t>
      </w:r>
      <w:r w:rsidRPr="003044D1" w:rsidR="00EA5392">
        <w:t>139</w:t>
      </w:r>
      <w:r w:rsidR="00EA5392">
        <w:t xml:space="preserve"> </w:t>
      </w:r>
      <w:r w:rsidRPr="003044D1" w:rsidR="00EA5392">
        <w:t>FERC ¶ 61,132</w:t>
      </w:r>
      <w:r w:rsidR="00EA5392">
        <w:t xml:space="preserve"> </w:t>
      </w:r>
      <w:r w:rsidRPr="009A19BE">
        <w:t xml:space="preserve">at P 369 (citing </w:t>
      </w:r>
      <w:r w:rsidRPr="006056E4">
        <w:rPr>
          <w:i/>
        </w:rPr>
        <w:t>Connolly</w:t>
      </w:r>
      <w:r w:rsidR="00EA5392">
        <w:rPr>
          <w:i/>
          <w:iCs/>
        </w:rPr>
        <w:t xml:space="preserve"> </w:t>
      </w:r>
      <w:r w:rsidRPr="003044D1" w:rsidR="00EA5392">
        <w:rPr>
          <w:i/>
          <w:iCs/>
        </w:rPr>
        <w:t>v. Pension Guar. Corp.</w:t>
      </w:r>
      <w:r w:rsidRPr="009A19BE">
        <w:t>, 475 U.S. at 223)</w:t>
      </w:r>
      <w:r w:rsidR="0036075F">
        <w:t>)</w:t>
      </w:r>
      <w:r w:rsidRPr="009A19BE">
        <w:t>.</w:t>
      </w:r>
    </w:p>
  </w:footnote>
  <w:footnote w:id="120">
    <w:p w:rsidR="005231E2" w:rsidP="005231E2" w14:paraId="3430FE11" w14:textId="23F11263">
      <w:pPr>
        <w:pStyle w:val="FootnoteText"/>
      </w:pPr>
      <w:r>
        <w:rPr>
          <w:rStyle w:val="FootnoteReference"/>
        </w:rPr>
        <w:footnoteRef/>
      </w:r>
      <w:r>
        <w:t xml:space="preserve"> </w:t>
      </w:r>
      <w:r w:rsidR="00CA5272">
        <w:rPr>
          <w:i/>
          <w:iCs/>
        </w:rPr>
        <w:t>Id.</w:t>
      </w:r>
      <w:r w:rsidR="0036075F">
        <w:t xml:space="preserve"> (citing </w:t>
      </w:r>
      <w:r w:rsidRPr="00504C1D">
        <w:rPr>
          <w:i/>
        </w:rPr>
        <w:t>Bd. of Regents</w:t>
      </w:r>
      <w:r w:rsidR="00CD51BC">
        <w:rPr>
          <w:i/>
        </w:rPr>
        <w:t xml:space="preserve"> of State Coll.</w:t>
      </w:r>
      <w:r w:rsidRPr="00504C1D">
        <w:rPr>
          <w:i/>
        </w:rPr>
        <w:t xml:space="preserve"> v. Roth</w:t>
      </w:r>
      <w:r>
        <w:t>, 408 U.S. 564, 577 (1972) (“To have a</w:t>
      </w:r>
      <w:r w:rsidR="0036075F">
        <w:t xml:space="preserve"> p</w:t>
      </w:r>
      <w:r>
        <w:t xml:space="preserve">roperty interest in a benefit, a person clearly must have more than an abstract need or desire for it. </w:t>
      </w:r>
      <w:r w:rsidR="0056230D">
        <w:t xml:space="preserve"> </w:t>
      </w:r>
      <w:r>
        <w:t xml:space="preserve">He must have more than a unilateral expectation of it. </w:t>
      </w:r>
      <w:r w:rsidR="00FC116D">
        <w:t xml:space="preserve"> </w:t>
      </w:r>
      <w:r>
        <w:t xml:space="preserve">He must, instead, have a legitimate claim of entitlement to it.”); </w:t>
      </w:r>
      <w:r w:rsidRPr="00504C1D">
        <w:rPr>
          <w:i/>
        </w:rPr>
        <w:t>Del. Riverkeeper Network v. FERC</w:t>
      </w:r>
      <w:r>
        <w:t>, 895 F.3d</w:t>
      </w:r>
      <w:r w:rsidR="0041779B">
        <w:t> </w:t>
      </w:r>
      <w:r>
        <w:t xml:space="preserve">102, 108-09 (D.C. Cir. 2018) (citing </w:t>
      </w:r>
      <w:r w:rsidRPr="00504C1D">
        <w:rPr>
          <w:i/>
        </w:rPr>
        <w:t>Town of</w:t>
      </w:r>
      <w:r>
        <w:t xml:space="preserve"> </w:t>
      </w:r>
      <w:r w:rsidRPr="00504C1D">
        <w:rPr>
          <w:i/>
        </w:rPr>
        <w:t>Castle Rock</w:t>
      </w:r>
      <w:r w:rsidR="00CD51BC">
        <w:rPr>
          <w:i/>
        </w:rPr>
        <w:t>, Colo.</w:t>
      </w:r>
      <w:r w:rsidRPr="00504C1D">
        <w:rPr>
          <w:i/>
        </w:rPr>
        <w:t xml:space="preserve"> v. Gonzales</w:t>
      </w:r>
      <w:r>
        <w:t>, 545 U.S. 748, 756 (2005)).</w:t>
      </w:r>
    </w:p>
  </w:footnote>
  <w:footnote w:id="121">
    <w:p w:rsidR="004610A4" w:rsidP="004610A4" w14:paraId="10DCD879" w14:textId="77777777">
      <w:pPr>
        <w:pStyle w:val="FootnoteText"/>
      </w:pPr>
      <w:r>
        <w:rPr>
          <w:rStyle w:val="FootnoteReference"/>
        </w:rPr>
        <w:footnoteRef/>
      </w:r>
      <w:r>
        <w:t xml:space="preserve"> </w:t>
      </w:r>
      <w:r w:rsidRPr="005233C2">
        <w:t>Eagle Creek Initial Comments at 4; NHA Initial Comments at 8-9.</w:t>
      </w:r>
    </w:p>
  </w:footnote>
  <w:footnote w:id="122">
    <w:p w:rsidR="004610A4" w:rsidP="004610A4" w14:paraId="0369517C" w14:textId="77777777">
      <w:pPr>
        <w:pStyle w:val="FootnoteText"/>
      </w:pPr>
      <w:r>
        <w:rPr>
          <w:rStyle w:val="FootnoteReference"/>
        </w:rPr>
        <w:footnoteRef/>
      </w:r>
      <w:r>
        <w:t xml:space="preserve"> </w:t>
      </w:r>
      <w:r w:rsidRPr="00461C81">
        <w:t>Eagle Creek Initial Comments at 4; NHA Initial Comments at 8.</w:t>
      </w:r>
    </w:p>
  </w:footnote>
  <w:footnote w:id="123">
    <w:p w:rsidR="0065051A" w14:paraId="415CF2CD" w14:textId="52380FE2">
      <w:pPr>
        <w:pStyle w:val="FootnoteText"/>
      </w:pPr>
      <w:r>
        <w:rPr>
          <w:rStyle w:val="FootnoteReference"/>
        </w:rPr>
        <w:footnoteRef/>
      </w:r>
      <w:r>
        <w:t xml:space="preserve"> </w:t>
      </w:r>
      <w:r w:rsidR="00B463E1">
        <w:t xml:space="preserve">Eagle Creek Initial Comments at </w:t>
      </w:r>
      <w:r w:rsidR="00BD7FA5">
        <w:t>4-5</w:t>
      </w:r>
      <w:r w:rsidR="00B463E1">
        <w:t xml:space="preserve">; </w:t>
      </w:r>
      <w:r w:rsidR="00520C11">
        <w:t xml:space="preserve">NHA Initial Comments at </w:t>
      </w:r>
      <w:r w:rsidR="00F65CDA">
        <w:t>8</w:t>
      </w:r>
      <w:r w:rsidR="00B463E1">
        <w:t>.</w:t>
      </w:r>
    </w:p>
  </w:footnote>
  <w:footnote w:id="124">
    <w:p w:rsidR="004610A4" w:rsidP="004610A4" w14:paraId="7A67A602" w14:textId="7CED92DA">
      <w:pPr>
        <w:pStyle w:val="FootnoteText"/>
      </w:pPr>
      <w:r>
        <w:rPr>
          <w:rStyle w:val="FootnoteReference"/>
        </w:rPr>
        <w:footnoteRef/>
      </w:r>
      <w:r>
        <w:t xml:space="preserve"> </w:t>
      </w:r>
      <w:r w:rsidRPr="00D23BD5">
        <w:t>NHA Initial Comments at 8-</w:t>
      </w:r>
      <w:r w:rsidR="0041779B">
        <w:t>9</w:t>
      </w:r>
      <w:r w:rsidR="00807D1F">
        <w:t xml:space="preserve">; </w:t>
      </w:r>
      <w:r w:rsidR="0041779B">
        <w:rPr>
          <w:i/>
          <w:iCs/>
        </w:rPr>
        <w:t>see also</w:t>
      </w:r>
      <w:r w:rsidR="00807D1F">
        <w:rPr>
          <w:i/>
        </w:rPr>
        <w:t xml:space="preserve"> </w:t>
      </w:r>
      <w:r w:rsidR="00807D1F">
        <w:t>Eagle Creek Initial Comments at 4</w:t>
      </w:r>
      <w:r w:rsidR="0041779B">
        <w:t>-5</w:t>
      </w:r>
      <w:r w:rsidRPr="00D23BD5">
        <w:t>.</w:t>
      </w:r>
    </w:p>
  </w:footnote>
  <w:footnote w:id="125">
    <w:p w:rsidR="004610A4" w:rsidP="004610A4" w14:paraId="7AC47D30" w14:textId="77777777">
      <w:pPr>
        <w:pStyle w:val="FootnoteText"/>
      </w:pPr>
      <w:r>
        <w:rPr>
          <w:rStyle w:val="FootnoteReference"/>
        </w:rPr>
        <w:footnoteRef/>
      </w:r>
      <w:r>
        <w:t xml:space="preserve"> Joint Customers Reply Comments at 13-14.</w:t>
      </w:r>
    </w:p>
  </w:footnote>
  <w:footnote w:id="126">
    <w:p w:rsidR="004610A4" w:rsidP="004610A4" w14:paraId="5F038F79" w14:textId="63C3D415">
      <w:pPr>
        <w:pStyle w:val="FootnoteText"/>
      </w:pPr>
      <w:r>
        <w:rPr>
          <w:rStyle w:val="FootnoteReference"/>
        </w:rPr>
        <w:footnoteRef/>
      </w:r>
      <w:r>
        <w:t xml:space="preserve"> </w:t>
      </w:r>
      <w:r w:rsidR="00B63752">
        <w:rPr>
          <w:i/>
          <w:iCs/>
        </w:rPr>
        <w:t>Id.</w:t>
      </w:r>
      <w:r w:rsidR="00DA5ADA">
        <w:t xml:space="preserve"> (</w:t>
      </w:r>
      <w:r w:rsidR="001B54F8">
        <w:t>“</w:t>
      </w:r>
      <w:r w:rsidRPr="00DA5ADA" w:rsidR="00DA5ADA">
        <w:t>There is no validity to the argument that individual rate challenges must be pursued by the Commission or complainants, and it is well established that a change to the underlying Schedule 2 in a transmission provider’s tariff, as proposed by the Commission in the NOPR, will contemporaneously end compensation to third</w:t>
      </w:r>
      <w:r w:rsidR="00DA5ADA">
        <w:t>-</w:t>
      </w:r>
      <w:r w:rsidRPr="00DA5ADA" w:rsidR="00DA5ADA">
        <w:t>party generators with no further action required</w:t>
      </w:r>
      <w:r w:rsidR="0041779B">
        <w:t>.</w:t>
      </w:r>
      <w:r w:rsidR="00DA5ADA">
        <w:t>”)</w:t>
      </w:r>
      <w:r w:rsidR="00C6523E">
        <w:t xml:space="preserve">; </w:t>
      </w:r>
      <w:r w:rsidR="00C6523E">
        <w:rPr>
          <w:i/>
          <w:iCs/>
        </w:rPr>
        <w:t>see also</w:t>
      </w:r>
      <w:r w:rsidR="00C6523E">
        <w:t xml:space="preserve"> PJM IMM Initial Comments at 9 (“</w:t>
      </w:r>
      <w:r w:rsidRPr="00C6523E" w:rsidR="00C6523E">
        <w:t xml:space="preserve">The NOPR does not propose a new Commission policy. </w:t>
      </w:r>
      <w:r w:rsidR="00782B25">
        <w:t xml:space="preserve"> </w:t>
      </w:r>
      <w:r w:rsidRPr="00C6523E" w:rsidR="00C6523E">
        <w:t>Rather, it extends and makes</w:t>
      </w:r>
      <w:r w:rsidR="00C6523E">
        <w:t xml:space="preserve"> </w:t>
      </w:r>
      <w:r w:rsidRPr="00C6523E" w:rsidR="00C6523E">
        <w:t>uniform policies that have long applied in jurisdictional markets.</w:t>
      </w:r>
      <w:r w:rsidR="00C6523E">
        <w:t>”).</w:t>
      </w:r>
    </w:p>
  </w:footnote>
  <w:footnote w:id="127">
    <w:p w:rsidR="00A66F08" w:rsidP="00CD51BC" w14:paraId="07C2F6A7" w14:textId="4127AFEE">
      <w:pPr>
        <w:pStyle w:val="FootnoteText"/>
        <w:widowControl/>
      </w:pPr>
      <w:r>
        <w:rPr>
          <w:rStyle w:val="FootnoteReference"/>
        </w:rPr>
        <w:footnoteRef/>
      </w:r>
      <w:r>
        <w:t xml:space="preserve"> </w:t>
      </w:r>
      <w:r w:rsidRPr="002B0AC9">
        <w:rPr>
          <w:i/>
          <w:iCs/>
        </w:rPr>
        <w:t xml:space="preserve">Atl. City Elec. Co. v. </w:t>
      </w:r>
      <w:r>
        <w:rPr>
          <w:i/>
          <w:iCs/>
        </w:rPr>
        <w:t>FERC</w:t>
      </w:r>
      <w:r w:rsidRPr="00C35E22">
        <w:t>, 295 F.3d 1 (D.C. Cir. 2002)</w:t>
      </w:r>
      <w:r>
        <w:t xml:space="preserve"> (</w:t>
      </w:r>
      <w:r>
        <w:rPr>
          <w:i/>
          <w:iCs/>
        </w:rPr>
        <w:t>Atl. City</w:t>
      </w:r>
      <w:r>
        <w:t>).</w:t>
      </w:r>
    </w:p>
  </w:footnote>
  <w:footnote w:id="128">
    <w:p w:rsidR="00A66F08" w:rsidP="00A66F08" w14:paraId="52C80B2A" w14:textId="4D3A5C4E">
      <w:pPr>
        <w:pStyle w:val="FootnoteText"/>
      </w:pPr>
      <w:r>
        <w:rPr>
          <w:rStyle w:val="FootnoteReference"/>
        </w:rPr>
        <w:footnoteRef/>
      </w:r>
      <w:r>
        <w:t xml:space="preserve"> </w:t>
      </w:r>
      <w:r w:rsidRPr="00AE3B35">
        <w:rPr>
          <w:szCs w:val="26"/>
        </w:rPr>
        <w:t xml:space="preserve">Generation Developers </w:t>
      </w:r>
      <w:r>
        <w:rPr>
          <w:szCs w:val="26"/>
        </w:rPr>
        <w:t xml:space="preserve">Initial Comments at </w:t>
      </w:r>
      <w:r w:rsidRPr="009F4059">
        <w:rPr>
          <w:szCs w:val="26"/>
        </w:rPr>
        <w:t>31</w:t>
      </w:r>
      <w:r>
        <w:rPr>
          <w:szCs w:val="26"/>
        </w:rPr>
        <w:t xml:space="preserve">-32 </w:t>
      </w:r>
      <w:r w:rsidRPr="00AF6EB0">
        <w:rPr>
          <w:szCs w:val="26"/>
        </w:rPr>
        <w:t xml:space="preserve">(citing </w:t>
      </w:r>
      <w:r w:rsidRPr="00AF6EB0">
        <w:rPr>
          <w:i/>
          <w:iCs/>
          <w:szCs w:val="26"/>
        </w:rPr>
        <w:t>Atl. City</w:t>
      </w:r>
      <w:r w:rsidRPr="00AF6EB0">
        <w:rPr>
          <w:szCs w:val="26"/>
        </w:rPr>
        <w:t xml:space="preserve">, 295 F.3d </w:t>
      </w:r>
      <w:r w:rsidR="00CD51BC">
        <w:rPr>
          <w:szCs w:val="26"/>
        </w:rPr>
        <w:t xml:space="preserve">    </w:t>
      </w:r>
      <w:r w:rsidRPr="00AF6EB0">
        <w:rPr>
          <w:szCs w:val="26"/>
        </w:rPr>
        <w:t>at 9-10</w:t>
      </w:r>
      <w:r w:rsidR="00E33B0B">
        <w:rPr>
          <w:szCs w:val="26"/>
        </w:rPr>
        <w:t>)</w:t>
      </w:r>
      <w:r w:rsidRPr="00AF6EB0">
        <w:rPr>
          <w:szCs w:val="26"/>
        </w:rPr>
        <w:t>; Reactive Service Providers Initial Comments at 54</w:t>
      </w:r>
      <w:r w:rsidRPr="009F4059">
        <w:rPr>
          <w:szCs w:val="26"/>
        </w:rPr>
        <w:t>.</w:t>
      </w:r>
    </w:p>
  </w:footnote>
  <w:footnote w:id="129">
    <w:p w:rsidR="00B807ED" w14:paraId="48C1B559" w14:textId="77777777">
      <w:pPr>
        <w:pStyle w:val="FootnoteText"/>
      </w:pPr>
      <w:r>
        <w:rPr>
          <w:rStyle w:val="FootnoteReference"/>
        </w:rPr>
        <w:footnoteRef/>
      </w:r>
      <w:r>
        <w:t xml:space="preserve"> </w:t>
      </w:r>
      <w:r w:rsidR="00603329">
        <w:t xml:space="preserve">NOPR, </w:t>
      </w:r>
      <w:r w:rsidRPr="00603329" w:rsidR="00603329">
        <w:t>186 FERC ¶</w:t>
      </w:r>
      <w:r w:rsidR="00D374EE">
        <w:t> </w:t>
      </w:r>
      <w:r w:rsidRPr="00603329" w:rsidR="00603329">
        <w:t>61,203</w:t>
      </w:r>
      <w:r w:rsidR="00A71FE4">
        <w:t xml:space="preserve"> at PP</w:t>
      </w:r>
      <w:r w:rsidR="00D374EE">
        <w:t> </w:t>
      </w:r>
      <w:r w:rsidR="00AD6822">
        <w:t>24-27</w:t>
      </w:r>
      <w:r w:rsidR="002C06A6">
        <w:t>, 28</w:t>
      </w:r>
      <w:r w:rsidR="00723D6B">
        <w:t>.</w:t>
      </w:r>
    </w:p>
  </w:footnote>
  <w:footnote w:id="130">
    <w:p w:rsidR="00395CF8" w:rsidP="000D130F" w14:paraId="64B05C54" w14:textId="1ECC2B25">
      <w:pPr>
        <w:pStyle w:val="FootnoteText"/>
        <w:widowControl/>
      </w:pPr>
      <w:r>
        <w:rPr>
          <w:rStyle w:val="FootnoteReference"/>
        </w:rPr>
        <w:footnoteRef/>
      </w:r>
      <w:r>
        <w:t xml:space="preserve"> </w:t>
      </w:r>
      <w:r w:rsidR="00014D59">
        <w:rPr>
          <w:i/>
          <w:iCs/>
        </w:rPr>
        <w:t>See, e.g.,</w:t>
      </w:r>
      <w:r>
        <w:rPr>
          <w:i/>
        </w:rPr>
        <w:t xml:space="preserve"> </w:t>
      </w:r>
      <w:r>
        <w:t>MISO Transmission Owners Initial Comments at 5</w:t>
      </w:r>
      <w:r w:rsidR="00C3287D">
        <w:t>;</w:t>
      </w:r>
      <w:r w:rsidR="00C3287D">
        <w:rPr>
          <w:i/>
        </w:rPr>
        <w:t xml:space="preserve"> </w:t>
      </w:r>
      <w:r w:rsidR="00C3287D">
        <w:t xml:space="preserve">Joint Customers Initial Comments at </w:t>
      </w:r>
      <w:r w:rsidR="004C0C17">
        <w:t>6</w:t>
      </w:r>
      <w:r w:rsidR="003F737B">
        <w:t xml:space="preserve">-16, </w:t>
      </w:r>
      <w:r w:rsidR="00AB0A66">
        <w:t xml:space="preserve">PJM IMM Initial Comments at </w:t>
      </w:r>
      <w:r w:rsidR="000620A5">
        <w:t>1-4</w:t>
      </w:r>
      <w:r w:rsidR="00597724">
        <w:t>, 6-9</w:t>
      </w:r>
      <w:r w:rsidR="00AB0A66">
        <w:t xml:space="preserve">; </w:t>
      </w:r>
      <w:r w:rsidR="00D55CF5">
        <w:t xml:space="preserve">PJM IMM Reply Comments at </w:t>
      </w:r>
      <w:r w:rsidR="00651565">
        <w:t xml:space="preserve">2-3, </w:t>
      </w:r>
      <w:r w:rsidR="00D55CF5">
        <w:t xml:space="preserve">6-7; </w:t>
      </w:r>
      <w:r w:rsidR="00397E97">
        <w:t>Ameren Initial Comments</w:t>
      </w:r>
      <w:r w:rsidR="005C1DDF">
        <w:t xml:space="preserve"> 2-</w:t>
      </w:r>
      <w:r w:rsidR="009608D8">
        <w:t>3</w:t>
      </w:r>
      <w:r w:rsidR="005F2C61">
        <w:t xml:space="preserve">; </w:t>
      </w:r>
      <w:r w:rsidR="00DF0569">
        <w:t>AEP Initial Comments at 4-</w:t>
      </w:r>
      <w:r w:rsidR="002F0C8C">
        <w:t>5</w:t>
      </w:r>
      <w:r w:rsidR="005C7892">
        <w:t>; Ohio FEA Initial Comments at 5-6</w:t>
      </w:r>
      <w:r w:rsidR="00974115">
        <w:t xml:space="preserve">; </w:t>
      </w:r>
      <w:r w:rsidR="00E2071F">
        <w:t>TAPs Initial Comments at 1</w:t>
      </w:r>
      <w:r w:rsidR="00DA1D6B">
        <w:t>, 3</w:t>
      </w:r>
      <w:r w:rsidR="004D3DB4">
        <w:t>-8</w:t>
      </w:r>
      <w:r w:rsidR="00E2071F">
        <w:t xml:space="preserve">; </w:t>
      </w:r>
      <w:r w:rsidR="00974115">
        <w:t xml:space="preserve">PGE Initial Comments </w:t>
      </w:r>
      <w:r w:rsidR="00CD51BC">
        <w:t xml:space="preserve">   </w:t>
      </w:r>
      <w:r w:rsidR="00974115">
        <w:t xml:space="preserve">at </w:t>
      </w:r>
      <w:r w:rsidR="009A7DC8">
        <w:t>3-</w:t>
      </w:r>
      <w:r w:rsidR="002542FD">
        <w:t>4</w:t>
      </w:r>
      <w:r>
        <w:t>.</w:t>
      </w:r>
      <w:r w:rsidR="003C0DD5">
        <w:t xml:space="preserve">  </w:t>
      </w:r>
    </w:p>
  </w:footnote>
  <w:footnote w:id="131">
    <w:p w:rsidR="00755FA2" w14:paraId="798EF84D" w14:textId="1CF73873">
      <w:pPr>
        <w:pStyle w:val="FootnoteText"/>
      </w:pPr>
      <w:r>
        <w:rPr>
          <w:rStyle w:val="FootnoteReference"/>
        </w:rPr>
        <w:footnoteRef/>
      </w:r>
      <w:r>
        <w:t xml:space="preserve"> </w:t>
      </w:r>
      <w:r w:rsidR="00C36D30">
        <w:rPr>
          <w:i/>
          <w:iCs/>
        </w:rPr>
        <w:t>See, e.g.,</w:t>
      </w:r>
      <w:r>
        <w:rPr>
          <w:i/>
        </w:rPr>
        <w:t xml:space="preserve"> </w:t>
      </w:r>
      <w:r>
        <w:t>N</w:t>
      </w:r>
      <w:r w:rsidR="00FF435A">
        <w:t xml:space="preserve">ew </w:t>
      </w:r>
      <w:r w:rsidRPr="004621DF" w:rsidR="004621DF">
        <w:t>England Consumer Advocates</w:t>
      </w:r>
      <w:r w:rsidR="004621DF">
        <w:t xml:space="preserve"> Initial Comments at </w:t>
      </w:r>
      <w:r w:rsidR="00D965BA">
        <w:t>3 &amp; n.7 (citing</w:t>
      </w:r>
      <w:r w:rsidRPr="00D24395" w:rsidR="002C45D7">
        <w:t xml:space="preserve">, </w:t>
      </w:r>
      <w:r w:rsidRPr="00C06B6B" w:rsidR="002C45D7">
        <w:rPr>
          <w:i/>
          <w:iCs/>
        </w:rPr>
        <w:t>e.g.</w:t>
      </w:r>
      <w:r w:rsidRPr="00D24395" w:rsidR="002C45D7">
        <w:t xml:space="preserve">, </w:t>
      </w:r>
      <w:r w:rsidRPr="00D24395" w:rsidR="001E55D5">
        <w:t>Massachusetts</w:t>
      </w:r>
      <w:r w:rsidR="001E55D5">
        <w:t xml:space="preserve"> Attorney General Maura Healey</w:t>
      </w:r>
      <w:r w:rsidRPr="00EB1E2F" w:rsidR="00EB1E2F">
        <w:t>, Initial Comments</w:t>
      </w:r>
      <w:r w:rsidR="00147A68">
        <w:t>, Docket No. RM21-17-000, at 28 (filed</w:t>
      </w:r>
      <w:r w:rsidR="00562885">
        <w:t xml:space="preserve"> </w:t>
      </w:r>
      <w:r w:rsidRPr="00EB1E2F" w:rsidR="00EB1E2F">
        <w:t xml:space="preserve">Aug. 17, 2022); </w:t>
      </w:r>
      <w:r w:rsidRPr="006056E4" w:rsidR="00494682">
        <w:rPr>
          <w:i/>
        </w:rPr>
        <w:t>see also</w:t>
      </w:r>
      <w:r w:rsidRPr="00494682" w:rsidR="00494682">
        <w:t xml:space="preserve"> New England States Committee on Electricity, New England States’ Vision for a Clean, Affordable, and Reliable 21st Century Regional Electric Grid (2020), https://nescoe.com/resource-center/vision-stmt-oct2020/</w:t>
      </w:r>
      <w:r w:rsidR="00494682">
        <w:t>).</w:t>
      </w:r>
      <w:r w:rsidRPr="00494682" w:rsidR="00494682">
        <w:t xml:space="preserve"> </w:t>
      </w:r>
    </w:p>
  </w:footnote>
  <w:footnote w:id="132">
    <w:p w:rsidR="0093679D" w:rsidRPr="00DE6C9A" w:rsidP="0093679D" w14:paraId="603AB251" w14:textId="069318F2">
      <w:pPr>
        <w:pStyle w:val="FootnoteText"/>
      </w:pPr>
      <w:r w:rsidRPr="00DE6C9A">
        <w:rPr>
          <w:rStyle w:val="FootnoteReference"/>
        </w:rPr>
        <w:footnoteRef/>
      </w:r>
      <w:r w:rsidRPr="00DE6C9A">
        <w:t xml:space="preserve"> </w:t>
      </w:r>
      <w:r w:rsidRPr="00DE6C9A">
        <w:rPr>
          <w:i/>
          <w:iCs/>
        </w:rPr>
        <w:t>See PSC VSMPO-Avisma Corp. v. U</w:t>
      </w:r>
      <w:r w:rsidR="00CD51BC">
        <w:rPr>
          <w:i/>
          <w:iCs/>
        </w:rPr>
        <w:t>.</w:t>
      </w:r>
      <w:r w:rsidRPr="00DE6C9A">
        <w:rPr>
          <w:i/>
          <w:iCs/>
        </w:rPr>
        <w:t>S</w:t>
      </w:r>
      <w:r w:rsidR="00CD51BC">
        <w:rPr>
          <w:i/>
          <w:iCs/>
        </w:rPr>
        <w:t>.</w:t>
      </w:r>
      <w:r w:rsidRPr="00DE6C9A">
        <w:t>, 688 F.3d 751, 756 (Fed. Cir. 2012) (“</w:t>
      </w:r>
      <w:r w:rsidR="00AE684B">
        <w:t>[J]</w:t>
      </w:r>
      <w:r w:rsidRPr="00DE6C9A">
        <w:t>oint products</w:t>
      </w:r>
      <w:r w:rsidR="00AE684B">
        <w:t xml:space="preserve"> [are]</w:t>
      </w:r>
      <w:r w:rsidR="00223CF2">
        <w:t xml:space="preserve"> </w:t>
      </w:r>
      <w:r w:rsidRPr="00DE6C9A">
        <w:t>two dissimilar end products that are produced from a single production process</w:t>
      </w:r>
      <w:r w:rsidR="00223CF2">
        <w:t>.</w:t>
      </w:r>
      <w:r w:rsidRPr="00DE6C9A">
        <w:t>”)</w:t>
      </w:r>
      <w:r w:rsidR="00223CF2">
        <w:t xml:space="preserve"> (citing</w:t>
      </w:r>
      <w:r w:rsidRPr="00FE1B6A" w:rsidR="00FE1B6A">
        <w:t xml:space="preserve"> Robert A. Anthony &amp; James S. Reece, </w:t>
      </w:r>
      <w:r w:rsidRPr="00FE1B6A" w:rsidR="00FE1B6A">
        <w:rPr>
          <w:i/>
          <w:iCs/>
        </w:rPr>
        <w:t>Accounting Principles</w:t>
      </w:r>
      <w:r w:rsidRPr="00FE1B6A" w:rsidR="00FE1B6A">
        <w:t> 442 (5th ed. 1983)</w:t>
      </w:r>
      <w:r w:rsidRPr="00DE6C9A">
        <w:t xml:space="preserve">. </w:t>
      </w:r>
    </w:p>
  </w:footnote>
  <w:footnote w:id="133">
    <w:p w:rsidR="0093679D" w:rsidRPr="00DE6C9A" w:rsidP="0093679D" w14:paraId="46D7C6A9" w14:textId="3EABE7F2">
      <w:pPr>
        <w:pStyle w:val="FootnoteText"/>
      </w:pPr>
      <w:r w:rsidRPr="00DE6C9A">
        <w:rPr>
          <w:rStyle w:val="FootnoteReference"/>
        </w:rPr>
        <w:footnoteRef/>
      </w:r>
      <w:r w:rsidRPr="00DE6C9A">
        <w:t xml:space="preserve"> A joint cost is an expenditure that benefits more than one product, and for which it is not possible to separate the contribution to each </w:t>
      </w:r>
      <w:r w:rsidRPr="004D582B">
        <w:t xml:space="preserve">product.  </w:t>
      </w:r>
      <w:r w:rsidRPr="004D582B">
        <w:rPr>
          <w:i/>
          <w:iCs/>
        </w:rPr>
        <w:t>Permian</w:t>
      </w:r>
      <w:r w:rsidRPr="00DE6C9A">
        <w:rPr>
          <w:i/>
          <w:iCs/>
        </w:rPr>
        <w:t xml:space="preserve"> Basin</w:t>
      </w:r>
      <w:r w:rsidRPr="00DE6C9A">
        <w:t>, 390</w:t>
      </w:r>
      <w:r w:rsidR="00FA2E3A">
        <w:t> </w:t>
      </w:r>
      <w:r w:rsidRPr="00DE6C9A">
        <w:t xml:space="preserve">U.S. </w:t>
      </w:r>
      <w:r w:rsidR="004171AD">
        <w:t>at</w:t>
      </w:r>
      <w:r w:rsidRPr="00DE6C9A">
        <w:t xml:space="preserve"> 761 n.25 (citing </w:t>
      </w:r>
      <w:r w:rsidR="00D31762">
        <w:t>Accounting Tools</w:t>
      </w:r>
      <w:r w:rsidRPr="00DE6C9A">
        <w:t xml:space="preserve">, </w:t>
      </w:r>
      <w:r w:rsidRPr="00D31762">
        <w:rPr>
          <w:i/>
          <w:iCs/>
        </w:rPr>
        <w:t>The Supply and Price of Natural Gas 25</w:t>
      </w:r>
      <w:r w:rsidRPr="00DE6C9A">
        <w:t xml:space="preserve"> (1962)) (“Joint costs ‘are incurred when products cannot be separately produced</w:t>
      </w:r>
      <w:r w:rsidR="00C7104B">
        <w:t>.</w:t>
      </w:r>
      <w:r w:rsidRPr="00DE6C9A">
        <w:t xml:space="preserve">’”); https://www.accountingtools.com/articles/joint-cost.  </w:t>
      </w:r>
    </w:p>
  </w:footnote>
  <w:footnote w:id="134">
    <w:p w:rsidR="000A7FF6" w:rsidP="000A7FF6" w14:paraId="32214251" w14:textId="0E075852">
      <w:pPr>
        <w:pStyle w:val="FootnoteText"/>
      </w:pPr>
      <w:r>
        <w:rPr>
          <w:rStyle w:val="FootnoteReference"/>
        </w:rPr>
        <w:footnoteRef/>
      </w:r>
      <w:r>
        <w:t xml:space="preserve"> </w:t>
      </w:r>
      <w:r>
        <w:rPr>
          <w:i/>
          <w:iCs/>
        </w:rPr>
        <w:t xml:space="preserve">See </w:t>
      </w:r>
      <w:r w:rsidRPr="00120126">
        <w:rPr>
          <w:i/>
          <w:iCs/>
        </w:rPr>
        <w:t>SPP</w:t>
      </w:r>
      <w:r w:rsidRPr="00BA5926">
        <w:t xml:space="preserve">, 119 FERC ¶ 61,199, </w:t>
      </w:r>
      <w:r>
        <w:t>at P 28 (</w:t>
      </w:r>
      <w:r w:rsidRPr="000A7FF6">
        <w:t>“</w:t>
      </w:r>
      <w:r w:rsidR="00A96797">
        <w:t>[I]</w:t>
      </w:r>
      <w:r w:rsidRPr="000A7FF6">
        <w:t xml:space="preserve">f a generator is to sell (and be able to deliver) its power to a customer, reactive power is essential to the transaction. </w:t>
      </w:r>
      <w:r w:rsidR="003D059B">
        <w:t xml:space="preserve"> </w:t>
      </w:r>
      <w:r w:rsidRPr="000A7FF6">
        <w:t xml:space="preserve">Thus, it is hardly surprising that the Commission has concluded, </w:t>
      </w:r>
      <w:r w:rsidR="003D059B">
        <w:t>. . .</w:t>
      </w:r>
      <w:r w:rsidRPr="000A7FF6">
        <w:t xml:space="preserve">, that the provision of sufficient reactive power is an obligation of a generator interconnected to the system, and that, </w:t>
      </w:r>
      <w:r w:rsidR="003D059B">
        <w:t>. . .</w:t>
      </w:r>
      <w:r w:rsidRPr="000A7FF6">
        <w:t>, a generator is not entitled to separate compensation for providing reactive power within its deadband.”</w:t>
      </w:r>
      <w:r>
        <w:t>)</w:t>
      </w:r>
      <w:r w:rsidR="00EE2F94">
        <w:t>.</w:t>
      </w:r>
    </w:p>
  </w:footnote>
  <w:footnote w:id="135">
    <w:p w:rsidR="00B6283C" w:rsidP="00B6283C" w14:paraId="5952EF46" w14:textId="558DC0C8">
      <w:pPr>
        <w:pStyle w:val="FootnoteText"/>
      </w:pPr>
      <w:r>
        <w:rPr>
          <w:rStyle w:val="FootnoteReference"/>
        </w:rPr>
        <w:footnoteRef/>
      </w:r>
      <w:r>
        <w:t xml:space="preserve"> </w:t>
      </w:r>
      <w:r w:rsidRPr="00C06B6B" w:rsidR="00743ED0">
        <w:rPr>
          <w:i/>
          <w:iCs/>
        </w:rPr>
        <w:t>See,</w:t>
      </w:r>
      <w:r w:rsidR="00743ED0">
        <w:t xml:space="preserve"> </w:t>
      </w:r>
      <w:r w:rsidRPr="00C06B6B" w:rsidR="00743ED0">
        <w:rPr>
          <w:i/>
          <w:iCs/>
        </w:rPr>
        <w:t>e.g.</w:t>
      </w:r>
      <w:r w:rsidR="00743ED0">
        <w:t xml:space="preserve">, </w:t>
      </w:r>
      <w:r>
        <w:t xml:space="preserve">Eagle Creek Initial Comments at 3-4; </w:t>
      </w:r>
      <w:r w:rsidRPr="007C2B93">
        <w:rPr>
          <w:szCs w:val="26"/>
        </w:rPr>
        <w:t>Indicated Trade Associations Initial Comments at 7</w:t>
      </w:r>
      <w:r>
        <w:rPr>
          <w:szCs w:val="26"/>
        </w:rPr>
        <w:t xml:space="preserve">; ACORE Initial Comments at 2; Elevate Renewables Initial Comments at 9-12; Generation Developers Initial Comments at 13; Glenvale Initial Comments at 9-10; Indicated Reactive Power Suppliers Initial Comments at 2, 9-10; Indicated Trade Associations Initial Comments at 2, 6; </w:t>
      </w:r>
      <w:r>
        <w:t xml:space="preserve">Middle River Power Initial Comments at 2-3; </w:t>
      </w:r>
      <w:r>
        <w:rPr>
          <w:szCs w:val="26"/>
        </w:rPr>
        <w:t>NEI Initial Comments at 4-5, 8-9; NHA Initial Comments at 2, 4-5.</w:t>
      </w:r>
    </w:p>
  </w:footnote>
  <w:footnote w:id="136">
    <w:p w:rsidR="00E747AD" w:rsidP="00D31762" w14:paraId="10606EEA" w14:textId="40F09DD0">
      <w:pPr>
        <w:pStyle w:val="FootnoteText"/>
        <w:widowControl/>
      </w:pPr>
      <w:r>
        <w:rPr>
          <w:rStyle w:val="FootnoteReference"/>
        </w:rPr>
        <w:footnoteRef/>
      </w:r>
      <w:r>
        <w:t xml:space="preserve"> Although the Commission found in the MISO Rehearing Order</w:t>
      </w:r>
      <w:r w:rsidR="00E22D10">
        <w:t>, and earlier,</w:t>
      </w:r>
      <w:r>
        <w:t xml:space="preserve"> that </w:t>
      </w:r>
      <w:r w:rsidR="00A30D5B">
        <w:t>“</w:t>
      </w:r>
      <w:r w:rsidRPr="00A30D5B" w:rsidR="00A30D5B">
        <w:t xml:space="preserve">Reactive Service requires </w:t>
      </w:r>
      <w:r w:rsidRPr="00CC6424" w:rsidR="00A30D5B">
        <w:rPr>
          <w:i/>
          <w:iCs/>
        </w:rPr>
        <w:t>little or</w:t>
      </w:r>
      <w:r w:rsidRPr="00CC6424" w:rsidR="00A30D5B">
        <w:rPr>
          <w:i/>
        </w:rPr>
        <w:t xml:space="preserve"> no</w:t>
      </w:r>
      <w:r w:rsidRPr="00A30D5B" w:rsidR="00A30D5B">
        <w:t xml:space="preserve"> incremental investment</w:t>
      </w:r>
      <w:r w:rsidR="00A30D5B">
        <w:t>”</w:t>
      </w:r>
      <w:r w:rsidR="00EA14FE">
        <w:t xml:space="preserve"> </w:t>
      </w:r>
      <w:r w:rsidRPr="00EA14FE" w:rsidR="00EA14FE">
        <w:rPr>
          <w:i/>
          <w:iCs/>
        </w:rPr>
        <w:t>see, e.g.</w:t>
      </w:r>
      <w:r w:rsidRPr="00EA14FE" w:rsidR="00EA14FE">
        <w:t>, MISO Rehearing Order, 184 FERC ¶ 61,022 at P 29</w:t>
      </w:r>
      <w:r w:rsidR="003E6463">
        <w:t xml:space="preserve"> </w:t>
      </w:r>
      <w:r w:rsidR="00A30D5B">
        <w:t>(emphasis added</w:t>
      </w:r>
      <w:r w:rsidRPr="00593EF0" w:rsidR="00A30D5B">
        <w:t>)</w:t>
      </w:r>
      <w:r w:rsidRPr="00593EF0" w:rsidR="0011059A">
        <w:t>,</w:t>
      </w:r>
      <w:r w:rsidR="00A30D5B">
        <w:t xml:space="preserve"> we note that </w:t>
      </w:r>
      <w:r w:rsidR="00467A6C">
        <w:t xml:space="preserve">beyond vague assertions </w:t>
      </w:r>
      <w:r w:rsidR="00F92E3F">
        <w:t xml:space="preserve">that incremental fixed costs are incurred, </w:t>
      </w:r>
      <w:r w:rsidR="00467E5F">
        <w:t xml:space="preserve">no evidence of </w:t>
      </w:r>
      <w:r w:rsidR="00D54A16">
        <w:t xml:space="preserve">investment or fixed costs specific to providing reactive power was provided </w:t>
      </w:r>
      <w:r w:rsidR="0008057C">
        <w:t xml:space="preserve">in </w:t>
      </w:r>
      <w:r w:rsidR="00B41708">
        <w:t>response to requests for such costs in the</w:t>
      </w:r>
      <w:r w:rsidR="0008057C">
        <w:t xml:space="preserve"> MISO Rehearing</w:t>
      </w:r>
      <w:r w:rsidR="00B41708">
        <w:t xml:space="preserve"> Order, the</w:t>
      </w:r>
      <w:r w:rsidR="0008057C">
        <w:t xml:space="preserve"> NOI, </w:t>
      </w:r>
      <w:r w:rsidR="00B41708">
        <w:t xml:space="preserve">or the </w:t>
      </w:r>
      <w:r w:rsidR="0008057C">
        <w:t>NOPR</w:t>
      </w:r>
      <w:r w:rsidR="00B41708">
        <w:t xml:space="preserve">.   As such, the Commission concludes below that there </w:t>
      </w:r>
      <w:r w:rsidR="00D057AA">
        <w:t>are</w:t>
      </w:r>
      <w:r w:rsidR="00B41708">
        <w:t xml:space="preserve"> </w:t>
      </w:r>
      <w:r w:rsidRPr="00CC6424" w:rsidR="00496A9A">
        <w:rPr>
          <w:i/>
          <w:iCs/>
        </w:rPr>
        <w:t>no</w:t>
      </w:r>
      <w:r w:rsidR="00496A9A">
        <w:t xml:space="preserve"> incremental </w:t>
      </w:r>
      <w:r w:rsidR="00BA2832">
        <w:t>or fixed costs</w:t>
      </w:r>
      <w:r w:rsidR="00746CF9">
        <w:t xml:space="preserve"> to provide reactive</w:t>
      </w:r>
      <w:r w:rsidR="00D057AA">
        <w:t xml:space="preserve"> power</w:t>
      </w:r>
      <w:r w:rsidR="0052168F">
        <w:t xml:space="preserve"> beyond those to provide real power</w:t>
      </w:r>
      <w:r w:rsidR="008907CF">
        <w:t>.</w:t>
      </w:r>
    </w:p>
  </w:footnote>
  <w:footnote w:id="137">
    <w:p w:rsidR="005578E1" w14:paraId="04A81F67" w14:textId="007745A6">
      <w:pPr>
        <w:pStyle w:val="FootnoteText"/>
      </w:pPr>
      <w:r>
        <w:rPr>
          <w:rStyle w:val="FootnoteReference"/>
        </w:rPr>
        <w:footnoteRef/>
      </w:r>
      <w:r>
        <w:t xml:space="preserve"> Under certain </w:t>
      </w:r>
      <w:r w:rsidR="001D352B">
        <w:t xml:space="preserve">transmission system </w:t>
      </w:r>
      <w:r>
        <w:t xml:space="preserve">conditions, the </w:t>
      </w:r>
      <w:r w:rsidR="006653A2">
        <w:t xml:space="preserve">generating facility may operate at a power factor of 1.0, which </w:t>
      </w:r>
      <w:r w:rsidR="004E62C6">
        <w:t xml:space="preserve">represents </w:t>
      </w:r>
      <w:r w:rsidR="0045138F">
        <w:t>zero incremental variable costs</w:t>
      </w:r>
      <w:r w:rsidR="00F04DF9">
        <w:t xml:space="preserve"> </w:t>
      </w:r>
      <w:r w:rsidR="008F5F69">
        <w:t xml:space="preserve">and thus zero total costs </w:t>
      </w:r>
      <w:r w:rsidR="00256B11">
        <w:t>of</w:t>
      </w:r>
      <w:r w:rsidR="008F5F69">
        <w:t xml:space="preserve"> providing reactive power.</w:t>
      </w:r>
      <w:r w:rsidR="003305E6">
        <w:t xml:space="preserve">  A generating facility operating at any reactive power level (</w:t>
      </w:r>
      <w:r w:rsidRPr="00C06B6B" w:rsidR="003305E6">
        <w:t>i.e.</w:t>
      </w:r>
      <w:r w:rsidR="003305E6">
        <w:t xml:space="preserve">, a power factor other than 1.0) will incur some amount of incremental fuel cost, but the Commission generally considers these costs </w:t>
      </w:r>
      <w:r w:rsidR="003305E6">
        <w:rPr>
          <w:i/>
          <w:iCs/>
        </w:rPr>
        <w:t>de minimis</w:t>
      </w:r>
      <w:r w:rsidR="003305E6">
        <w:t xml:space="preserve"> within the standard power factor range.  </w:t>
      </w:r>
      <w:r w:rsidR="003305E6">
        <w:rPr>
          <w:i/>
          <w:iCs/>
        </w:rPr>
        <w:t>See, e.g., APS</w:t>
      </w:r>
      <w:r w:rsidR="003305E6">
        <w:t>, 94 FERC at 61,080 (“</w:t>
      </w:r>
      <w:r w:rsidRPr="00513A9F" w:rsidR="003305E6">
        <w:t xml:space="preserve">We note that operating a generating unit within the proposed </w:t>
      </w:r>
      <w:r w:rsidR="003305E6">
        <w:t>[standard power factor range]</w:t>
      </w:r>
      <w:r w:rsidRPr="00513A9F" w:rsidR="003305E6">
        <w:t xml:space="preserve"> does not affect the generation output of a unit.</w:t>
      </w:r>
      <w:r w:rsidR="003305E6">
        <w:t xml:space="preserve">”); </w:t>
      </w:r>
      <w:r w:rsidR="00D16D99">
        <w:t>Commission Staff Report</w:t>
      </w:r>
      <w:r w:rsidR="003067C5">
        <w:t xml:space="preserve">, </w:t>
      </w:r>
      <w:r w:rsidRPr="00927E84" w:rsidR="008C6493">
        <w:rPr>
          <w:i/>
          <w:iCs/>
        </w:rPr>
        <w:t xml:space="preserve">Principles for Efficient and Reliable Reactive Power Supply and Consumption, </w:t>
      </w:r>
      <w:r w:rsidRPr="00504C1D" w:rsidR="008C6493">
        <w:t xml:space="preserve">Docket </w:t>
      </w:r>
      <w:r w:rsidR="00D31762">
        <w:t xml:space="preserve">                      </w:t>
      </w:r>
      <w:r w:rsidRPr="00504C1D" w:rsidR="008C6493">
        <w:t>No. AD05-1-000</w:t>
      </w:r>
      <w:r w:rsidR="003067C5">
        <w:t>, at 96</w:t>
      </w:r>
      <w:r w:rsidRPr="00504C1D" w:rsidR="008C6493">
        <w:t xml:space="preserve"> (</w:t>
      </w:r>
      <w:r w:rsidRPr="006056E4" w:rsidR="003305E6">
        <w:t>2005 Staff Report</w:t>
      </w:r>
      <w:r w:rsidR="008C6493">
        <w:t>)</w:t>
      </w:r>
      <w:r w:rsidR="00D31762">
        <w:t xml:space="preserve"> (2005)</w:t>
      </w:r>
      <w:r w:rsidR="003305E6">
        <w:t xml:space="preserve"> (“</w:t>
      </w:r>
      <w:r w:rsidRPr="00423254" w:rsidR="003305E6">
        <w:t>The marginal cost of providing reactive power from within a generator’s capability curve (D-curve) is near zero</w:t>
      </w:r>
      <w:r w:rsidR="003067C5">
        <w:t>.</w:t>
      </w:r>
      <w:r w:rsidR="003305E6">
        <w:t>”).</w:t>
      </w:r>
    </w:p>
  </w:footnote>
  <w:footnote w:id="138">
    <w:p w:rsidR="00B2212B" w:rsidP="00B2212B" w14:paraId="7EE73625" w14:textId="60B4F4C5">
      <w:pPr>
        <w:pStyle w:val="FootnoteText"/>
      </w:pPr>
      <w:r>
        <w:rPr>
          <w:rStyle w:val="FootnoteReference"/>
        </w:rPr>
        <w:footnoteRef/>
      </w:r>
      <w:r>
        <w:t xml:space="preserve"> </w:t>
      </w:r>
      <w:r w:rsidRPr="00B2212B">
        <w:rPr>
          <w:i/>
          <w:iCs/>
        </w:rPr>
        <w:t>Panda Stonewall, LLC</w:t>
      </w:r>
      <w:r w:rsidRPr="00B2212B">
        <w:t>, 176 FERC ¶ 61,072, at P 6 n.9 (2021)</w:t>
      </w:r>
      <w:r w:rsidR="002C5A68">
        <w:t>.</w:t>
      </w:r>
      <w:r w:rsidR="003D7D91">
        <w:t xml:space="preserve"> </w:t>
      </w:r>
      <w:r w:rsidR="002C5A68">
        <w:t xml:space="preserve"> </w:t>
      </w:r>
      <w:r w:rsidRPr="005974FE" w:rsidR="005974FE">
        <w:t xml:space="preserve">We note that the heating losses component reflects the incremental </w:t>
      </w:r>
      <w:r w:rsidR="005928D3">
        <w:t xml:space="preserve">fuel </w:t>
      </w:r>
      <w:r w:rsidRPr="005974FE" w:rsidR="005974FE">
        <w:t>cost of providing reactive power.</w:t>
      </w:r>
      <w:r w:rsidR="00490355">
        <w:t xml:space="preserve">  </w:t>
      </w:r>
      <w:r w:rsidR="005928D3">
        <w:rPr>
          <w:i/>
          <w:iCs/>
        </w:rPr>
        <w:t>See, e.</w:t>
      </w:r>
      <w:r w:rsidRPr="00D24395" w:rsidR="005928D3">
        <w:rPr>
          <w:i/>
          <w:iCs/>
        </w:rPr>
        <w:t>g.</w:t>
      </w:r>
      <w:r w:rsidRPr="00C06B6B" w:rsidR="005928D3">
        <w:t>,</w:t>
      </w:r>
      <w:r w:rsidRPr="0011059A" w:rsidR="005928D3">
        <w:t xml:space="preserve"> </w:t>
      </w:r>
      <w:r w:rsidR="005928D3">
        <w:rPr>
          <w:i/>
          <w:iCs/>
        </w:rPr>
        <w:t>Panda Stonewall, LLC</w:t>
      </w:r>
      <w:r w:rsidR="005928D3">
        <w:t xml:space="preserve">, </w:t>
      </w:r>
      <w:r w:rsidRPr="005928D3" w:rsidR="005928D3">
        <w:t>174 FERC ¶ 61,266</w:t>
      </w:r>
      <w:r w:rsidR="005928D3">
        <w:t>, at P 155 (2021) (“</w:t>
      </w:r>
      <w:r w:rsidRPr="005928D3" w:rsidR="005928D3">
        <w:t xml:space="preserve">The </w:t>
      </w:r>
      <w:r w:rsidRPr="005928D3" w:rsidR="005928D3">
        <w:rPr>
          <w:i/>
        </w:rPr>
        <w:t>AEP</w:t>
      </w:r>
      <w:r w:rsidRPr="005928D3" w:rsidR="005928D3">
        <w:t xml:space="preserve"> methodology already has a means in place to provide compensation for the small amount of additional fuel used during the production of reactive power, which is a heating loss calculation based on the MW-hours of actual reactive power production and the usage charges for fuel.</w:t>
      </w:r>
      <w:r w:rsidR="005928D3">
        <w:t>”).</w:t>
      </w:r>
    </w:p>
  </w:footnote>
  <w:footnote w:id="139">
    <w:p w:rsidR="007C6B45" w:rsidRPr="00CD2C9F" w:rsidP="007C6B45" w14:paraId="287C80B6" w14:textId="56D8AFD2">
      <w:pPr>
        <w:pStyle w:val="FootnoteText"/>
      </w:pPr>
      <w:r w:rsidRPr="00CD2C9F">
        <w:rPr>
          <w:rStyle w:val="FootnoteReference"/>
        </w:rPr>
        <w:footnoteRef/>
      </w:r>
      <w:r w:rsidRPr="00CD2C9F">
        <w:t xml:space="preserve"> </w:t>
      </w:r>
      <w:r w:rsidRPr="00CD2C9F">
        <w:rPr>
          <w:i/>
          <w:iCs/>
        </w:rPr>
        <w:t>See Belmont Mun. Light Dep’t v. FERC</w:t>
      </w:r>
      <w:r w:rsidRPr="00CD2C9F">
        <w:t xml:space="preserve">, 38 F.4th </w:t>
      </w:r>
      <w:r w:rsidR="006D0378">
        <w:t>at</w:t>
      </w:r>
      <w:r w:rsidRPr="00CD2C9F">
        <w:t xml:space="preserve"> </w:t>
      </w:r>
      <w:r w:rsidR="00457DA7">
        <w:t xml:space="preserve">173, </w:t>
      </w:r>
      <w:r w:rsidRPr="00CD2C9F">
        <w:t xml:space="preserve">179, 186 </w:t>
      </w:r>
      <w:r w:rsidR="00457DA7">
        <w:t>(2022)</w:t>
      </w:r>
      <w:r w:rsidRPr="00CD2C9F">
        <w:t xml:space="preserve"> (finding that the Commission’s approval of a portion of ISO-NE’s Inventoried Energy Program “was not reasoned decisionmaking” and “thwart[ed] the [Commission’s] own ‘longstanding policy that rate incentives must be prospective and that there must be a connection between the incentive and the conduct meant to be induced’” because it would compensate market participants for conduct they already engage in as part of standard business operations).  </w:t>
      </w:r>
    </w:p>
  </w:footnote>
  <w:footnote w:id="140">
    <w:p w:rsidR="00900330" w:rsidP="00900330" w14:paraId="3E066B59" w14:textId="07A553AE">
      <w:pPr>
        <w:pStyle w:val="FootnoteText"/>
      </w:pPr>
      <w:r>
        <w:rPr>
          <w:rStyle w:val="FootnoteReference"/>
        </w:rPr>
        <w:footnoteRef/>
      </w:r>
      <w:r>
        <w:t xml:space="preserve"> </w:t>
      </w:r>
      <w:r w:rsidRPr="0074170A">
        <w:rPr>
          <w:i/>
          <w:iCs/>
        </w:rPr>
        <w:t>See, e.g</w:t>
      </w:r>
      <w:r w:rsidRPr="00975708">
        <w:rPr>
          <w:i/>
          <w:iCs/>
        </w:rPr>
        <w:t>.</w:t>
      </w:r>
      <w:r w:rsidRPr="00975708">
        <w:t>,</w:t>
      </w:r>
      <w:r w:rsidRPr="0074170A">
        <w:rPr>
          <w:i/>
          <w:iCs/>
        </w:rPr>
        <w:t xml:space="preserve"> BPA</w:t>
      </w:r>
      <w:r w:rsidRPr="0074170A">
        <w:t xml:space="preserve">, 120 FERC ¶ 61,211 at P </w:t>
      </w:r>
      <w:r w:rsidRPr="00D24395">
        <w:t>21 ( “</w:t>
      </w:r>
      <w:r w:rsidRPr="00D24395" w:rsidR="001C156A">
        <w:t xml:space="preserve">The </w:t>
      </w:r>
      <w:r w:rsidRPr="00D24395">
        <w:t>purpose for which generation assets are built (including reactive power capability to maintain voltage levels for generation entering the grid) is to make sales of real power</w:t>
      </w:r>
      <w:r w:rsidRPr="00D24395" w:rsidR="001C156A">
        <w:t>.</w:t>
      </w:r>
      <w:r w:rsidRPr="00D24395">
        <w:t xml:space="preserve">”); </w:t>
      </w:r>
      <w:r w:rsidRPr="00D24395" w:rsidR="00EE29DA">
        <w:rPr>
          <w:i/>
          <w:iCs/>
        </w:rPr>
        <w:t>SPP</w:t>
      </w:r>
      <w:r w:rsidRPr="00D24395">
        <w:t>, 119 FERC ¶ 61,199 at P 28 (“</w:t>
      </w:r>
      <w:r w:rsidRPr="00D24395" w:rsidR="00F84A0C">
        <w:t>[I]</w:t>
      </w:r>
      <w:r w:rsidRPr="00D24395">
        <w:t>f a generator is to sell (and be able to d</w:t>
      </w:r>
      <w:r w:rsidRPr="0074170A">
        <w:t>eliver) its power to a customer, reactive power is essential to the transaction”).</w:t>
      </w:r>
      <w:r>
        <w:t xml:space="preserve">  </w:t>
      </w:r>
      <w:r w:rsidRPr="00B75EBB">
        <w:rPr>
          <w:i/>
        </w:rPr>
        <w:t>See also</w:t>
      </w:r>
      <w:r>
        <w:t xml:space="preserve"> </w:t>
      </w:r>
      <w:r w:rsidRPr="00B75EBB">
        <w:rPr>
          <w:i/>
          <w:iCs/>
        </w:rPr>
        <w:t>PJM Interconnection, L.L.C.</w:t>
      </w:r>
      <w:r w:rsidRPr="001E0A6F">
        <w:t xml:space="preserve">, 145 FERC ¶ 61,280, at P 17 (2013) (approving tariff revisions that require interconnection customers to pay for upgraded telecommunication equipment (phasor measurement units) as the “data is integral to improved communication and </w:t>
      </w:r>
      <w:r w:rsidR="00CB4863">
        <w:t xml:space="preserve">to </w:t>
      </w:r>
      <w:r w:rsidRPr="001E0A6F">
        <w:t>the reliability of the system and, as such, benefits both the system and the generators”).</w:t>
      </w:r>
    </w:p>
  </w:footnote>
  <w:footnote w:id="141">
    <w:p w:rsidR="00900330" w:rsidP="00900330" w14:paraId="17511D43" w14:textId="40034E21">
      <w:pPr>
        <w:pStyle w:val="FootnoteText"/>
      </w:pPr>
      <w:r>
        <w:rPr>
          <w:rStyle w:val="FootnoteReference"/>
        </w:rPr>
        <w:footnoteRef/>
      </w:r>
      <w:r>
        <w:t xml:space="preserve"> New England Consumer Advocates Initial Comments at 5 (“</w:t>
      </w:r>
      <w:r w:rsidRPr="00747FF7">
        <w:t xml:space="preserve">To the </w:t>
      </w:r>
      <w:r w:rsidR="000402B2">
        <w:t xml:space="preserve">           </w:t>
      </w:r>
      <w:r w:rsidRPr="00747FF7">
        <w:t xml:space="preserve">extent </w:t>
      </w:r>
      <w:r>
        <w:t>. . .</w:t>
      </w:r>
      <w:r w:rsidRPr="00747FF7">
        <w:t xml:space="preserve"> benefits are achieved by compliance with a generating facility’s interconnection agreement and/or as </w:t>
      </w:r>
      <w:r>
        <w:t>‘</w:t>
      </w:r>
      <w:r w:rsidRPr="00747FF7">
        <w:t>good utility practice</w:t>
      </w:r>
      <w:r>
        <w:t>,’ [New England Consumer Advocates]</w:t>
      </w:r>
      <w:r w:rsidRPr="00747FF7">
        <w:t xml:space="preserve"> agree</w:t>
      </w:r>
      <w:r>
        <w:t>[]</w:t>
      </w:r>
      <w:r w:rsidRPr="00747FF7">
        <w:t xml:space="preserve"> with the Commission that ratepayers should not be paying separately for the costs to produce a joint reactive power product.</w:t>
      </w:r>
      <w:r>
        <w:t>”).</w:t>
      </w:r>
    </w:p>
  </w:footnote>
  <w:footnote w:id="142">
    <w:p w:rsidR="00900330" w:rsidRPr="007F5021" w:rsidP="00900330" w14:paraId="1DDC4458" w14:textId="6C87FD92">
      <w:pPr>
        <w:pStyle w:val="FootnoteText"/>
      </w:pPr>
      <w:r>
        <w:rPr>
          <w:rStyle w:val="FootnoteReference"/>
        </w:rPr>
        <w:footnoteRef/>
      </w:r>
      <w:r>
        <w:t xml:space="preserve"> </w:t>
      </w:r>
      <w:r>
        <w:rPr>
          <w:i/>
          <w:iCs/>
        </w:rPr>
        <w:t>See, e.g.</w:t>
      </w:r>
      <w:r>
        <w:t xml:space="preserve">, </w:t>
      </w:r>
      <w:r w:rsidRPr="00724F6B" w:rsidR="00724F6B">
        <w:rPr>
          <w:i/>
          <w:iCs/>
        </w:rPr>
        <w:t>Ill. Com</w:t>
      </w:r>
      <w:r w:rsidR="00696BBA">
        <w:rPr>
          <w:i/>
          <w:iCs/>
        </w:rPr>
        <w:t>.</w:t>
      </w:r>
      <w:r w:rsidRPr="00724F6B" w:rsidR="00724F6B">
        <w:rPr>
          <w:i/>
          <w:iCs/>
        </w:rPr>
        <w:t xml:space="preserve"> Comm’n. v. FERC</w:t>
      </w:r>
      <w:r>
        <w:t>, 576 F.</w:t>
      </w:r>
      <w:r w:rsidR="00346109">
        <w:t xml:space="preserve">3d </w:t>
      </w:r>
      <w:r w:rsidR="009B00C7">
        <w:t>at</w:t>
      </w:r>
      <w:r>
        <w:t xml:space="preserve"> 476 (“</w:t>
      </w:r>
      <w:r w:rsidR="001C5D6D">
        <w:t>[The Commission]</w:t>
      </w:r>
      <w:r w:rsidRPr="00EB6D77">
        <w:t xml:space="preserve"> is not authorized to approve a pricing scheme that requires a group of utilities to pay for facilities from which its members derive no benefits, or benefits that are trivial in relation to the costs sought to be shifted to its members.</w:t>
      </w:r>
      <w:r>
        <w:t>”).</w:t>
      </w:r>
    </w:p>
  </w:footnote>
  <w:footnote w:id="143">
    <w:p w:rsidR="000202CB" w:rsidRPr="000202CB" w14:paraId="24E1B422" w14:textId="490CB6B2">
      <w:pPr>
        <w:pStyle w:val="FootnoteText"/>
      </w:pPr>
      <w:r>
        <w:rPr>
          <w:rStyle w:val="FootnoteReference"/>
        </w:rPr>
        <w:footnoteRef/>
      </w:r>
      <w:r>
        <w:t xml:space="preserve"> </w:t>
      </w:r>
      <w:r>
        <w:rPr>
          <w:i/>
          <w:iCs/>
        </w:rPr>
        <w:t>See infra</w:t>
      </w:r>
      <w:r>
        <w:t xml:space="preserve"> II.D.2.</w:t>
      </w:r>
    </w:p>
  </w:footnote>
  <w:footnote w:id="144">
    <w:p w:rsidR="00900330" w:rsidP="00900330" w14:paraId="2636B5DE" w14:textId="3047B2D1">
      <w:pPr>
        <w:pStyle w:val="FootnoteText"/>
      </w:pPr>
      <w:r>
        <w:rPr>
          <w:rStyle w:val="FootnoteReference"/>
        </w:rPr>
        <w:footnoteRef/>
      </w:r>
      <w:r>
        <w:t xml:space="preserve"> ISO-NE notes that not all generating facilities are obligated to provide reactive power within the standard power factor range.  ISO-NE Initial Comments at 9.  Specifically, ISO-NE notes that several older generating facilities in New England have interconnection agreements that pre-date the obligation to provide reactive power within the standard power factor range.  </w:t>
      </w:r>
      <w:r>
        <w:rPr>
          <w:i/>
          <w:iCs/>
        </w:rPr>
        <w:t xml:space="preserve">Id.  </w:t>
      </w:r>
      <w:r>
        <w:t xml:space="preserve">ISO-NE states that these resources choose to participate in the Schedule 2 VAR compensation program, incurring an obligation to maintain and provide VAR service in New England.  </w:t>
      </w:r>
      <w:r>
        <w:rPr>
          <w:i/>
          <w:iCs/>
        </w:rPr>
        <w:t xml:space="preserve">Id.  </w:t>
      </w:r>
      <w:r w:rsidR="00513A20">
        <w:t>A</w:t>
      </w:r>
      <w:r>
        <w:t xml:space="preserve">ny generating facilities with individualized bilateral contracts providing for reactive power compensation within the standard power factor range </w:t>
      </w:r>
      <w:r w:rsidRPr="001C6C0C">
        <w:t>may pursue claims that they have an independent contractual right to reactive power compensation within the standard power factor range, but we express no opinion here as to whether any such generator would be entitled to such compensation</w:t>
      </w:r>
      <w:r>
        <w:t>.</w:t>
      </w:r>
    </w:p>
  </w:footnote>
  <w:footnote w:id="145">
    <w:p w:rsidR="00900330" w:rsidP="000402B2" w14:paraId="1BEBCD95" w14:textId="65D633DC">
      <w:pPr>
        <w:pStyle w:val="FootnoteText"/>
        <w:widowControl/>
      </w:pPr>
      <w:r w:rsidRPr="00A25786">
        <w:rPr>
          <w:rStyle w:val="FootnoteReference"/>
        </w:rPr>
        <w:footnoteRef/>
      </w:r>
      <w:r>
        <w:t xml:space="preserve"> </w:t>
      </w:r>
      <w:r>
        <w:rPr>
          <w:i/>
          <w:iCs/>
        </w:rPr>
        <w:t xml:space="preserve">See, e.g., </w:t>
      </w:r>
      <w:r w:rsidRPr="00A859FC">
        <w:rPr>
          <w:i/>
        </w:rPr>
        <w:t>BPA</w:t>
      </w:r>
      <w:r w:rsidRPr="00586C54">
        <w:t xml:space="preserve">, 120 FERC ¶ 61,211 </w:t>
      </w:r>
      <w:r>
        <w:t>at P 21 (“</w:t>
      </w:r>
      <w:r w:rsidRPr="00586C54">
        <w:t>The purpose for which generation assets are built (including reactive power capability to maintain voltage levels for generation entering the grid) is to make sales of real power.</w:t>
      </w:r>
      <w:r>
        <w:t xml:space="preserve">”); </w:t>
      </w:r>
      <w:r w:rsidR="002753F0">
        <w:t>SPP Order on Rehearing</w:t>
      </w:r>
      <w:r>
        <w:t xml:space="preserve">, </w:t>
      </w:r>
      <w:r w:rsidRPr="00B75EBB">
        <w:t>121 FERC ¶ 61,196 at P 15</w:t>
      </w:r>
      <w:r>
        <w:t xml:space="preserve"> (“</w:t>
      </w:r>
      <w:r w:rsidRPr="005F4385">
        <w:t>As we have previously explained, reactive power i</w:t>
      </w:r>
      <w:r w:rsidRPr="008A6915">
        <w:rPr>
          <w:i/>
        </w:rPr>
        <w:t>s required for an interconnecting generator to deliver its power</w:t>
      </w:r>
      <w:r w:rsidRPr="005F4385">
        <w:t xml:space="preserve"> and reactive power produced within the </w:t>
      </w:r>
      <w:r>
        <w:t>[standard power factor range]</w:t>
      </w:r>
      <w:r w:rsidRPr="005F4385">
        <w:t xml:space="preserve"> and is, therefore, generally not compensable.</w:t>
      </w:r>
      <w:r>
        <w:t>” (emphasis added)).</w:t>
      </w:r>
    </w:p>
  </w:footnote>
  <w:footnote w:id="146">
    <w:p w:rsidR="00975D3B" w:rsidP="00975D3B" w14:paraId="5C7F1AC9" w14:textId="62AE0941">
      <w:pPr>
        <w:pStyle w:val="FootnoteText"/>
      </w:pPr>
      <w:r>
        <w:rPr>
          <w:rStyle w:val="FootnoteReference"/>
        </w:rPr>
        <w:footnoteRef/>
      </w:r>
      <w:r>
        <w:t xml:space="preserve"> Joint Customers Initial Comments at 12 (“</w:t>
      </w:r>
      <w:r w:rsidRPr="00C86AC9">
        <w:t>This incentive structure to provide payment based on reactive</w:t>
      </w:r>
      <w:r>
        <w:t xml:space="preserve"> </w:t>
      </w:r>
      <w:r w:rsidRPr="00C86AC9">
        <w:t>capability results in the building of unnecessary capabilities in locations it is not or may not be</w:t>
      </w:r>
      <w:r>
        <w:t xml:space="preserve"> </w:t>
      </w:r>
      <w:r w:rsidRPr="00C86AC9">
        <w:t>needed and does not allocate the costs associated with reactive capability in a manner that is at</w:t>
      </w:r>
      <w:r>
        <w:t xml:space="preserve"> </w:t>
      </w:r>
      <w:r w:rsidRPr="00C86AC9">
        <w:t>least roughly commensurate with the benefits received.</w:t>
      </w:r>
      <w:r>
        <w:t xml:space="preserve">” (citing </w:t>
      </w:r>
      <w:r w:rsidRPr="00C86AC9">
        <w:rPr>
          <w:i/>
          <w:iCs/>
        </w:rPr>
        <w:t>Ill. Com</w:t>
      </w:r>
      <w:r>
        <w:rPr>
          <w:i/>
          <w:iCs/>
        </w:rPr>
        <w:t>.</w:t>
      </w:r>
      <w:r w:rsidRPr="00C86AC9">
        <w:rPr>
          <w:i/>
          <w:iCs/>
        </w:rPr>
        <w:t xml:space="preserve"> Comm’n. v. FERC</w:t>
      </w:r>
      <w:r w:rsidRPr="00C86AC9">
        <w:t>, 576 F.3d at</w:t>
      </w:r>
      <w:r>
        <w:t> </w:t>
      </w:r>
      <w:r w:rsidRPr="00C86AC9">
        <w:t>477</w:t>
      </w:r>
      <w:r>
        <w:t>)</w:t>
      </w:r>
      <w:r w:rsidR="001C5D6D">
        <w:t>)</w:t>
      </w:r>
      <w:r>
        <w:t>; MISO Transmission Owners Initial Comments at 8 (“</w:t>
      </w:r>
      <w:r w:rsidRPr="002626CE">
        <w:t>Moreover, the capability-based compensation methodology currently permitted by</w:t>
      </w:r>
      <w:r>
        <w:t xml:space="preserve"> </w:t>
      </w:r>
      <w:r w:rsidRPr="002626CE">
        <w:t xml:space="preserve">the Commission </w:t>
      </w:r>
      <w:r>
        <w:t xml:space="preserve">. . . </w:t>
      </w:r>
      <w:r w:rsidRPr="002626CE">
        <w:t>allows and even</w:t>
      </w:r>
      <w:r>
        <w:t xml:space="preserve"> </w:t>
      </w:r>
      <w:r w:rsidRPr="002626CE">
        <w:t>incentivizes generators to add as much reactive equipment as they desire, i.e., to gold plate</w:t>
      </w:r>
      <w:r>
        <w:t xml:space="preserve"> </w:t>
      </w:r>
      <w:r w:rsidRPr="002626CE">
        <w:t>a facility’s reactive capability, regardless of whether that reactive support is needed at that</w:t>
      </w:r>
      <w:r>
        <w:t xml:space="preserve"> </w:t>
      </w:r>
      <w:r w:rsidRPr="002626CE">
        <w:t>point on the grid.</w:t>
      </w:r>
      <w:r>
        <w:t>”); TAPS Initial Comments at 4-5 (“</w:t>
      </w:r>
      <w:r w:rsidRPr="002626CE">
        <w:t>Nor can customers be assured they are receiving reliability benefits commensurate</w:t>
      </w:r>
      <w:r>
        <w:t xml:space="preserve"> </w:t>
      </w:r>
      <w:r w:rsidRPr="002626CE">
        <w:t xml:space="preserve">to the reactive power compensation paid under the current approach. </w:t>
      </w:r>
      <w:r>
        <w:t xml:space="preserve"> </w:t>
      </w:r>
      <w:r w:rsidRPr="002626CE">
        <w:t>The existing</w:t>
      </w:r>
      <w:r>
        <w:t xml:space="preserve"> </w:t>
      </w:r>
      <w:r w:rsidRPr="002626CE">
        <w:t>approach to reactive power capability compensation does not adequately consider a</w:t>
      </w:r>
      <w:r>
        <w:t xml:space="preserve"> </w:t>
      </w:r>
      <w:r w:rsidRPr="002626CE">
        <w:t>generator’s actual contribution to reliability, or lack thereof.</w:t>
      </w:r>
      <w:r>
        <w:t xml:space="preserve">  For example, that approach </w:t>
      </w:r>
      <w:r w:rsidRPr="002626CE">
        <w:t>does not account for relevant factors such as location, the need for reactive power,</w:t>
      </w:r>
      <w:r>
        <w:t xml:space="preserve"> </w:t>
      </w:r>
      <w:r w:rsidRPr="002626CE">
        <w:t>deliverability to where reactive power may be needed, possible degradation in generator</w:t>
      </w:r>
      <w:r>
        <w:t xml:space="preserve"> </w:t>
      </w:r>
      <w:r w:rsidRPr="002626CE">
        <w:t xml:space="preserve">performance or other changes over time. </w:t>
      </w:r>
      <w:r>
        <w:t xml:space="preserve"> </w:t>
      </w:r>
      <w:r w:rsidRPr="002626CE">
        <w:t>The result is that the current approach to</w:t>
      </w:r>
      <w:r>
        <w:t xml:space="preserve"> </w:t>
      </w:r>
      <w:r w:rsidRPr="002626CE">
        <w:t>reactive power compensation requires consumers to pay excessive charges for reactive</w:t>
      </w:r>
      <w:r>
        <w:t xml:space="preserve"> </w:t>
      </w:r>
      <w:r w:rsidRPr="002626CE">
        <w:t>power that may not be needed or is in the wrong location.</w:t>
      </w:r>
      <w:r>
        <w:t xml:space="preserve">” (citations omitted)).  </w:t>
      </w:r>
      <w:r>
        <w:rPr>
          <w:i/>
          <w:iCs/>
        </w:rPr>
        <w:t>See</w:t>
      </w:r>
      <w:r>
        <w:t xml:space="preserve"> </w:t>
      </w:r>
      <w:r w:rsidRPr="001C2C7B">
        <w:rPr>
          <w:i/>
          <w:iCs/>
        </w:rPr>
        <w:t>Belmont Mun</w:t>
      </w:r>
      <w:r w:rsidR="001C5D6D">
        <w:rPr>
          <w:i/>
          <w:iCs/>
        </w:rPr>
        <w:t>.</w:t>
      </w:r>
      <w:r w:rsidRPr="001C2C7B">
        <w:rPr>
          <w:i/>
          <w:iCs/>
        </w:rPr>
        <w:t xml:space="preserve"> Light Dep’t v. FERC</w:t>
      </w:r>
      <w:r w:rsidRPr="00233EAF">
        <w:t xml:space="preserve">, 38 F.4th </w:t>
      </w:r>
      <w:r w:rsidR="00E23484">
        <w:t>at</w:t>
      </w:r>
      <w:r w:rsidRPr="00233EAF">
        <w:t xml:space="preserve"> 187-</w:t>
      </w:r>
      <w:r>
        <w:t>90 (finding that the Commission’s acceptance of ISO-NE’s Inventoried Energy Program “was not reasoned decision making” because record evidence indicated that certain types of generating facilities “would not change their behavior in response to payments.”).</w:t>
      </w:r>
    </w:p>
  </w:footnote>
  <w:footnote w:id="147">
    <w:p w:rsidR="005352D6" w:rsidP="005352D6" w14:paraId="4892A6A3" w14:textId="659059E2">
      <w:pPr>
        <w:pStyle w:val="FootnoteText"/>
      </w:pPr>
      <w:r>
        <w:rPr>
          <w:rStyle w:val="FootnoteReference"/>
        </w:rPr>
        <w:footnoteRef/>
      </w:r>
      <w:r>
        <w:t xml:space="preserve"> MISO Transmission Owners </w:t>
      </w:r>
      <w:r w:rsidR="00BE273A">
        <w:t xml:space="preserve">Reply Comments </w:t>
      </w:r>
      <w:r>
        <w:t xml:space="preserve">at </w:t>
      </w:r>
      <w:r w:rsidR="00BE273A">
        <w:t xml:space="preserve">12 </w:t>
      </w:r>
      <w:r>
        <w:t>n.33 (</w:t>
      </w:r>
      <w:r w:rsidRPr="009877CE">
        <w:t>“</w:t>
      </w:r>
      <w:r>
        <w:t xml:space="preserve">Moreover, </w:t>
      </w:r>
      <w:r w:rsidRPr="009877CE">
        <w:t>as ‘legislation [that] readjust[s] rights and burdens is not unlawful solely because it upsets otherwise settled expectations,’ the Commission’s action implementing the changes in the NOPR would not constitute an unconstitutional taking just because the changes would ‘impact the benefits and burdens’ of the agreement entered into by generators interconnecting with the Transmission System</w:t>
      </w:r>
      <w:r>
        <w:t>.  Ge</w:t>
      </w:r>
      <w:r w:rsidRPr="00010BCE">
        <w:t>nerators have only a unilateral expectation of payment for the provision of reactive power and not a legitimate claim of entitlement to compensation</w:t>
      </w:r>
      <w:r>
        <w:t xml:space="preserve">.”) (citations omitted).  </w:t>
      </w:r>
      <w:r>
        <w:rPr>
          <w:i/>
          <w:iCs/>
        </w:rPr>
        <w:t>See also MISO</w:t>
      </w:r>
      <w:r>
        <w:t xml:space="preserve">, </w:t>
      </w:r>
      <w:r w:rsidRPr="007900ED">
        <w:t>182 FERC ¶</w:t>
      </w:r>
      <w:r>
        <w:t> </w:t>
      </w:r>
      <w:r w:rsidRPr="007900ED">
        <w:t>61,033</w:t>
      </w:r>
      <w:r>
        <w:t xml:space="preserve"> at P 62; MISO Rehearing Order,</w:t>
      </w:r>
      <w:r w:rsidRPr="00B96FF0">
        <w:rPr>
          <w:rFonts w:ascii="Source Sans Pro" w:eastAsia="Times New Roman" w:hAnsi="Source Sans Pro"/>
          <w:color w:val="000000"/>
          <w:sz w:val="24"/>
          <w:szCs w:val="24"/>
        </w:rPr>
        <w:t xml:space="preserve"> </w:t>
      </w:r>
      <w:r w:rsidRPr="00B96FF0">
        <w:t xml:space="preserve">184 FERC ¶ 61,022 </w:t>
      </w:r>
      <w:r>
        <w:t>at PP 52-54 (“</w:t>
      </w:r>
      <w:r w:rsidRPr="00C473D5">
        <w:t>Vistra has not persuaded us that it has a property interest in continued Reactive Service compensation under the Tariff, nor that MISO TOs</w:t>
      </w:r>
      <w:r w:rsidR="002E278E">
        <w:t>’</w:t>
      </w:r>
      <w:r w:rsidRPr="00C473D5">
        <w:t xml:space="preserve"> proposal would unconstitutionally deprive generators of that putative property interest under the Takings Clause or Due Process Clause of the Fifth Amendment.</w:t>
      </w:r>
      <w:r>
        <w:t>”).</w:t>
      </w:r>
    </w:p>
  </w:footnote>
  <w:footnote w:id="148">
    <w:p w:rsidR="0084357F" w:rsidRPr="00F72D59" w:rsidP="003A7E89" w14:paraId="7511A9A8" w14:textId="6E389827">
      <w:pPr>
        <w:pStyle w:val="FootnoteText"/>
      </w:pPr>
      <w:r>
        <w:rPr>
          <w:rStyle w:val="FootnoteReference"/>
        </w:rPr>
        <w:footnoteRef/>
      </w:r>
      <w:r>
        <w:t xml:space="preserve"> </w:t>
      </w:r>
      <w:r w:rsidR="00F72D59">
        <w:rPr>
          <w:i/>
          <w:iCs/>
        </w:rPr>
        <w:t>See, e.g.</w:t>
      </w:r>
      <w:r w:rsidR="00F72D59">
        <w:t xml:space="preserve">, </w:t>
      </w:r>
      <w:r w:rsidR="00F72D59">
        <w:rPr>
          <w:i/>
          <w:iCs/>
        </w:rPr>
        <w:t>MISO</w:t>
      </w:r>
      <w:r w:rsidR="00F72D59">
        <w:t xml:space="preserve">, </w:t>
      </w:r>
      <w:r w:rsidRPr="007900ED" w:rsidR="007900ED">
        <w:t>182 FERC ¶</w:t>
      </w:r>
      <w:r w:rsidR="00D374EE">
        <w:t> </w:t>
      </w:r>
      <w:r w:rsidRPr="007900ED" w:rsidR="007900ED">
        <w:t>61,033</w:t>
      </w:r>
      <w:r w:rsidR="007900ED">
        <w:t xml:space="preserve"> </w:t>
      </w:r>
      <w:r w:rsidR="008D5F14">
        <w:t>at P</w:t>
      </w:r>
      <w:r w:rsidR="00D374EE">
        <w:t> </w:t>
      </w:r>
      <w:r w:rsidR="008D5F14">
        <w:t>62</w:t>
      </w:r>
      <w:r w:rsidR="009F7499">
        <w:t xml:space="preserve"> (citing </w:t>
      </w:r>
      <w:r w:rsidR="00AB7F99">
        <w:rPr>
          <w:i/>
          <w:iCs/>
        </w:rPr>
        <w:t>SPP</w:t>
      </w:r>
      <w:r w:rsidRPr="003A7E89" w:rsidR="003A7E89">
        <w:t>, 119 FERC ¶</w:t>
      </w:r>
      <w:r w:rsidR="00D374EE">
        <w:t> </w:t>
      </w:r>
      <w:r w:rsidRPr="003A7E89" w:rsidR="003A7E89">
        <w:t xml:space="preserve">61,199 </w:t>
      </w:r>
      <w:r w:rsidR="000402B2">
        <w:t xml:space="preserve">  </w:t>
      </w:r>
      <w:r w:rsidRPr="003A7E89" w:rsidR="003A7E89">
        <w:t>at P</w:t>
      </w:r>
      <w:r w:rsidR="00D374EE">
        <w:t> </w:t>
      </w:r>
      <w:r w:rsidRPr="003A7E89" w:rsidR="003A7E89">
        <w:t>28</w:t>
      </w:r>
      <w:r w:rsidR="009F7499">
        <w:t>)</w:t>
      </w:r>
      <w:r w:rsidR="001C3BC3">
        <w:t>; MISO Rehearing Order</w:t>
      </w:r>
      <w:r w:rsidR="00D305A1">
        <w:t>,</w:t>
      </w:r>
      <w:r w:rsidRPr="00B96FF0" w:rsidR="00B96FF0">
        <w:rPr>
          <w:rFonts w:ascii="Source Sans Pro" w:eastAsia="Times New Roman" w:hAnsi="Source Sans Pro"/>
          <w:color w:val="000000"/>
          <w:sz w:val="24"/>
          <w:szCs w:val="24"/>
        </w:rPr>
        <w:t xml:space="preserve"> </w:t>
      </w:r>
      <w:r w:rsidRPr="00B96FF0" w:rsidR="00B96FF0">
        <w:t xml:space="preserve">184 FERC ¶ 61,022 </w:t>
      </w:r>
      <w:r w:rsidR="0056763C">
        <w:t>at</w:t>
      </w:r>
      <w:r w:rsidR="009F1F89">
        <w:t xml:space="preserve"> P</w:t>
      </w:r>
      <w:r w:rsidR="0056763C">
        <w:t xml:space="preserve"> 52 </w:t>
      </w:r>
      <w:r w:rsidRPr="00504C1D" w:rsidR="00B96FF0">
        <w:t>(</w:t>
      </w:r>
      <w:r w:rsidRPr="00504C1D" w:rsidR="007A6C5D">
        <w:t xml:space="preserve">finding that </w:t>
      </w:r>
      <w:r w:rsidRPr="00504C1D" w:rsidR="003F68D1">
        <w:t xml:space="preserve">protesters constitutional claims </w:t>
      </w:r>
      <w:r w:rsidRPr="00504C1D" w:rsidR="00FD3D58">
        <w:t>were impermissible collateral attacks on the Commission’s prior determinations</w:t>
      </w:r>
      <w:r w:rsidRPr="00504C1D" w:rsidR="00BA4085">
        <w:t xml:space="preserve"> given “[t]</w:t>
      </w:r>
      <w:r w:rsidRPr="00B96FF0" w:rsidR="00B96FF0">
        <w:t>he obligation to provide Reactive Service exists independent of, and was not altered by, MISO TOs</w:t>
      </w:r>
      <w:r w:rsidR="008171FA">
        <w:t>’</w:t>
      </w:r>
      <w:r w:rsidRPr="00B96FF0" w:rsidR="00B96FF0">
        <w:t xml:space="preserve"> proposal: </w:t>
      </w:r>
      <w:r w:rsidR="00C2218D">
        <w:t xml:space="preserve"> </w:t>
      </w:r>
      <w:r w:rsidRPr="00B96FF0" w:rsidR="00B96FF0">
        <w:t>it was stated in Order No. 2003 and applies to individual generators through their GIAs</w:t>
      </w:r>
      <w:r w:rsidR="00B96FF0">
        <w:t>.</w:t>
      </w:r>
      <w:r w:rsidR="008171FA">
        <w:t>”</w:t>
      </w:r>
      <w:r w:rsidR="00B96FF0">
        <w:t>)</w:t>
      </w:r>
      <w:r w:rsidR="0056763C">
        <w:t>.</w:t>
      </w:r>
    </w:p>
  </w:footnote>
  <w:footnote w:id="149">
    <w:p w:rsidR="009B505A" w14:paraId="1430BCEB" w14:textId="55F26C9B">
      <w:pPr>
        <w:pStyle w:val="FootnoteText"/>
      </w:pPr>
      <w:r>
        <w:rPr>
          <w:rStyle w:val="FootnoteReference"/>
        </w:rPr>
        <w:footnoteRef/>
      </w:r>
      <w:r>
        <w:t xml:space="preserve"> </w:t>
      </w:r>
      <w:r w:rsidR="006265DC">
        <w:rPr>
          <w:i/>
          <w:iCs/>
        </w:rPr>
        <w:t xml:space="preserve">See, e.g., </w:t>
      </w:r>
      <w:r w:rsidR="00C81D32">
        <w:t>MISO Rehearing Order,</w:t>
      </w:r>
      <w:r w:rsidRPr="00B96FF0" w:rsidR="00C81D32">
        <w:rPr>
          <w:rFonts w:ascii="Source Sans Pro" w:eastAsia="Times New Roman" w:hAnsi="Source Sans Pro"/>
          <w:color w:val="000000"/>
          <w:sz w:val="24"/>
          <w:szCs w:val="24"/>
        </w:rPr>
        <w:t xml:space="preserve"> </w:t>
      </w:r>
      <w:r w:rsidRPr="00B96FF0" w:rsidR="00C81D32">
        <w:t xml:space="preserve">184 FERC ¶ 61,022 </w:t>
      </w:r>
      <w:r w:rsidR="00C81D32">
        <w:t xml:space="preserve">at </w:t>
      </w:r>
      <w:r w:rsidR="00833C67">
        <w:t xml:space="preserve">P </w:t>
      </w:r>
      <w:r w:rsidR="00C81D32">
        <w:t>53 (“</w:t>
      </w:r>
      <w:r w:rsidR="00BB6EF1">
        <w:t>[T]</w:t>
      </w:r>
      <w:r w:rsidRPr="002E3A3A" w:rsidR="002E3A3A">
        <w:t>he function of generators</w:t>
      </w:r>
      <w:r w:rsidR="0002530A">
        <w:t>’</w:t>
      </w:r>
      <w:r w:rsidRPr="002E3A3A" w:rsidR="002E3A3A">
        <w:t xml:space="preserve"> Reactive Service is to ensure that generators</w:t>
      </w:r>
      <w:r w:rsidR="0002530A">
        <w:t>’</w:t>
      </w:r>
      <w:r w:rsidRPr="002E3A3A" w:rsidR="002E3A3A">
        <w:t xml:space="preserve"> real power can enter the transmission grid while maintaining system reliability.</w:t>
      </w:r>
      <w:r w:rsidR="00C81D32">
        <w:t>”)</w:t>
      </w:r>
      <w:r w:rsidR="001616C4">
        <w:t xml:space="preserve">; </w:t>
      </w:r>
      <w:r w:rsidRPr="001616C4" w:rsidR="001616C4">
        <w:rPr>
          <w:i/>
          <w:iCs/>
        </w:rPr>
        <w:t>SPP</w:t>
      </w:r>
      <w:r w:rsidRPr="001616C4" w:rsidR="001616C4">
        <w:t>, </w:t>
      </w:r>
      <w:r w:rsidRPr="00980713" w:rsidR="001616C4">
        <w:t xml:space="preserve">119 FERC ¶ 61,199 </w:t>
      </w:r>
      <w:r w:rsidR="009F1F89">
        <w:t xml:space="preserve">        </w:t>
      </w:r>
      <w:r w:rsidRPr="00980713" w:rsidR="001616C4">
        <w:t>at P</w:t>
      </w:r>
      <w:r w:rsidR="00BB6EF1">
        <w:t> </w:t>
      </w:r>
      <w:r w:rsidRPr="00980713" w:rsidR="001616C4">
        <w:t>28</w:t>
      </w:r>
      <w:r w:rsidR="001616C4">
        <w:t xml:space="preserve"> (</w:t>
      </w:r>
      <w:r w:rsidR="00934940">
        <w:t xml:space="preserve">explaining that </w:t>
      </w:r>
      <w:r w:rsidRPr="00934940" w:rsidR="00934940">
        <w:t>if a generator is to sell (and be able to deliver) its power to a customer, reactive power is essential to the transaction</w:t>
      </w:r>
      <w:r w:rsidR="00934940">
        <w:t>)</w:t>
      </w:r>
      <w:r w:rsidRPr="001616C4" w:rsidR="001616C4">
        <w:t>.</w:t>
      </w:r>
      <w:r w:rsidR="00C81D32">
        <w:t xml:space="preserve"> </w:t>
      </w:r>
    </w:p>
  </w:footnote>
  <w:footnote w:id="150">
    <w:p w:rsidR="00316EA5" w14:paraId="3034D9BD" w14:textId="330A3B16">
      <w:pPr>
        <w:pStyle w:val="FootnoteText"/>
      </w:pPr>
      <w:r>
        <w:rPr>
          <w:rStyle w:val="FootnoteReference"/>
        </w:rPr>
        <w:footnoteRef/>
      </w:r>
      <w:r>
        <w:t xml:space="preserve"> </w:t>
      </w:r>
      <w:r w:rsidR="00BB0DB9">
        <w:t>NOPR</w:t>
      </w:r>
      <w:r w:rsidR="00B940BA">
        <w:t>,</w:t>
      </w:r>
      <w:r w:rsidR="00076F3E">
        <w:t xml:space="preserve"> </w:t>
      </w:r>
      <w:r w:rsidRPr="00B940BA" w:rsidR="00B940BA">
        <w:t>186 FERC ¶ 61,203</w:t>
      </w:r>
      <w:r w:rsidR="00BB0DB9">
        <w:t xml:space="preserve"> at P</w:t>
      </w:r>
      <w:r w:rsidR="00E80A28">
        <w:t xml:space="preserve"> 4 (citing</w:t>
      </w:r>
      <w:r>
        <w:t xml:space="preserve"> Order No. </w:t>
      </w:r>
      <w:r w:rsidRPr="00E80A28" w:rsidR="00E80A28">
        <w:t>2003-A, 106 FERC ¶ 61,220 at P 416</w:t>
      </w:r>
      <w:r w:rsidR="00E80A28">
        <w:t>).</w:t>
      </w:r>
      <w:r w:rsidR="00FF364E">
        <w:t xml:space="preserve">  </w:t>
      </w:r>
      <w:r w:rsidRPr="00504C1D" w:rsidR="00FF364E">
        <w:rPr>
          <w:i/>
        </w:rPr>
        <w:t>See also</w:t>
      </w:r>
      <w:r w:rsidR="00FF364E">
        <w:t xml:space="preserve"> MISO Rehearing Order, </w:t>
      </w:r>
      <w:r w:rsidRPr="00B96FF0" w:rsidR="0090559F">
        <w:t>184 FERC ¶ 61,022</w:t>
      </w:r>
      <w:r w:rsidR="0090559F">
        <w:t xml:space="preserve"> </w:t>
      </w:r>
      <w:r w:rsidR="00FF364E">
        <w:t>at P 26 (“</w:t>
      </w:r>
      <w:r w:rsidRPr="003B3B5F" w:rsidR="00FF364E">
        <w:t>On rehearing, we</w:t>
      </w:r>
      <w:r w:rsidR="00FF364E">
        <w:t xml:space="preserve"> </w:t>
      </w:r>
      <w:r w:rsidRPr="003B3B5F" w:rsidR="00FF364E">
        <w:t>continue to reject, as collateral attacks on that longstanding policy, arguments that stand</w:t>
      </w:r>
      <w:r w:rsidR="007023EE">
        <w:t>-</w:t>
      </w:r>
      <w:r w:rsidRPr="003B3B5F" w:rsidR="00FF364E">
        <w:t>alone</w:t>
      </w:r>
      <w:r w:rsidR="00FF364E">
        <w:t xml:space="preserve"> </w:t>
      </w:r>
      <w:r w:rsidRPr="003B3B5F" w:rsidR="00FF364E">
        <w:t xml:space="preserve">compensation for Reactive Service is generically </w:t>
      </w:r>
      <w:r w:rsidR="000D130F">
        <w:t xml:space="preserve">     </w:t>
      </w:r>
      <w:r w:rsidRPr="003B3B5F" w:rsidR="00FF364E">
        <w:t>required—for example, to ensure</w:t>
      </w:r>
      <w:r w:rsidR="00FF364E">
        <w:t xml:space="preserve"> </w:t>
      </w:r>
      <w:r w:rsidRPr="003B3B5F" w:rsidR="00FF364E">
        <w:t>that generators can recover their costs for Reactive Service capability.</w:t>
      </w:r>
      <w:r w:rsidRPr="003B3B5F" w:rsidR="00FF364E">
        <w:rPr>
          <w:b/>
          <w:bCs/>
        </w:rPr>
        <w:t xml:space="preserve"> </w:t>
      </w:r>
      <w:r w:rsidR="00FF364E">
        <w:rPr>
          <w:b/>
          <w:bCs/>
        </w:rPr>
        <w:t xml:space="preserve"> </w:t>
      </w:r>
      <w:r w:rsidRPr="003B3B5F" w:rsidR="00FF364E">
        <w:t>These arguments</w:t>
      </w:r>
      <w:r w:rsidR="00FF364E">
        <w:t xml:space="preserve"> </w:t>
      </w:r>
      <w:r w:rsidRPr="003B3B5F" w:rsidR="00FF364E">
        <w:t>would negate the conclusions in Order Nos. 2003 and 2003-A that such compensation</w:t>
      </w:r>
      <w:r w:rsidR="00FF364E">
        <w:t xml:space="preserve"> </w:t>
      </w:r>
      <w:r w:rsidRPr="003B3B5F" w:rsidR="00FF364E">
        <w:t>should not be provided, except as required by the comparability standard</w:t>
      </w:r>
      <w:r w:rsidR="00FF364E">
        <w:t>.”).</w:t>
      </w:r>
    </w:p>
  </w:footnote>
  <w:footnote w:id="151">
    <w:p w:rsidR="00AA3617" w:rsidP="00AA3617" w14:paraId="070C3554" w14:textId="12DF7B1D">
      <w:pPr>
        <w:pStyle w:val="FootnoteText"/>
      </w:pPr>
      <w:r>
        <w:rPr>
          <w:rStyle w:val="FootnoteReference"/>
        </w:rPr>
        <w:footnoteRef/>
      </w:r>
      <w:r>
        <w:t xml:space="preserve"> </w:t>
      </w:r>
      <w:r w:rsidRPr="00504C1D">
        <w:rPr>
          <w:i/>
        </w:rPr>
        <w:t>See</w:t>
      </w:r>
      <w:r>
        <w:rPr>
          <w:i/>
        </w:rPr>
        <w:t xml:space="preserve"> </w:t>
      </w:r>
      <w:r>
        <w:t>MISO Transmission Owners Initial Comments at 6 (“</w:t>
      </w:r>
      <w:r w:rsidRPr="00F210BC">
        <w:t>The MISO Transmission Owners’ experience supports the Commission’s</w:t>
      </w:r>
      <w:r>
        <w:t xml:space="preserve"> </w:t>
      </w:r>
      <w:r w:rsidRPr="00F210BC">
        <w:t>preliminary finding that providing reactive power within the standard power factor range</w:t>
      </w:r>
      <w:r>
        <w:t xml:space="preserve"> </w:t>
      </w:r>
      <w:r w:rsidRPr="00F210BC">
        <w:t>requires little or no cost to generators.</w:t>
      </w:r>
      <w:r w:rsidR="00DB1172">
        <w:t xml:space="preserve"> </w:t>
      </w:r>
      <w:r w:rsidRPr="00F210BC">
        <w:t xml:space="preserve"> Generators incur little or no costs beyond what is</w:t>
      </w:r>
      <w:r>
        <w:t xml:space="preserve"> </w:t>
      </w:r>
      <w:r w:rsidRPr="00F210BC">
        <w:t>already needed to produce real power because the same equipment used to produce real</w:t>
      </w:r>
      <w:r>
        <w:t xml:space="preserve"> </w:t>
      </w:r>
      <w:r w:rsidRPr="00F210BC">
        <w:t>power includes reactive power functions.</w:t>
      </w:r>
      <w:r>
        <w:t xml:space="preserve">” (citations omitted)); PJM IMM Reply Comments at 3 </w:t>
      </w:r>
      <w:r w:rsidR="00E54ECD">
        <w:t>(</w:t>
      </w:r>
      <w:r>
        <w:t xml:space="preserve">“Neither </w:t>
      </w:r>
      <w:r w:rsidR="00180CD3">
        <w:t xml:space="preserve">the </w:t>
      </w:r>
      <w:r>
        <w:t xml:space="preserve">[Indicated Trade Associations] </w:t>
      </w:r>
      <w:r w:rsidRPr="001C0FE7">
        <w:t>nor any other opposing</w:t>
      </w:r>
      <w:r>
        <w:t xml:space="preserve"> </w:t>
      </w:r>
      <w:r w:rsidRPr="001C0FE7">
        <w:t>commenter, nor any of the precedent relied upon by opposing commenters, identify any</w:t>
      </w:r>
      <w:r>
        <w:t xml:space="preserve"> </w:t>
      </w:r>
      <w:r w:rsidRPr="001C0FE7">
        <w:t>additional costs or more than de minimis costs incurred by generators in order to provide</w:t>
      </w:r>
      <w:r>
        <w:t xml:space="preserve"> </w:t>
      </w:r>
      <w:r w:rsidRPr="001C0FE7">
        <w:t>reactive capability.</w:t>
      </w:r>
      <w:r>
        <w:t>”).</w:t>
      </w:r>
    </w:p>
  </w:footnote>
  <w:footnote w:id="152">
    <w:p w:rsidR="000402B2" w14:paraId="2E3A9C3F" w14:textId="3BFF1E7B">
      <w:pPr>
        <w:pStyle w:val="FootnoteText"/>
      </w:pPr>
      <w:r>
        <w:rPr>
          <w:rStyle w:val="FootnoteReference"/>
        </w:rPr>
        <w:footnoteRef/>
      </w:r>
      <w:r>
        <w:t xml:space="preserve"> </w:t>
      </w:r>
      <w:r>
        <w:t>MISO Rehearing Order,</w:t>
      </w:r>
      <w:r w:rsidRPr="00B96FF0">
        <w:rPr>
          <w:rFonts w:ascii="Source Sans Pro" w:eastAsia="Times New Roman" w:hAnsi="Source Sans Pro"/>
          <w:color w:val="000000"/>
          <w:sz w:val="24"/>
          <w:szCs w:val="24"/>
        </w:rPr>
        <w:t xml:space="preserve"> </w:t>
      </w:r>
      <w:r w:rsidRPr="00B96FF0">
        <w:t xml:space="preserve">184 FERC ¶ 61,022 </w:t>
      </w:r>
      <w:r>
        <w:t xml:space="preserve">at </w:t>
      </w:r>
      <w:r>
        <w:t xml:space="preserve">P </w:t>
      </w:r>
      <w:r>
        <w:t xml:space="preserve">53; </w:t>
      </w:r>
      <w:r>
        <w:rPr>
          <w:i/>
          <w:iCs/>
        </w:rPr>
        <w:t>BPA</w:t>
      </w:r>
      <w:r>
        <w:t xml:space="preserve">, 120 FERC ¶ 61,211 at P 20; BPA Rehearing Order, 125 FERC ¶ 61,273 at P 11; </w:t>
      </w:r>
      <w:r>
        <w:rPr>
          <w:i/>
          <w:iCs/>
        </w:rPr>
        <w:t xml:space="preserve">see also </w:t>
      </w:r>
      <w:r w:rsidRPr="00B75EBB">
        <w:t>NOPR</w:t>
      </w:r>
      <w:r>
        <w:t xml:space="preserve">, </w:t>
      </w:r>
      <w:r w:rsidRPr="00723EEF">
        <w:t>186 FERC ¶ 61,203</w:t>
      </w:r>
      <w:r w:rsidRPr="00B75EBB">
        <w:t xml:space="preserve"> at P</w:t>
      </w:r>
      <w:r>
        <w:t xml:space="preserve"> 24; </w:t>
      </w:r>
      <w:r>
        <w:rPr>
          <w:i/>
          <w:iCs/>
        </w:rPr>
        <w:t>see also</w:t>
      </w:r>
      <w:r>
        <w:rPr>
          <w:i/>
        </w:rPr>
        <w:t xml:space="preserve"> </w:t>
      </w:r>
      <w:r>
        <w:t xml:space="preserve">MISO Transmission Owners Initial Comments at 6; PJM IMM Reply Comments at </w:t>
      </w:r>
      <w:r w:rsidR="009F1F89">
        <w:t>3.</w:t>
      </w:r>
    </w:p>
  </w:footnote>
  <w:footnote w:id="153">
    <w:p w:rsidR="00036485" w:rsidP="00036485" w14:paraId="342BFF2D" w14:textId="77777777">
      <w:pPr>
        <w:pStyle w:val="FootnoteText"/>
      </w:pPr>
      <w:r>
        <w:rPr>
          <w:rStyle w:val="FootnoteReference"/>
        </w:rPr>
        <w:footnoteRef/>
      </w:r>
      <w:r>
        <w:t xml:space="preserve"> </w:t>
      </w:r>
      <w:r w:rsidRPr="005233C2">
        <w:t>Eagle Creek Initial Comments at 4; NHA Initial Comments at 8-9.</w:t>
      </w:r>
    </w:p>
  </w:footnote>
  <w:footnote w:id="154">
    <w:p w:rsidR="002B1756" w14:paraId="350D02F7" w14:textId="013C33FF">
      <w:pPr>
        <w:pStyle w:val="FootnoteText"/>
      </w:pPr>
      <w:r w:rsidRPr="001B4E13">
        <w:rPr>
          <w:rStyle w:val="FootnoteReference"/>
        </w:rPr>
        <w:footnoteRef/>
      </w:r>
      <w:r>
        <w:t xml:space="preserve"> The Commission has explained that t</w:t>
      </w:r>
      <w:r w:rsidRPr="002B1756">
        <w:t>he </w:t>
      </w:r>
      <w:r w:rsidRPr="002B1756">
        <w:rPr>
          <w:i/>
          <w:iCs/>
        </w:rPr>
        <w:t>Mobile-Sierra</w:t>
      </w:r>
      <w:r w:rsidRPr="002B1756">
        <w:t xml:space="preserve"> “public interest” presumption applies to an agreement only if the agreement has certain characteristics that justify the presumption. </w:t>
      </w:r>
      <w:r w:rsidR="00E87B33">
        <w:t xml:space="preserve"> </w:t>
      </w:r>
      <w:r w:rsidRPr="002B1756">
        <w:t>In ruling on whether the characteristics necessary to justify a </w:t>
      </w:r>
      <w:r w:rsidRPr="002B1756">
        <w:rPr>
          <w:i/>
          <w:iCs/>
        </w:rPr>
        <w:t>Mobile-Sierra</w:t>
      </w:r>
      <w:r w:rsidRPr="002B1756">
        <w:t xml:space="preserve"> presumption are present, the Commission must determine whether the agreement at issue embodies either: </w:t>
      </w:r>
      <w:r w:rsidR="00063178">
        <w:t xml:space="preserve"> </w:t>
      </w:r>
      <w:r w:rsidRPr="002B1756">
        <w:t>(1) individualized rates, terms, or conditions that apply only to sophisticated parties who negotiated them freely at arm's length; or (2)</w:t>
      </w:r>
      <w:r w:rsidR="00131884">
        <w:t> </w:t>
      </w:r>
      <w:r w:rsidRPr="002B1756">
        <w:t xml:space="preserve">rates, terms, or conditions that are generally applicable or that arose in circumstances that do not provide the assurance of justness and reasonableness associated with </w:t>
      </w:r>
      <w:r w:rsidR="009F1F89">
        <w:t xml:space="preserve">       </w:t>
      </w:r>
      <w:r w:rsidRPr="002B1756">
        <w:t>arm's-length negotiations. </w:t>
      </w:r>
      <w:r w:rsidR="00131884">
        <w:t xml:space="preserve"> </w:t>
      </w:r>
      <w:r w:rsidRPr="00921E06">
        <w:t>Unlike</w:t>
      </w:r>
      <w:r w:rsidRPr="002B1756">
        <w:t> the </w:t>
      </w:r>
      <w:r w:rsidRPr="00921E06">
        <w:t>latter</w:t>
      </w:r>
      <w:r w:rsidRPr="002B1756">
        <w:t>, the </w:t>
      </w:r>
      <w:r w:rsidRPr="00921E06">
        <w:t>former</w:t>
      </w:r>
      <w:r w:rsidRPr="002B1756">
        <w:t> constitute contract rates, terms, or conditions that necessarily qualify for a </w:t>
      </w:r>
      <w:r w:rsidRPr="002B1756">
        <w:rPr>
          <w:i/>
          <w:iCs/>
        </w:rPr>
        <w:t>Mobile-Sierra</w:t>
      </w:r>
      <w:r w:rsidRPr="002B1756">
        <w:t> presumption.</w:t>
      </w:r>
      <w:r w:rsidR="00A00D06">
        <w:t xml:space="preserve">  </w:t>
      </w:r>
      <w:r w:rsidRPr="00A00D06" w:rsidR="00A00D06">
        <w:rPr>
          <w:i/>
          <w:iCs/>
        </w:rPr>
        <w:t>E.g</w:t>
      </w:r>
      <w:r w:rsidRPr="00182421" w:rsidR="00A00D06">
        <w:rPr>
          <w:i/>
          <w:iCs/>
        </w:rPr>
        <w:t>.</w:t>
      </w:r>
      <w:r w:rsidRPr="00182421" w:rsidR="00A00D06">
        <w:t>,</w:t>
      </w:r>
      <w:r w:rsidRPr="00A00D06" w:rsidR="00A00D06">
        <w:rPr>
          <w:i/>
          <w:iCs/>
        </w:rPr>
        <w:t> </w:t>
      </w:r>
      <w:r w:rsidRPr="00EB78D1" w:rsidR="00063178">
        <w:rPr>
          <w:i/>
        </w:rPr>
        <w:t xml:space="preserve">Linden VFT, LLC v. Pub. Serv. Elec. </w:t>
      </w:r>
      <w:r w:rsidR="009F1F89">
        <w:rPr>
          <w:i/>
        </w:rPr>
        <w:t>&amp;</w:t>
      </w:r>
      <w:r w:rsidRPr="00EB78D1" w:rsidR="00063178">
        <w:rPr>
          <w:i/>
        </w:rPr>
        <w:t xml:space="preserve"> Gas Co.</w:t>
      </w:r>
      <w:r w:rsidRPr="00CC6424" w:rsidR="00063178">
        <w:t>, 161 FERC ¶ 61,264, at P 27 (2017)</w:t>
      </w:r>
      <w:r w:rsidRPr="00A00D06" w:rsidR="00A00D06">
        <w:t>; </w:t>
      </w:r>
      <w:r w:rsidRPr="00AC21C1" w:rsidR="00063178">
        <w:rPr>
          <w:i/>
        </w:rPr>
        <w:t>PJM Interconnection, L.L.C.</w:t>
      </w:r>
      <w:r w:rsidRPr="00CC6424" w:rsidR="00063178">
        <w:t>, 161 FERC ¶ 61,262, at P 18 (2017)</w:t>
      </w:r>
      <w:r w:rsidRPr="00A00D06" w:rsidR="00A00D06">
        <w:t>; </w:t>
      </w:r>
      <w:r w:rsidRPr="009E46A6" w:rsidR="00063178">
        <w:rPr>
          <w:i/>
        </w:rPr>
        <w:t>Sw. Power Pool, Inc.</w:t>
      </w:r>
      <w:r w:rsidRPr="00CC6424" w:rsidR="00063178">
        <w:t>, 144</w:t>
      </w:r>
      <w:r w:rsidR="0043584A">
        <w:t> </w:t>
      </w:r>
      <w:r w:rsidRPr="00CC6424" w:rsidR="00063178">
        <w:t>FERC ¶ 61,059, at P 127 (2013)</w:t>
      </w:r>
      <w:r w:rsidRPr="00A00D06" w:rsidR="00A00D06">
        <w:t>, </w:t>
      </w:r>
      <w:r w:rsidRPr="00A00D06" w:rsidR="00A00D06">
        <w:rPr>
          <w:i/>
          <w:iCs/>
        </w:rPr>
        <w:t>order on reh'g and compliance</w:t>
      </w:r>
      <w:r w:rsidRPr="00A00D06" w:rsidR="00A00D06">
        <w:t>, </w:t>
      </w:r>
      <w:r w:rsidRPr="00AD1C4D" w:rsidR="00063178">
        <w:t>149 FERC ¶</w:t>
      </w:r>
      <w:r w:rsidR="0043584A">
        <w:t> </w:t>
      </w:r>
      <w:r w:rsidRPr="00AD1C4D" w:rsidR="00063178">
        <w:t>61,048, at P 94 (2014)</w:t>
      </w:r>
      <w:r w:rsidRPr="00A00D06" w:rsidR="00A00D06">
        <w:t> (citations omitted); </w:t>
      </w:r>
      <w:r w:rsidRPr="00756829" w:rsidR="00063178">
        <w:rPr>
          <w:i/>
        </w:rPr>
        <w:t>Midwest Indep. Transmission Sys. Operator, Inc.</w:t>
      </w:r>
      <w:r w:rsidRPr="00CC6424" w:rsidR="00063178">
        <w:t>, 142 FERC ¶ 61,215, at P 177 (2013)</w:t>
      </w:r>
      <w:r w:rsidRPr="00A00D06" w:rsidR="00A00D06">
        <w:t>, </w:t>
      </w:r>
      <w:r w:rsidRPr="00A00D06" w:rsidR="00A00D06">
        <w:rPr>
          <w:i/>
          <w:iCs/>
        </w:rPr>
        <w:t>order on reh'g and compliance</w:t>
      </w:r>
      <w:r w:rsidRPr="00A00D06" w:rsidR="00A00D06">
        <w:t>, </w:t>
      </w:r>
      <w:r w:rsidRPr="00AD1C4D" w:rsidR="00063178">
        <w:t>147 FERC ¶</w:t>
      </w:r>
      <w:r w:rsidR="00D50A1A">
        <w:t> </w:t>
      </w:r>
      <w:r w:rsidRPr="00AD1C4D" w:rsidR="00063178">
        <w:t>61,127, at P 108 (2014)</w:t>
      </w:r>
      <w:r w:rsidRPr="00A00D06" w:rsidR="00A00D06">
        <w:t> (citations omitted).</w:t>
      </w:r>
    </w:p>
  </w:footnote>
  <w:footnote w:id="155">
    <w:p w:rsidR="00345D06" w:rsidP="00345D06" w14:paraId="5ABC1037" w14:textId="51D58FF1">
      <w:pPr>
        <w:pStyle w:val="FootnoteText"/>
      </w:pPr>
      <w:r>
        <w:rPr>
          <w:rStyle w:val="FootnoteReference"/>
        </w:rPr>
        <w:footnoteRef/>
      </w:r>
      <w:r>
        <w:t xml:space="preserve"> </w:t>
      </w:r>
      <w:r w:rsidR="009C661F">
        <w:rPr>
          <w:i/>
          <w:iCs/>
        </w:rPr>
        <w:t>See</w:t>
      </w:r>
      <w:r w:rsidR="009006C8">
        <w:rPr>
          <w:i/>
          <w:iCs/>
        </w:rPr>
        <w:t>, e.g.,</w:t>
      </w:r>
      <w:r w:rsidR="009C661F">
        <w:rPr>
          <w:i/>
          <w:iCs/>
        </w:rPr>
        <w:t xml:space="preserve"> </w:t>
      </w:r>
      <w:r w:rsidRPr="00A2179C">
        <w:rPr>
          <w:i/>
          <w:iCs/>
        </w:rPr>
        <w:t>Wabash Valley Power Ass</w:t>
      </w:r>
      <w:r>
        <w:rPr>
          <w:i/>
          <w:iCs/>
        </w:rPr>
        <w:t>’</w:t>
      </w:r>
      <w:r w:rsidRPr="00A2179C">
        <w:rPr>
          <w:i/>
          <w:iCs/>
        </w:rPr>
        <w:t>n, Inc. v. FERC</w:t>
      </w:r>
      <w:r w:rsidRPr="00A2179C">
        <w:t xml:space="preserve">, 45 F.4th 115, 120 </w:t>
      </w:r>
      <w:r w:rsidR="00B2046F">
        <w:t xml:space="preserve">       </w:t>
      </w:r>
      <w:r w:rsidRPr="00A2179C">
        <w:t>(D.C. Cir. 2022)</w:t>
      </w:r>
      <w:r>
        <w:t xml:space="preserve"> (“</w:t>
      </w:r>
      <w:r w:rsidR="00D50A1A">
        <w:t>[A]</w:t>
      </w:r>
      <w:r w:rsidRPr="00A2179C">
        <w:t xml:space="preserve"> contract requiring the purchaser to pay a utility</w:t>
      </w:r>
      <w:r>
        <w:t>’</w:t>
      </w:r>
      <w:r w:rsidRPr="00A2179C">
        <w:t xml:space="preserve">s </w:t>
      </w:r>
      <w:r>
        <w:t>‘</w:t>
      </w:r>
      <w:r w:rsidRPr="00A2179C">
        <w:t>going rate</w:t>
      </w:r>
      <w:r>
        <w:t>’</w:t>
      </w:r>
      <w:r w:rsidRPr="00A2179C">
        <w:t xml:space="preserve"> on file with FERC, without more, does not eliminate review under the ordinary </w:t>
      </w:r>
      <w:r w:rsidR="00B2046F">
        <w:t xml:space="preserve">                      </w:t>
      </w:r>
      <w:r w:rsidRPr="00A2179C">
        <w:t>just-and-reasonable standard.</w:t>
      </w:r>
      <w:r>
        <w:t xml:space="preserve">”). </w:t>
      </w:r>
    </w:p>
  </w:footnote>
  <w:footnote w:id="156">
    <w:p w:rsidR="00345D06" w:rsidRPr="00090074" w:rsidP="00345D06" w14:paraId="1EE56A15" w14:textId="7782E93D">
      <w:pPr>
        <w:pStyle w:val="FootnoteText"/>
        <w:rPr>
          <w:b/>
        </w:rPr>
      </w:pPr>
      <w:r>
        <w:rPr>
          <w:rStyle w:val="FootnoteReference"/>
        </w:rPr>
        <w:footnoteRef/>
      </w:r>
      <w:r>
        <w:t xml:space="preserve"> </w:t>
      </w:r>
      <w:r>
        <w:rPr>
          <w:i/>
          <w:iCs/>
        </w:rPr>
        <w:t>Cf. Whitetail Solar 3, LLC</w:t>
      </w:r>
      <w:r>
        <w:t xml:space="preserve">, Opinion No. 583, 184 FERC ¶ 61,145, at P 45 </w:t>
      </w:r>
      <w:r w:rsidR="00044BC5">
        <w:t xml:space="preserve"> </w:t>
      </w:r>
      <w:r>
        <w:t xml:space="preserve">(2023) (affirming the Presiding Judge’s finding that Schedule 2, not Applicants’ </w:t>
      </w:r>
      <w:r w:rsidR="00B8505C">
        <w:t>interconnection agreements</w:t>
      </w:r>
      <w:r>
        <w:t>, determines whether generating facilities are eligible for compensation, therefore, “</w:t>
      </w:r>
      <w:r w:rsidRPr="00654A90">
        <w:t xml:space="preserve">there is no reason for the Commission to amend the </w:t>
      </w:r>
      <w:r w:rsidR="00B8505C">
        <w:t>[interconnection agreements]</w:t>
      </w:r>
      <w:r w:rsidRPr="00654A90">
        <w:t xml:space="preserve"> of all existing distribution-connected generation, as Applicants suggest would be necessary in light of the Initial Decision.</w:t>
      </w:r>
      <w:r>
        <w:t xml:space="preserve">”); </w:t>
      </w:r>
      <w:r>
        <w:rPr>
          <w:i/>
        </w:rPr>
        <w:t>s</w:t>
      </w:r>
      <w:r w:rsidRPr="006A0A52">
        <w:rPr>
          <w:i/>
        </w:rPr>
        <w:t>ee also</w:t>
      </w:r>
      <w:r>
        <w:t xml:space="preserve"> </w:t>
      </w:r>
      <w:r>
        <w:rPr>
          <w:i/>
          <w:iCs/>
        </w:rPr>
        <w:t>MISO</w:t>
      </w:r>
      <w:r>
        <w:t xml:space="preserve">, </w:t>
      </w:r>
      <w:r w:rsidRPr="00EC3080">
        <w:t>182 FERC ¶ 61,033</w:t>
      </w:r>
      <w:r>
        <w:t xml:space="preserve"> at P</w:t>
      </w:r>
      <w:r w:rsidR="00D374EE">
        <w:t> </w:t>
      </w:r>
      <w:r>
        <w:t>63 (“</w:t>
      </w:r>
      <w:r w:rsidRPr="00755AF3">
        <w:t xml:space="preserve">As described above, MISO </w:t>
      </w:r>
      <w:r w:rsidR="00562DCF">
        <w:t>[</w:t>
      </w:r>
      <w:r w:rsidR="004A648F">
        <w:t>Transmission Owners</w:t>
      </w:r>
      <w:r w:rsidR="00562DCF">
        <w:t>]</w:t>
      </w:r>
      <w:r w:rsidR="004A648F">
        <w:t xml:space="preserve"> </w:t>
      </w:r>
      <w:r w:rsidRPr="00755AF3">
        <w:t>have the unilateral right to change Schedule 2 through an FPA section 205 filing and by doing so, they automatically change the rate payable for Reactive Service that generators contractually agreed to in section 9.6.3 of their GIAs.</w:t>
      </w:r>
      <w:r>
        <w:t>” (citations omitted)).</w:t>
      </w:r>
    </w:p>
  </w:footnote>
  <w:footnote w:id="157">
    <w:p w:rsidR="00FD56C6" w:rsidRPr="00FD56C6" w:rsidP="00FD56C6" w14:paraId="2409A199" w14:textId="4BC85E88">
      <w:pPr>
        <w:pStyle w:val="FootnoteText"/>
      </w:pPr>
      <w:r>
        <w:rPr>
          <w:rStyle w:val="FootnoteReference"/>
        </w:rPr>
        <w:footnoteRef/>
      </w:r>
      <w:r>
        <w:t xml:space="preserve"> </w:t>
      </w:r>
      <w:r>
        <w:rPr>
          <w:i/>
          <w:iCs/>
        </w:rPr>
        <w:t>See</w:t>
      </w:r>
      <w:r>
        <w:t xml:space="preserve"> Joint Customers Reply Comments at 14 (“</w:t>
      </w:r>
      <w:r w:rsidRPr="00FD56C6">
        <w:t>There is no validity to the</w:t>
      </w:r>
      <w:r>
        <w:t xml:space="preserve"> </w:t>
      </w:r>
      <w:r w:rsidRPr="00FD56C6">
        <w:t>argument that individual rate challenges must be pursued by the Commission or complainants, and</w:t>
      </w:r>
      <w:r>
        <w:t xml:space="preserve"> </w:t>
      </w:r>
      <w:r w:rsidRPr="00FD56C6">
        <w:t>it is well established that a change to the underlying Schedule 2 in a transmission provider’s tariff,</w:t>
      </w:r>
      <w:r>
        <w:t xml:space="preserve"> </w:t>
      </w:r>
      <w:r w:rsidRPr="00FD56C6">
        <w:t>as proposed by the Commission in the NOPR, will contemporaneously end compensation to third</w:t>
      </w:r>
      <w:r>
        <w:t>-</w:t>
      </w:r>
      <w:r w:rsidRPr="00FD56C6">
        <w:t>party</w:t>
      </w:r>
      <w:r>
        <w:t xml:space="preserve"> </w:t>
      </w:r>
      <w:r w:rsidRPr="00FD56C6">
        <w:t>generators with no further action required.</w:t>
      </w:r>
      <w:r>
        <w:t>”).</w:t>
      </w:r>
    </w:p>
  </w:footnote>
  <w:footnote w:id="158">
    <w:p w:rsidR="00787EC1" w14:paraId="1E3A8A04" w14:textId="14589AB4">
      <w:pPr>
        <w:pStyle w:val="FootnoteText"/>
      </w:pPr>
      <w:r>
        <w:rPr>
          <w:rStyle w:val="FootnoteReference"/>
        </w:rPr>
        <w:footnoteRef/>
      </w:r>
      <w:r>
        <w:t xml:space="preserve"> </w:t>
      </w:r>
      <w:r w:rsidRPr="00C372E5" w:rsidR="00C372E5">
        <w:t xml:space="preserve">For example, ISO-NE and NEPOOL claim that </w:t>
      </w:r>
      <w:r w:rsidRPr="00722B9B" w:rsidR="00C372E5">
        <w:t xml:space="preserve">certain agreements exist that do not </w:t>
      </w:r>
      <w:r w:rsidRPr="00CC6424" w:rsidR="00FD4A63">
        <w:t xml:space="preserve">obligate </w:t>
      </w:r>
      <w:r w:rsidRPr="00CC6424" w:rsidR="00353754">
        <w:t xml:space="preserve">certain </w:t>
      </w:r>
      <w:r w:rsidRPr="00CC6424" w:rsidR="006A0495">
        <w:t xml:space="preserve">non-generator resources to provide reactive power </w:t>
      </w:r>
      <w:r w:rsidRPr="00CC6424" w:rsidR="00722B9B">
        <w:t xml:space="preserve">either within or outside of </w:t>
      </w:r>
      <w:r w:rsidR="00B54291">
        <w:t>the</w:t>
      </w:r>
      <w:r w:rsidRPr="00362712" w:rsidR="00C372E5">
        <w:t xml:space="preserve"> standard power factor range</w:t>
      </w:r>
      <w:r w:rsidRPr="00722B9B" w:rsidR="00C372E5">
        <w:t xml:space="preserve"> and are still entitled to compensation.</w:t>
      </w:r>
      <w:r w:rsidRPr="00C372E5" w:rsidR="00C372E5">
        <w:t xml:space="preserve">  </w:t>
      </w:r>
      <w:r w:rsidRPr="00CC6424" w:rsidR="00951B37">
        <w:rPr>
          <w:i/>
          <w:iCs/>
        </w:rPr>
        <w:t>See supra</w:t>
      </w:r>
      <w:r w:rsidR="00951B37">
        <w:t xml:space="preserve"> </w:t>
      </w:r>
      <w:r w:rsidRPr="00D04F61" w:rsidR="00951B37">
        <w:t>n.</w:t>
      </w:r>
      <w:r w:rsidR="00B2046F">
        <w:t>142</w:t>
      </w:r>
      <w:r w:rsidRPr="00D04F61" w:rsidR="00951B37">
        <w:t xml:space="preserve">; </w:t>
      </w:r>
      <w:r w:rsidRPr="00D04F61" w:rsidR="000D2B24">
        <w:t>ISO</w:t>
      </w:r>
      <w:r w:rsidR="000D2B24">
        <w:t xml:space="preserve">-NE Initial Comments at 9; </w:t>
      </w:r>
      <w:r w:rsidR="00841812">
        <w:t xml:space="preserve">NEPOOL Reply Comments at 9.  </w:t>
      </w:r>
      <w:r>
        <w:t>W</w:t>
      </w:r>
      <w:r w:rsidRPr="00787EC1">
        <w:t>e express no opinion here as to whether any such generat</w:t>
      </w:r>
      <w:r w:rsidR="0015082C">
        <w:t>ing facility</w:t>
      </w:r>
      <w:r w:rsidRPr="00F54FAE" w:rsidR="00F54FAE">
        <w:t xml:space="preserve">, such as those situations noted by ISO-NE and NEPOOL, </w:t>
      </w:r>
      <w:r w:rsidRPr="00787EC1">
        <w:t xml:space="preserve">would be entitled to such compensation under such agreements.  </w:t>
      </w:r>
    </w:p>
  </w:footnote>
  <w:footnote w:id="159">
    <w:p w:rsidR="00195AB7" w:rsidRPr="009F4059" w:rsidP="00195AB7" w14:paraId="239ED663" w14:textId="5C70A77F">
      <w:pPr>
        <w:pStyle w:val="FootnoteText"/>
        <w:rPr>
          <w:szCs w:val="26"/>
        </w:rPr>
      </w:pPr>
      <w:r w:rsidRPr="009F4059">
        <w:rPr>
          <w:rStyle w:val="FootnoteReference"/>
          <w:szCs w:val="26"/>
        </w:rPr>
        <w:footnoteRef/>
      </w:r>
      <w:r w:rsidRPr="009F4059">
        <w:rPr>
          <w:szCs w:val="26"/>
        </w:rPr>
        <w:t xml:space="preserve"> </w:t>
      </w:r>
      <w:r w:rsidRPr="00AE3B35">
        <w:rPr>
          <w:szCs w:val="26"/>
        </w:rPr>
        <w:t xml:space="preserve">Generation Developers </w:t>
      </w:r>
      <w:r>
        <w:rPr>
          <w:szCs w:val="26"/>
        </w:rPr>
        <w:t xml:space="preserve">Initial Comments at </w:t>
      </w:r>
      <w:r w:rsidRPr="009F4059">
        <w:rPr>
          <w:szCs w:val="26"/>
        </w:rPr>
        <w:t>31</w:t>
      </w:r>
      <w:r>
        <w:rPr>
          <w:szCs w:val="26"/>
        </w:rPr>
        <w:t xml:space="preserve">-32 </w:t>
      </w:r>
      <w:r w:rsidRPr="00AF6EB0">
        <w:rPr>
          <w:szCs w:val="26"/>
        </w:rPr>
        <w:t xml:space="preserve">(citing </w:t>
      </w:r>
      <w:r w:rsidRPr="00AF6EB0">
        <w:rPr>
          <w:i/>
          <w:iCs/>
          <w:szCs w:val="26"/>
        </w:rPr>
        <w:t>Atl. City</w:t>
      </w:r>
      <w:r w:rsidRPr="00AF6EB0">
        <w:rPr>
          <w:szCs w:val="26"/>
        </w:rPr>
        <w:t xml:space="preserve">, 295 F.3d </w:t>
      </w:r>
      <w:r w:rsidR="00B2046F">
        <w:rPr>
          <w:szCs w:val="26"/>
        </w:rPr>
        <w:t xml:space="preserve">    </w:t>
      </w:r>
      <w:r w:rsidRPr="00AF6EB0">
        <w:rPr>
          <w:szCs w:val="26"/>
        </w:rPr>
        <w:t>at 9-</w:t>
      </w:r>
      <w:r w:rsidRPr="00D04F61">
        <w:rPr>
          <w:szCs w:val="26"/>
        </w:rPr>
        <w:t>10</w:t>
      </w:r>
      <w:r w:rsidRPr="00D04F61" w:rsidR="00C33AD4">
        <w:rPr>
          <w:szCs w:val="26"/>
        </w:rPr>
        <w:t>)</w:t>
      </w:r>
      <w:r w:rsidRPr="00D04F61">
        <w:rPr>
          <w:szCs w:val="26"/>
        </w:rPr>
        <w:t>; Reactive</w:t>
      </w:r>
      <w:r w:rsidRPr="00AF6EB0">
        <w:rPr>
          <w:szCs w:val="26"/>
        </w:rPr>
        <w:t xml:space="preserve"> Service Providers Initial Comments at 54</w:t>
      </w:r>
      <w:r w:rsidRPr="009F4059">
        <w:rPr>
          <w:szCs w:val="26"/>
        </w:rPr>
        <w:t>.</w:t>
      </w:r>
    </w:p>
  </w:footnote>
  <w:footnote w:id="160">
    <w:p w:rsidR="00F309D5" w:rsidP="00B2046F" w14:paraId="14C40947" w14:textId="16F21A9B">
      <w:pPr>
        <w:pStyle w:val="FootnoteText"/>
        <w:widowControl/>
      </w:pPr>
      <w:r>
        <w:rPr>
          <w:rStyle w:val="FootnoteReference"/>
        </w:rPr>
        <w:footnoteRef/>
      </w:r>
      <w:r>
        <w:t xml:space="preserve"> </w:t>
      </w:r>
      <w:r w:rsidR="008D2DA3">
        <w:rPr>
          <w:i/>
          <w:iCs/>
        </w:rPr>
        <w:t>Cf.</w:t>
      </w:r>
      <w:r w:rsidR="0000436D">
        <w:t xml:space="preserve"> </w:t>
      </w:r>
      <w:r w:rsidRPr="006056E4" w:rsidR="0000436D">
        <w:rPr>
          <w:i/>
        </w:rPr>
        <w:t>MISO</w:t>
      </w:r>
      <w:r w:rsidR="0000436D">
        <w:t xml:space="preserve">, </w:t>
      </w:r>
      <w:r w:rsidRPr="00EB5474" w:rsidR="0000436D">
        <w:t>182 FERC ¶ 61,033</w:t>
      </w:r>
      <w:r w:rsidR="0000436D">
        <w:t xml:space="preserve"> at </w:t>
      </w:r>
      <w:r w:rsidR="00B55F8A">
        <w:t xml:space="preserve">P </w:t>
      </w:r>
      <w:r w:rsidR="0000436D">
        <w:t>65</w:t>
      </w:r>
      <w:r w:rsidR="00580BC5">
        <w:t xml:space="preserve"> (</w:t>
      </w:r>
      <w:r w:rsidRPr="00580BC5" w:rsidR="00580BC5">
        <w:t>“</w:t>
      </w:r>
      <w:r w:rsidR="00B55F8A">
        <w:rPr>
          <w:bCs/>
        </w:rPr>
        <w:t>[W]</w:t>
      </w:r>
      <w:r w:rsidRPr="00580BC5" w:rsidR="00580BC5">
        <w:rPr>
          <w:bCs/>
        </w:rPr>
        <w:t>e find that MISO TOs’ proposal does not restrict independent power producers’ FPA section 205 rights to file a rate for reactive power; instead, the proposal addresses only the rates chargeable to transmission customers under Schedule 2 and by extension, payable to resources consistent with their GIAs, not any independent right of generators to seek compensation under FPA section 205</w:t>
      </w:r>
      <w:r w:rsidRPr="00580BC5" w:rsidR="00580BC5">
        <w:t>.”</w:t>
      </w:r>
      <w:r w:rsidR="00580BC5">
        <w:t>)</w:t>
      </w:r>
      <w:r w:rsidR="008D2DA3">
        <w:t xml:space="preserve">; </w:t>
      </w:r>
      <w:r w:rsidRPr="00921E06" w:rsidR="006A2693">
        <w:t xml:space="preserve">Opinion No. 583, 184 FERC ¶ 61,145 at P 45 (“Applicants’ </w:t>
      </w:r>
      <w:r w:rsidRPr="00921E06" w:rsidR="00516CE9">
        <w:t>[interconnection agreements]</w:t>
      </w:r>
      <w:r w:rsidRPr="00921E06" w:rsidR="006A2693">
        <w:t xml:space="preserve"> do not establish an independent right outside the context of Schedule 2 to reactive power compensation for merely meeting the technical requirements required for interconnection.”)</w:t>
      </w:r>
      <w:r w:rsidRPr="00921E06" w:rsidR="00D72B26">
        <w:t>;</w:t>
      </w:r>
      <w:r w:rsidRPr="00921E06" w:rsidR="006A2693">
        <w:t xml:space="preserve"> </w:t>
      </w:r>
      <w:r w:rsidRPr="00921E06" w:rsidR="00D72B26">
        <w:rPr>
          <w:i/>
        </w:rPr>
        <w:t>s</w:t>
      </w:r>
      <w:r w:rsidRPr="00921E06" w:rsidR="006A2693">
        <w:rPr>
          <w:i/>
        </w:rPr>
        <w:t>ee also</w:t>
      </w:r>
      <w:r w:rsidRPr="00921E06" w:rsidR="006A2693">
        <w:t xml:space="preserve"> Joint Customers Initial Comments at 14 (“Without comparability as an issue, it is </w:t>
      </w:r>
      <w:r w:rsidRPr="00921E06" w:rsidR="006A2693">
        <w:rPr>
          <w:i/>
        </w:rPr>
        <w:t>existing</w:t>
      </w:r>
      <w:r w:rsidRPr="00921E06" w:rsidR="006A2693">
        <w:t xml:space="preserve"> Commission policy that it is inappropriate to compensate within the standard power factor range.</w:t>
      </w:r>
      <w:r w:rsidR="00A228EA">
        <w:t xml:space="preserve"> </w:t>
      </w:r>
      <w:r w:rsidRPr="00921E06" w:rsidR="006A2693">
        <w:t xml:space="preserve"> The Order No. 2003 determination that compensation should not be paid for reactive service meeting interconnection requirements remains well supported.” (emphasis in original)).</w:t>
      </w:r>
      <w:r w:rsidR="00FF4E38">
        <w:t xml:space="preserve">  </w:t>
      </w:r>
      <w:r w:rsidR="000F22CF">
        <w:t xml:space="preserve">We also note that </w:t>
      </w:r>
      <w:r w:rsidRPr="000F22CF" w:rsidR="000F22CF">
        <w:t xml:space="preserve">individual </w:t>
      </w:r>
      <w:r w:rsidR="00F64B1A">
        <w:t>generat</w:t>
      </w:r>
      <w:r w:rsidR="00CB088D">
        <w:t xml:space="preserve">ing </w:t>
      </w:r>
      <w:r w:rsidRPr="00921E06" w:rsidR="00CB088D">
        <w:t>facility</w:t>
      </w:r>
      <w:r w:rsidRPr="000F22CF" w:rsidR="000F22CF">
        <w:t xml:space="preserve"> reactive power tariffs themselves do not establish a payment obligation, only the rate that </w:t>
      </w:r>
      <w:r w:rsidR="00CA7CB9">
        <w:t xml:space="preserve">a </w:t>
      </w:r>
      <w:r w:rsidRPr="000F22CF" w:rsidR="000F22CF">
        <w:t xml:space="preserve">buyer will pay </w:t>
      </w:r>
      <w:r w:rsidRPr="000F22CF" w:rsidR="000F22CF">
        <w:rPr>
          <w:i/>
        </w:rPr>
        <w:t>if</w:t>
      </w:r>
      <w:r w:rsidRPr="000F22CF" w:rsidR="000F22CF">
        <w:t xml:space="preserve"> it </w:t>
      </w:r>
      <w:r w:rsidRPr="00921E06" w:rsidR="00C96248">
        <w:t>takes</w:t>
      </w:r>
      <w:r w:rsidRPr="00921E06" w:rsidR="000F22CF">
        <w:t xml:space="preserve"> service</w:t>
      </w:r>
      <w:r w:rsidRPr="00921E06" w:rsidR="00C96248">
        <w:t>.</w:t>
      </w:r>
      <w:r w:rsidR="00F64B1A">
        <w:t xml:space="preserve"> </w:t>
      </w:r>
      <w:r w:rsidR="00C96248">
        <w:t xml:space="preserve"> </w:t>
      </w:r>
      <w:r w:rsidR="00F64B1A">
        <w:t xml:space="preserve">A tariff rate is an offer to sell service at the stated rate; it does not establish an obligation on any party to pay that rate.  </w:t>
      </w:r>
      <w:r w:rsidR="00F64B1A">
        <w:rPr>
          <w:i/>
          <w:iCs/>
        </w:rPr>
        <w:t>See</w:t>
      </w:r>
      <w:r w:rsidRPr="001A4AF6" w:rsidR="00F64B1A">
        <w:t xml:space="preserve"> </w:t>
      </w:r>
      <w:r w:rsidRPr="00DC4843" w:rsidR="00F64B1A">
        <w:t>18 CFR</w:t>
      </w:r>
      <w:r w:rsidR="00F64B1A">
        <w:t> </w:t>
      </w:r>
      <w:r w:rsidRPr="00DC4843" w:rsidR="00F64B1A">
        <w:t>35.2(c)(1)</w:t>
      </w:r>
      <w:r w:rsidRPr="001A4AF6" w:rsidR="00F64B1A">
        <w:t xml:space="preserve"> </w:t>
      </w:r>
      <w:r w:rsidR="00F64B1A">
        <w:t>(“</w:t>
      </w:r>
      <w:r w:rsidRPr="00085F4A" w:rsidR="00F64B1A">
        <w:t xml:space="preserve">The term </w:t>
      </w:r>
      <w:r w:rsidRPr="00085F4A" w:rsidR="00F64B1A">
        <w:rPr>
          <w:i/>
          <w:iCs/>
        </w:rPr>
        <w:t>tariff</w:t>
      </w:r>
      <w:r w:rsidRPr="00085F4A" w:rsidR="00F64B1A">
        <w:t xml:space="preserve"> as used herein shall mean a statement of (1) electric service as defined in </w:t>
      </w:r>
      <w:r w:rsidRPr="008A6915" w:rsidR="00F64B1A">
        <w:t>paragraph (a)</w:t>
      </w:r>
      <w:r w:rsidRPr="00085F4A" w:rsidR="00F64B1A">
        <w:t xml:space="preserve"> of this section </w:t>
      </w:r>
      <w:r w:rsidRPr="00DC4843" w:rsidR="00F64B1A">
        <w:rPr>
          <w:i/>
        </w:rPr>
        <w:t>offered on a generally applicable basis</w:t>
      </w:r>
      <w:r w:rsidR="00F64B1A">
        <w:t>) (emphasis added)</w:t>
      </w:r>
      <w:r w:rsidR="006E0289">
        <w:t>)</w:t>
      </w:r>
      <w:r w:rsidR="00F64B1A">
        <w:t xml:space="preserve">; </w:t>
      </w:r>
      <w:r w:rsidRPr="004951F7" w:rsidR="00F64B1A">
        <w:rPr>
          <w:i/>
          <w:iCs/>
        </w:rPr>
        <w:t>S</w:t>
      </w:r>
      <w:r w:rsidR="00F64B1A">
        <w:rPr>
          <w:i/>
          <w:iCs/>
        </w:rPr>
        <w:t>w.</w:t>
      </w:r>
      <w:r w:rsidRPr="004951F7" w:rsidR="00F64B1A">
        <w:rPr>
          <w:i/>
          <w:iCs/>
        </w:rPr>
        <w:t xml:space="preserve"> Power Pool, Inc.</w:t>
      </w:r>
      <w:r w:rsidR="00F64B1A">
        <w:t>,</w:t>
      </w:r>
      <w:r w:rsidRPr="004951F7" w:rsidR="00F64B1A">
        <w:t xml:space="preserve"> 149</w:t>
      </w:r>
      <w:r w:rsidRPr="00DE6C9A" w:rsidR="00F64B1A">
        <w:t xml:space="preserve"> FERC ¶</w:t>
      </w:r>
      <w:r w:rsidR="00F64B1A">
        <w:t> </w:t>
      </w:r>
      <w:r w:rsidRPr="00DE6C9A" w:rsidR="00F64B1A">
        <w:t>61,</w:t>
      </w:r>
      <w:r w:rsidRPr="004951F7" w:rsidR="00F64B1A">
        <w:t xml:space="preserve">048 </w:t>
      </w:r>
      <w:r w:rsidR="00F64B1A">
        <w:t>at P 106</w:t>
      </w:r>
      <w:r w:rsidR="00B2046F">
        <w:t xml:space="preserve"> </w:t>
      </w:r>
      <w:r w:rsidR="00F64B1A">
        <w:t>(“</w:t>
      </w:r>
      <w:r w:rsidRPr="005B5CE4" w:rsidR="00F64B1A">
        <w:t>The Commission</w:t>
      </w:r>
      <w:r w:rsidR="00F64B1A">
        <w:t>’</w:t>
      </w:r>
      <w:r w:rsidRPr="005B5CE4" w:rsidR="00F64B1A">
        <w:t xml:space="preserve">s use of the term </w:t>
      </w:r>
      <w:r w:rsidR="00F64B1A">
        <w:t>‘</w:t>
      </w:r>
      <w:r w:rsidRPr="005B5CE4" w:rsidR="00F64B1A">
        <w:t>tariff rates</w:t>
      </w:r>
      <w:r w:rsidR="00F64B1A">
        <w:t>’</w:t>
      </w:r>
      <w:r w:rsidRPr="005B5CE4" w:rsidR="00F64B1A">
        <w:t xml:space="preserve"> as generally applicable rates is justified by the definition of the term </w:t>
      </w:r>
      <w:r w:rsidR="00F64B1A">
        <w:t>‘</w:t>
      </w:r>
      <w:r w:rsidRPr="005B5CE4" w:rsidR="00F64B1A">
        <w:t>tariff</w:t>
      </w:r>
      <w:r w:rsidR="00F64B1A">
        <w:t>’</w:t>
      </w:r>
      <w:r w:rsidRPr="005B5CE4" w:rsidR="00F64B1A">
        <w:t xml:space="preserve"> set forth in the Commission</w:t>
      </w:r>
      <w:r w:rsidR="00F64B1A">
        <w:t>’</w:t>
      </w:r>
      <w:r w:rsidRPr="005B5CE4" w:rsidR="00F64B1A">
        <w:t xml:space="preserve">s regulations under the FPA, which state, in part, that a tariff is </w:t>
      </w:r>
      <w:r w:rsidR="00F64B1A">
        <w:t>‘</w:t>
      </w:r>
      <w:r w:rsidRPr="005B5CE4" w:rsidR="00F64B1A">
        <w:t>a statement of .</w:t>
      </w:r>
      <w:r w:rsidR="00F64B1A">
        <w:t xml:space="preserve"> </w:t>
      </w:r>
      <w:r w:rsidRPr="005B5CE4" w:rsidR="00F64B1A">
        <w:t>.</w:t>
      </w:r>
      <w:r w:rsidR="00F64B1A">
        <w:t xml:space="preserve"> </w:t>
      </w:r>
      <w:r w:rsidRPr="005B5CE4" w:rsidR="00F64B1A">
        <w:t xml:space="preserve">. electric </w:t>
      </w:r>
      <w:r w:rsidR="00B2046F">
        <w:t xml:space="preserve">          </w:t>
      </w:r>
      <w:r w:rsidRPr="005B5CE4" w:rsidR="00F64B1A">
        <w:t>service .</w:t>
      </w:r>
      <w:r w:rsidR="00F64B1A">
        <w:t xml:space="preserve"> </w:t>
      </w:r>
      <w:r w:rsidRPr="005B5CE4" w:rsidR="00F64B1A">
        <w:t>.</w:t>
      </w:r>
      <w:r w:rsidR="00F64B1A">
        <w:t xml:space="preserve"> </w:t>
      </w:r>
      <w:r w:rsidRPr="005B5CE4" w:rsidR="00F64B1A">
        <w:t>. offered on a generally applicable basis</w:t>
      </w:r>
      <w:r w:rsidR="00F64B1A">
        <w:t xml:space="preserve">.’”).  In order to constitute an obligation, a party must sign a </w:t>
      </w:r>
      <w:r w:rsidR="00F64B1A">
        <w:rPr>
          <w:i/>
          <w:iCs/>
        </w:rPr>
        <w:t>pro forma</w:t>
      </w:r>
      <w:r w:rsidR="00F64B1A">
        <w:t xml:space="preserve"> or other service agreement.  </w:t>
      </w:r>
      <w:r w:rsidR="00F64B1A">
        <w:rPr>
          <w:i/>
          <w:iCs/>
        </w:rPr>
        <w:t xml:space="preserve">See </w:t>
      </w:r>
      <w:r w:rsidRPr="00202DF0" w:rsidR="00F64B1A">
        <w:rPr>
          <w:i/>
          <w:iCs/>
        </w:rPr>
        <w:t>Cal</w:t>
      </w:r>
      <w:r w:rsidR="00F64B1A">
        <w:rPr>
          <w:i/>
          <w:iCs/>
        </w:rPr>
        <w:t>.</w:t>
      </w:r>
      <w:r w:rsidRPr="00202DF0" w:rsidR="00F64B1A">
        <w:rPr>
          <w:i/>
          <w:iCs/>
        </w:rPr>
        <w:t xml:space="preserve"> Indep. Sys. Operator Corp.</w:t>
      </w:r>
      <w:r w:rsidRPr="009F58F5" w:rsidR="00F64B1A">
        <w:t>, 100</w:t>
      </w:r>
      <w:r w:rsidRPr="00AE2A8C" w:rsidR="00F64B1A">
        <w:t xml:space="preserve"> FERC ¶</w:t>
      </w:r>
      <w:r w:rsidR="00F64B1A">
        <w:t> </w:t>
      </w:r>
      <w:r w:rsidRPr="00AE2A8C" w:rsidR="00F64B1A">
        <w:t>61,</w:t>
      </w:r>
      <w:r w:rsidRPr="009F58F5" w:rsidR="00F64B1A">
        <w:t xml:space="preserve">234, </w:t>
      </w:r>
      <w:r w:rsidR="00FA2AD2">
        <w:t xml:space="preserve">at </w:t>
      </w:r>
      <w:r w:rsidRPr="009F58F5" w:rsidR="00F64B1A">
        <w:t>61,834 (2002)</w:t>
      </w:r>
      <w:r w:rsidR="00F64B1A">
        <w:t xml:space="preserve"> (“[T]</w:t>
      </w:r>
      <w:r w:rsidRPr="009F58F5" w:rsidR="00F64B1A">
        <w:t>he Commission moved to a paradigm of standard agreements in which terms and conditions that are included in a public utility</w:t>
      </w:r>
      <w:r w:rsidR="00F64B1A">
        <w:t>’</w:t>
      </w:r>
      <w:r w:rsidRPr="009F58F5" w:rsidR="00F64B1A">
        <w:t>s OATT and bilateral</w:t>
      </w:r>
      <w:r w:rsidR="00F64B1A">
        <w:t xml:space="preserve"> </w:t>
      </w:r>
      <w:r w:rsidRPr="009F58F5" w:rsidR="00F64B1A">
        <w:t>contracts</w:t>
      </w:r>
      <w:r w:rsidR="00F64B1A">
        <w:t xml:space="preserve"> </w:t>
      </w:r>
      <w:r w:rsidRPr="009F58F5" w:rsidR="00F64B1A">
        <w:t>are replaced by</w:t>
      </w:r>
      <w:r w:rsidR="00F64B1A">
        <w:t xml:space="preserve"> </w:t>
      </w:r>
      <w:r w:rsidRPr="00821120" w:rsidR="00F64B1A">
        <w:rPr>
          <w:i/>
        </w:rPr>
        <w:t>pro forma</w:t>
      </w:r>
      <w:r w:rsidRPr="00821120" w:rsidR="00F64B1A">
        <w:t xml:space="preserve"> </w:t>
      </w:r>
      <w:r w:rsidRPr="009F58F5" w:rsidR="00F64B1A">
        <w:t>service</w:t>
      </w:r>
      <w:r w:rsidR="00F64B1A">
        <w:t xml:space="preserve"> </w:t>
      </w:r>
      <w:r w:rsidRPr="009F58F5" w:rsidR="00F64B1A">
        <w:t>agreements</w:t>
      </w:r>
      <w:r w:rsidR="00F64B1A">
        <w:t>”)</w:t>
      </w:r>
      <w:r w:rsidR="00582023">
        <w:t>.</w:t>
      </w:r>
      <w:r w:rsidR="00F64B1A">
        <w:t xml:space="preserve">  Therefore, if transmission providers revise their Schedule 2’s to eliminate compensation for </w:t>
      </w:r>
      <w:r w:rsidR="007524DA">
        <w:t xml:space="preserve">the provision of </w:t>
      </w:r>
      <w:r w:rsidR="00F64B1A">
        <w:t>reactive power</w:t>
      </w:r>
      <w:r w:rsidR="007524DA">
        <w:t xml:space="preserve"> within the standard power factor range</w:t>
      </w:r>
      <w:r w:rsidR="00F64B1A">
        <w:t xml:space="preserve">, no party will exist to pay the generating facility’s filed tariff rate.  </w:t>
      </w:r>
      <w:r w:rsidR="00F64B1A">
        <w:rPr>
          <w:i/>
          <w:iCs/>
        </w:rPr>
        <w:t xml:space="preserve">See, e.g., </w:t>
      </w:r>
      <w:r w:rsidRPr="00DE6C9A" w:rsidR="00F64B1A">
        <w:rPr>
          <w:i/>
          <w:iCs/>
        </w:rPr>
        <w:t>P</w:t>
      </w:r>
      <w:r w:rsidRPr="00DE6C9A" w:rsidR="00F64B1A">
        <w:rPr>
          <w:i/>
        </w:rPr>
        <w:t>NM</w:t>
      </w:r>
      <w:r w:rsidRPr="00DE6C9A" w:rsidR="00F64B1A">
        <w:t xml:space="preserve">, </w:t>
      </w:r>
      <w:r w:rsidR="000D130F">
        <w:t xml:space="preserve">        </w:t>
      </w:r>
      <w:r w:rsidRPr="00DE6C9A" w:rsidR="00F64B1A">
        <w:t>178 FERC ¶</w:t>
      </w:r>
      <w:r w:rsidR="00F64B1A">
        <w:t> </w:t>
      </w:r>
      <w:r w:rsidRPr="00DE6C9A" w:rsidR="00F64B1A">
        <w:t xml:space="preserve">61,088 </w:t>
      </w:r>
      <w:r w:rsidR="00F64B1A">
        <w:t>(finding that the transmission owner is not required to pay for reactive power, but not instituting section 206 proceedings to cancel reactive power tariffs).</w:t>
      </w:r>
    </w:p>
  </w:footnote>
  <w:footnote w:id="161">
    <w:p w:rsidR="00701CED" w14:paraId="1CC3F35F" w14:textId="445589D3">
      <w:pPr>
        <w:pStyle w:val="FootnoteText"/>
      </w:pPr>
      <w:r>
        <w:rPr>
          <w:rStyle w:val="FootnoteReference"/>
        </w:rPr>
        <w:footnoteRef/>
      </w:r>
      <w:r>
        <w:t xml:space="preserve"> </w:t>
      </w:r>
      <w:r w:rsidRPr="00BA48E3" w:rsidR="00BA48E3">
        <w:t>NOPR, 186 FERC ¶ 61,203 at P</w:t>
      </w:r>
      <w:r w:rsidR="00AE612F">
        <w:t>P</w:t>
      </w:r>
      <w:r w:rsidRPr="00BA48E3" w:rsidR="00BA48E3">
        <w:t> </w:t>
      </w:r>
      <w:r w:rsidR="009E1E5D">
        <w:t>29</w:t>
      </w:r>
      <w:r w:rsidR="00594DAA">
        <w:t>-</w:t>
      </w:r>
      <w:r w:rsidRPr="00BA48E3" w:rsidR="00BA48E3">
        <w:t>31</w:t>
      </w:r>
      <w:r w:rsidR="00594DAA">
        <w:t xml:space="preserve"> (</w:t>
      </w:r>
      <w:r w:rsidR="00932BF9">
        <w:t>“</w:t>
      </w:r>
      <w:r w:rsidR="00B55F8A">
        <w:t>[S]</w:t>
      </w:r>
      <w:r w:rsidRPr="007B1001" w:rsidR="007B1001">
        <w:t>ynchronous and non-synchronous resources provide real and reactive power as joint products, with joint costs</w:t>
      </w:r>
      <w:r w:rsidRPr="000D130F" w:rsidR="00C33AD4">
        <w:t>.</w:t>
      </w:r>
      <w:r w:rsidR="009E1E5D">
        <w:t>”)</w:t>
      </w:r>
      <w:r w:rsidRPr="00BA48E3" w:rsidR="00BA48E3">
        <w:t>.</w:t>
      </w:r>
    </w:p>
  </w:footnote>
  <w:footnote w:id="162">
    <w:p w:rsidR="00250D8D" w:rsidRPr="00CD2C9F" w:rsidP="00250D8D" w14:paraId="78D99F47" w14:textId="7DF8BEC7">
      <w:pPr>
        <w:pStyle w:val="FootnoteText"/>
      </w:pPr>
      <w:r w:rsidRPr="00CD2C9F">
        <w:rPr>
          <w:rStyle w:val="FootnoteReference"/>
        </w:rPr>
        <w:footnoteRef/>
      </w:r>
      <w:r w:rsidRPr="00CD2C9F">
        <w:t xml:space="preserve"> </w:t>
      </w:r>
      <w:r w:rsidR="00C84245">
        <w:rPr>
          <w:i/>
          <w:iCs/>
        </w:rPr>
        <w:t>Id.</w:t>
      </w:r>
      <w:r w:rsidR="00032036">
        <w:t xml:space="preserve"> P 31</w:t>
      </w:r>
      <w:r w:rsidRPr="00CD2C9F">
        <w:t>.</w:t>
      </w:r>
    </w:p>
  </w:footnote>
  <w:footnote w:id="163">
    <w:p w:rsidR="00701CED" w14:paraId="52A9295E" w14:textId="319311C0">
      <w:pPr>
        <w:pStyle w:val="FootnoteText"/>
      </w:pPr>
      <w:r>
        <w:rPr>
          <w:rStyle w:val="FootnoteReference"/>
        </w:rPr>
        <w:footnoteRef/>
      </w:r>
      <w:r>
        <w:t xml:space="preserve"> </w:t>
      </w:r>
      <w:r w:rsidR="00C84245">
        <w:rPr>
          <w:i/>
          <w:iCs/>
        </w:rPr>
        <w:t>Id.</w:t>
      </w:r>
      <w:r>
        <w:t xml:space="preserve"> P</w:t>
      </w:r>
      <w:r w:rsidR="00C84245">
        <w:t>P</w:t>
      </w:r>
      <w:r w:rsidR="00C05B45">
        <w:t> </w:t>
      </w:r>
      <w:r w:rsidRPr="00A80532">
        <w:t>8</w:t>
      </w:r>
      <w:r w:rsidRPr="00A80532" w:rsidR="000A086E">
        <w:t>,</w:t>
      </w:r>
      <w:r w:rsidR="000A086E">
        <w:t xml:space="preserve"> </w:t>
      </w:r>
      <w:r w:rsidR="00A80532">
        <w:t>28</w:t>
      </w:r>
      <w:r w:rsidR="000A086E">
        <w:t>.</w:t>
      </w:r>
    </w:p>
  </w:footnote>
  <w:footnote w:id="164">
    <w:p w:rsidR="006A1AD8" w14:paraId="2FBD3E72" w14:textId="20953780">
      <w:pPr>
        <w:pStyle w:val="FootnoteText"/>
      </w:pPr>
      <w:r>
        <w:rPr>
          <w:rStyle w:val="FootnoteReference"/>
        </w:rPr>
        <w:footnoteRef/>
      </w:r>
      <w:r>
        <w:t xml:space="preserve"> </w:t>
      </w:r>
      <w:r w:rsidR="00C84245">
        <w:rPr>
          <w:i/>
          <w:iCs/>
        </w:rPr>
        <w:t>Id.</w:t>
      </w:r>
      <w:r w:rsidRPr="00BA48E3" w:rsidR="000A086E">
        <w:t xml:space="preserve"> P 3</w:t>
      </w:r>
      <w:r w:rsidR="000A086E">
        <w:t>3</w:t>
      </w:r>
      <w:r w:rsidR="00B30B96">
        <w:t xml:space="preserve"> (</w:t>
      </w:r>
      <w:r w:rsidRPr="00A80532" w:rsidR="00B30B96">
        <w:t>citing</w:t>
      </w:r>
      <w:r w:rsidR="00B30B96">
        <w:t xml:space="preserve"> </w:t>
      </w:r>
      <w:r w:rsidRPr="00A80532" w:rsidR="00A80532">
        <w:rPr>
          <w:i/>
          <w:iCs/>
        </w:rPr>
        <w:t>MISO</w:t>
      </w:r>
      <w:r w:rsidRPr="00A80532" w:rsidR="00A80532">
        <w:t>, 182 FERC ¶ 61,033 at P 53 (“Bearing in mind that the provision of reactive power within the standard power factor range is, in the first instance, an obligation of the interconnecting generator and good utility practice, MISO [transmission owners] do not have an obligation to continue to compensate an independent generator for reactive power within the standard power factor range when its own or affiliated generators are no longer being compensated.” (citations omitted));</w:t>
      </w:r>
      <w:r w:rsidRPr="00A80532" w:rsidR="00A80532">
        <w:t xml:space="preserve"> </w:t>
      </w:r>
      <w:r w:rsidRPr="00A80532" w:rsidR="00A80532">
        <w:rPr>
          <w:i/>
          <w:iCs/>
        </w:rPr>
        <w:t>id.</w:t>
      </w:r>
      <w:r w:rsidRPr="00A80532" w:rsidR="00A80532">
        <w:t xml:space="preserve"> P 54 (“We find unpersuasive protesters</w:t>
      </w:r>
      <w:r w:rsidR="00AA0A4A">
        <w:t>’</w:t>
      </w:r>
      <w:r w:rsidRPr="00A80532" w:rsidR="00A80532">
        <w:t xml:space="preserve"> arguments that it is not just and reasonable to eliminate compensation for Reactive Service within the standard power factor range because generators have come to rely on the compensation for Reactive Service in order for the generators to remain financially viable.  The Commission has previously rejected such arguments, finding that all newly interconnecting generators are required to provide reactive power within the power factor range of 0.95 leading to 0.95 lagging as a condition of interconnection.” (citations omitted)); </w:t>
      </w:r>
      <w:r w:rsidRPr="00D22A4A" w:rsidR="00A80532">
        <w:rPr>
          <w:i/>
          <w:iCs/>
        </w:rPr>
        <w:t>PNM</w:t>
      </w:r>
      <w:r w:rsidRPr="00A80532" w:rsidR="00A80532">
        <w:t>, 178 FERC ¶ 61,088 at P</w:t>
      </w:r>
      <w:r w:rsidR="009B752B">
        <w:t>P</w:t>
      </w:r>
      <w:r w:rsidRPr="00A80532" w:rsidR="00A80532">
        <w:t> 29</w:t>
      </w:r>
      <w:r w:rsidR="009B752B">
        <w:t>,</w:t>
      </w:r>
      <w:r w:rsidR="00B55F8A">
        <w:t> </w:t>
      </w:r>
      <w:r w:rsidR="009B752B">
        <w:t>33</w:t>
      </w:r>
      <w:r w:rsidRPr="00A80532" w:rsidR="00A80532">
        <w:t xml:space="preserve"> (rejecting generat</w:t>
      </w:r>
      <w:r w:rsidR="00296E13">
        <w:t>ing facility</w:t>
      </w:r>
      <w:r w:rsidRPr="00A80532" w:rsidR="00A80532">
        <w:t>’</w:t>
      </w:r>
      <w:r w:rsidR="0005450F">
        <w:t>s</w:t>
      </w:r>
      <w:r w:rsidRPr="00A80532" w:rsidR="00A80532">
        <w:t xml:space="preserve"> arguments that it is “just and reasonable for it to be compensated for investments made” to provide reactive support consistent with interconnection requirements even though transmission provider elected to no longer pay its own or affiliate generators for such reactive power); </w:t>
      </w:r>
      <w:r w:rsidRPr="00A80532" w:rsidR="00A80532">
        <w:rPr>
          <w:i/>
          <w:iCs/>
        </w:rPr>
        <w:t>Nev. Power Co.</w:t>
      </w:r>
      <w:r w:rsidRPr="00A80532" w:rsidR="00A80532">
        <w:t xml:space="preserve">, 179 FERC ¶ 61,103 at P 22 (finding that the generating </w:t>
      </w:r>
      <w:r w:rsidR="00296E13">
        <w:t>facility’s</w:t>
      </w:r>
      <w:r w:rsidRPr="00A80532" w:rsidR="00A80532">
        <w:t xml:space="preserve"> argument, “that it is not just and reasonable to eliminate their compensation for reactive service because they made investments in their generating facilities based on the expectation that they would receive compensation for reactive service,” unpersuasive because all newly interconnecting generators are required to provide reactive power within the standard power factor range as a condition of interconnection); Order No. 2003, 104 FERC ¶ 61,103 at P 546.</w:t>
      </w:r>
    </w:p>
  </w:footnote>
  <w:footnote w:id="165">
    <w:p w:rsidR="006F3A16" w:rsidRPr="00CD2C9F" w:rsidP="006F3A16" w14:paraId="5DBF6F71" w14:textId="78A53A9C">
      <w:pPr>
        <w:pStyle w:val="FootnoteText"/>
      </w:pPr>
      <w:r w:rsidRPr="00CD2C9F">
        <w:rPr>
          <w:rStyle w:val="FootnoteReference"/>
        </w:rPr>
        <w:footnoteRef/>
      </w:r>
      <w:r w:rsidRPr="00CD2C9F">
        <w:t xml:space="preserve"> </w:t>
      </w:r>
      <w:r>
        <w:t>NOPR</w:t>
      </w:r>
      <w:r w:rsidR="006449AE">
        <w:t xml:space="preserve">, </w:t>
      </w:r>
      <w:r w:rsidRPr="00BA48E3" w:rsidR="006449AE">
        <w:t>186 FERC ¶ 61,203</w:t>
      </w:r>
      <w:r>
        <w:t xml:space="preserve"> at </w:t>
      </w:r>
      <w:r w:rsidR="00C4530C">
        <w:t xml:space="preserve">P </w:t>
      </w:r>
      <w:r>
        <w:t xml:space="preserve">13 (citing </w:t>
      </w:r>
      <w:r w:rsidRPr="00CD2C9F">
        <w:t>MISO Rehearing Order, 184 FERC ¶ 61,022 at P 23</w:t>
      </w:r>
      <w:r>
        <w:t>)</w:t>
      </w:r>
      <w:r w:rsidRPr="00CD2C9F">
        <w:t>.</w:t>
      </w:r>
    </w:p>
  </w:footnote>
  <w:footnote w:id="166">
    <w:p w:rsidR="004A4097" w14:paraId="696AA81F" w14:textId="7A68C38C">
      <w:pPr>
        <w:pStyle w:val="FootnoteText"/>
      </w:pPr>
      <w:r>
        <w:rPr>
          <w:rStyle w:val="FootnoteReference"/>
        </w:rPr>
        <w:footnoteRef/>
      </w:r>
      <w:r>
        <w:t xml:space="preserve"> </w:t>
      </w:r>
      <w:r w:rsidR="00CD1020">
        <w:rPr>
          <w:i/>
          <w:iCs/>
        </w:rPr>
        <w:t>Id</w:t>
      </w:r>
      <w:r w:rsidRPr="00913F69" w:rsidR="00CD1020">
        <w:rPr>
          <w:i/>
          <w:iCs/>
        </w:rPr>
        <w:t>.</w:t>
      </w:r>
      <w:r w:rsidRPr="00913F69" w:rsidR="00CD0287">
        <w:t xml:space="preserve"> </w:t>
      </w:r>
      <w:r w:rsidRPr="00913F69">
        <w:t xml:space="preserve">at </w:t>
      </w:r>
      <w:r w:rsidRPr="00913F69" w:rsidR="00C33AD4">
        <w:t xml:space="preserve">P </w:t>
      </w:r>
      <w:r w:rsidRPr="00913F69">
        <w:t>39</w:t>
      </w:r>
      <w:r>
        <w:t>.</w:t>
      </w:r>
    </w:p>
  </w:footnote>
  <w:footnote w:id="167">
    <w:p w:rsidR="00CC5B1F" w14:paraId="6BD7DBB8" w14:textId="1E3EC38E">
      <w:pPr>
        <w:pStyle w:val="FootnoteText"/>
      </w:pPr>
      <w:r>
        <w:rPr>
          <w:rStyle w:val="FootnoteReference"/>
        </w:rPr>
        <w:footnoteRef/>
      </w:r>
      <w:r>
        <w:t xml:space="preserve"> </w:t>
      </w:r>
      <w:r w:rsidR="00CD1020">
        <w:rPr>
          <w:i/>
          <w:iCs/>
        </w:rPr>
        <w:t>Id.</w:t>
      </w:r>
    </w:p>
  </w:footnote>
  <w:footnote w:id="168">
    <w:p w:rsidR="003F1D3B" w14:paraId="7BC037AA" w14:textId="4E73E8F6">
      <w:pPr>
        <w:pStyle w:val="FootnoteText"/>
      </w:pPr>
      <w:r>
        <w:rPr>
          <w:rStyle w:val="FootnoteReference"/>
        </w:rPr>
        <w:footnoteRef/>
      </w:r>
      <w:r>
        <w:t xml:space="preserve"> </w:t>
      </w:r>
      <w:r w:rsidR="00CD1020">
        <w:rPr>
          <w:i/>
          <w:iCs/>
        </w:rPr>
        <w:t>Id.</w:t>
      </w:r>
    </w:p>
  </w:footnote>
  <w:footnote w:id="169">
    <w:p w:rsidR="00237CC0" w14:paraId="1188ACE4" w14:textId="4BE4B0CD">
      <w:pPr>
        <w:pStyle w:val="FootnoteText"/>
      </w:pPr>
      <w:r>
        <w:rPr>
          <w:rStyle w:val="FootnoteReference"/>
        </w:rPr>
        <w:footnoteRef/>
      </w:r>
      <w:r>
        <w:t xml:space="preserve"> </w:t>
      </w:r>
      <w:r w:rsidR="00CD1020">
        <w:rPr>
          <w:i/>
          <w:iCs/>
        </w:rPr>
        <w:t>Id.</w:t>
      </w:r>
      <w:r>
        <w:t xml:space="preserve"> at 39</w:t>
      </w:r>
      <w:r w:rsidR="000203C9">
        <w:t xml:space="preserve"> </w:t>
      </w:r>
      <w:r w:rsidR="00564399">
        <w:t>&amp; nn.10</w:t>
      </w:r>
      <w:r w:rsidR="006B2BD9">
        <w:t>0</w:t>
      </w:r>
      <w:r w:rsidR="00564399">
        <w:t>-0</w:t>
      </w:r>
      <w:r w:rsidR="00A76BF1">
        <w:t>2</w:t>
      </w:r>
      <w:r w:rsidR="00F66B1F">
        <w:t>.  The Commission</w:t>
      </w:r>
      <w:r w:rsidR="006B2BD9">
        <w:t xml:space="preserve"> </w:t>
      </w:r>
      <w:r w:rsidR="006A2445">
        <w:t>not</w:t>
      </w:r>
      <w:r w:rsidR="00F66B1F">
        <w:t>ed</w:t>
      </w:r>
      <w:r w:rsidR="006A2445">
        <w:t xml:space="preserve"> that, in PJM for example, </w:t>
      </w:r>
      <w:r w:rsidR="00551477">
        <w:t xml:space="preserve">while </w:t>
      </w:r>
      <w:r w:rsidR="00F75C96">
        <w:t xml:space="preserve">the capacity market rules currently account </w:t>
      </w:r>
      <w:r w:rsidRPr="00551477" w:rsidR="00551477">
        <w:t>for reactive power payments to resources by assuming average reactive power compensation of $2,546 per MW-year</w:t>
      </w:r>
      <w:r w:rsidR="00551477">
        <w:t>, reactive power</w:t>
      </w:r>
      <w:r w:rsidR="00577816">
        <w:t xml:space="preserve"> revenue requirements in PJM range from roughly $1,000 per MW-year to $13,000 per MW-year</w:t>
      </w:r>
      <w:r w:rsidR="002B5730">
        <w:t xml:space="preserve">.  The </w:t>
      </w:r>
      <w:r w:rsidR="00596511">
        <w:t>Commission noted that</w:t>
      </w:r>
      <w:r w:rsidR="00A47871">
        <w:t xml:space="preserve"> this wide range of actual compensation, which is both above and below the a</w:t>
      </w:r>
      <w:r w:rsidR="00985D81">
        <w:t xml:space="preserve">ssumed reactive power compensation in the capacity market rules, can lead </w:t>
      </w:r>
      <w:r w:rsidR="00A76BF1">
        <w:t>to market distortions</w:t>
      </w:r>
      <w:r w:rsidR="00577816">
        <w:t>.</w:t>
      </w:r>
    </w:p>
  </w:footnote>
  <w:footnote w:id="170">
    <w:p w:rsidR="00264C7B" w:rsidRPr="00504C1D" w14:paraId="364B259F" w14:textId="65E9C6ED">
      <w:pPr>
        <w:pStyle w:val="FootnoteText"/>
        <w:rPr>
          <w:highlight w:val="yellow"/>
        </w:rPr>
      </w:pPr>
      <w:r>
        <w:rPr>
          <w:rStyle w:val="FootnoteReference"/>
        </w:rPr>
        <w:footnoteRef/>
      </w:r>
      <w:r>
        <w:t xml:space="preserve"> </w:t>
      </w:r>
      <w:r w:rsidR="00F20A09">
        <w:t>AEP</w:t>
      </w:r>
      <w:r w:rsidR="00A36371">
        <w:t>;</w:t>
      </w:r>
      <w:r>
        <w:t xml:space="preserve"> </w:t>
      </w:r>
      <w:r w:rsidR="00BB01DC">
        <w:t>Ameren</w:t>
      </w:r>
      <w:r w:rsidR="00C676A4">
        <w:t>;</w:t>
      </w:r>
      <w:r w:rsidR="00BB01DC">
        <w:t xml:space="preserve"> </w:t>
      </w:r>
      <w:r w:rsidR="00303898">
        <w:t>Joint Consumer Advocates</w:t>
      </w:r>
      <w:r w:rsidR="007F6D36">
        <w:t>;</w:t>
      </w:r>
      <w:r w:rsidR="00303898">
        <w:t xml:space="preserve"> </w:t>
      </w:r>
      <w:r w:rsidR="00DC500C">
        <w:t>Joint Customers</w:t>
      </w:r>
      <w:r w:rsidR="007F6D36">
        <w:t xml:space="preserve">; </w:t>
      </w:r>
      <w:r w:rsidR="009E34ED">
        <w:t>MISO Transmission Owners</w:t>
      </w:r>
      <w:r w:rsidR="007F6D36">
        <w:t xml:space="preserve">; </w:t>
      </w:r>
      <w:r w:rsidR="00F66B1F">
        <w:t xml:space="preserve">New England Consumer Advocates; </w:t>
      </w:r>
      <w:r w:rsidR="003A651D">
        <w:t>Ohio</w:t>
      </w:r>
      <w:r w:rsidR="00C52019">
        <w:t xml:space="preserve"> </w:t>
      </w:r>
      <w:r w:rsidR="007F6D36">
        <w:t>FEA</w:t>
      </w:r>
      <w:r w:rsidR="00F31FF9">
        <w:t>;</w:t>
      </w:r>
      <w:r w:rsidR="00757A5A">
        <w:t xml:space="preserve"> </w:t>
      </w:r>
      <w:r w:rsidR="007F6D36">
        <w:t>PGE</w:t>
      </w:r>
      <w:r w:rsidR="00F31FF9">
        <w:t>;</w:t>
      </w:r>
      <w:r w:rsidR="00A14E8A">
        <w:t xml:space="preserve"> </w:t>
      </w:r>
      <w:r w:rsidR="00F66B1F">
        <w:t xml:space="preserve">PJM; </w:t>
      </w:r>
      <w:r w:rsidR="00A14E8A">
        <w:t>the PJM IMM</w:t>
      </w:r>
      <w:r w:rsidR="00F31FF9">
        <w:t>;</w:t>
      </w:r>
      <w:r w:rsidR="00C94CB6">
        <w:t xml:space="preserve"> </w:t>
      </w:r>
      <w:r w:rsidR="00682058">
        <w:t>t</w:t>
      </w:r>
      <w:r w:rsidR="00C94CB6">
        <w:t>he Transmission Access Policy Study Group</w:t>
      </w:r>
      <w:r w:rsidR="007A5A5B">
        <w:t xml:space="preserve">. </w:t>
      </w:r>
    </w:p>
  </w:footnote>
  <w:footnote w:id="171">
    <w:p w:rsidR="001F3A45" w:rsidP="000D130F" w14:paraId="39380E4A" w14:textId="03C8D422">
      <w:pPr>
        <w:pStyle w:val="FootnoteText"/>
        <w:widowControl/>
      </w:pPr>
      <w:r>
        <w:rPr>
          <w:rStyle w:val="FootnoteReference"/>
        </w:rPr>
        <w:footnoteRef/>
      </w:r>
      <w:r>
        <w:t xml:space="preserve"> </w:t>
      </w:r>
      <w:r w:rsidRPr="001F3A45">
        <w:rPr>
          <w:i/>
          <w:iCs/>
        </w:rPr>
        <w:t>See</w:t>
      </w:r>
      <w:r w:rsidRPr="00453A68">
        <w:t xml:space="preserve"> </w:t>
      </w:r>
      <w:r>
        <w:t xml:space="preserve">Ameren Initial Comments at 3; </w:t>
      </w:r>
      <w:r w:rsidR="00F66B1F">
        <w:t>Joint Customers Reply Comments at 11-13;</w:t>
      </w:r>
      <w:r w:rsidRPr="007D4F41" w:rsidR="00F66B1F">
        <w:rPr>
          <w:szCs w:val="22"/>
        </w:rPr>
        <w:t xml:space="preserve"> </w:t>
      </w:r>
      <w:r>
        <w:t>MISO Transmission Owners Initial Comments at 5-7; New England Consumer Advocates Initial Comments at 4-6;</w:t>
      </w:r>
      <w:r w:rsidRPr="00A7074A">
        <w:rPr>
          <w:b/>
          <w:bCs/>
          <w:szCs w:val="22"/>
          <w:vertAlign w:val="superscript"/>
        </w:rPr>
        <w:t xml:space="preserve"> </w:t>
      </w:r>
      <w:r w:rsidRPr="007D4F41">
        <w:t>PJM IMM Initial Comments at 4</w:t>
      </w:r>
      <w:r>
        <w:t>.</w:t>
      </w:r>
    </w:p>
  </w:footnote>
  <w:footnote w:id="172">
    <w:p w:rsidR="003B4E2E" w14:paraId="6B6F3D6E" w14:textId="4A7ED094">
      <w:pPr>
        <w:pStyle w:val="FootnoteText"/>
      </w:pPr>
      <w:r>
        <w:rPr>
          <w:rStyle w:val="FootnoteReference"/>
        </w:rPr>
        <w:footnoteRef/>
      </w:r>
      <w:r>
        <w:t xml:space="preserve"> </w:t>
      </w:r>
      <w:r w:rsidR="001F3A45">
        <w:t>Ameren Initial Comments at 3 (</w:t>
      </w:r>
      <w:r w:rsidR="006D1562">
        <w:t xml:space="preserve">citing </w:t>
      </w:r>
      <w:r w:rsidR="00D07390">
        <w:rPr>
          <w:i/>
          <w:iCs/>
        </w:rPr>
        <w:t>BPA</w:t>
      </w:r>
      <w:r w:rsidRPr="002E4F51" w:rsidR="001F3A45">
        <w:t>, 120 FERC ¶</w:t>
      </w:r>
      <w:r w:rsidR="00D374EE">
        <w:t> </w:t>
      </w:r>
      <w:r w:rsidRPr="002E4F51" w:rsidR="001F3A45">
        <w:t>61,211</w:t>
      </w:r>
      <w:r w:rsidR="001F3A45">
        <w:t xml:space="preserve"> at P</w:t>
      </w:r>
      <w:r w:rsidR="00D374EE">
        <w:t> </w:t>
      </w:r>
      <w:r w:rsidR="001F3A45">
        <w:t>21</w:t>
      </w:r>
      <w:r w:rsidR="00013C9B">
        <w:t xml:space="preserve"> (“</w:t>
      </w:r>
      <w:r w:rsidRPr="00504C1D" w:rsidR="00013C9B">
        <w:t>Evidence from numerous reactive power rate filings demonstrates newly interconnecting resources have the capability to provide reactive power, some well in excess of the required 0.95 leading to 0.95 lagging</w:t>
      </w:r>
      <w:r w:rsidRPr="008D5332" w:rsidR="00013C9B">
        <w:t xml:space="preserve">. </w:t>
      </w:r>
      <w:r w:rsidR="00013C9B">
        <w:t xml:space="preserve"> </w:t>
      </w:r>
      <w:r w:rsidRPr="008D5332" w:rsidR="00013C9B">
        <w:t>It is also well-documented that the same equipment used to produce real power includes reactive power functions and thus there is little, if any, incremental cost associated with providing reactive power.</w:t>
      </w:r>
      <w:r w:rsidR="00013C9B">
        <w:t>”)</w:t>
      </w:r>
      <w:r w:rsidR="001F3A45">
        <w:t>); MISO Transmission Owners Initial Comments at 5-7</w:t>
      </w:r>
      <w:r w:rsidR="00B75F73">
        <w:t xml:space="preserve"> (citing </w:t>
      </w:r>
      <w:r w:rsidRPr="0079424C" w:rsidR="00B75F73">
        <w:rPr>
          <w:i/>
          <w:iCs/>
        </w:rPr>
        <w:t>MISO</w:t>
      </w:r>
      <w:r w:rsidR="00B75F73">
        <w:t xml:space="preserve">, </w:t>
      </w:r>
      <w:r w:rsidRPr="00E056D1" w:rsidR="00B75F73">
        <w:t>182 FERC ¶ 61,033</w:t>
      </w:r>
      <w:r w:rsidR="00B75F73">
        <w:t xml:space="preserve"> </w:t>
      </w:r>
      <w:r w:rsidRPr="00AA6F9D" w:rsidR="00B75F73">
        <w:t>at P 55; MISO Rehearing Order</w:t>
      </w:r>
      <w:r w:rsidR="00B75F73">
        <w:t>,</w:t>
      </w:r>
      <w:r w:rsidRPr="00AA6F9D" w:rsidR="00B75F73">
        <w:t xml:space="preserve"> </w:t>
      </w:r>
      <w:r w:rsidRPr="00BA34DA" w:rsidR="00B75F73">
        <w:t xml:space="preserve">184 FERC ¶ 61,022 </w:t>
      </w:r>
      <w:r w:rsidRPr="00AA6F9D" w:rsidR="00B75F73">
        <w:t>at PP 25 n.76, 29-30, 34, 41-42</w:t>
      </w:r>
      <w:r w:rsidR="00F35EEF">
        <w:t xml:space="preserve"> </w:t>
      </w:r>
      <w:r w:rsidRPr="00E450D8" w:rsidR="00F35EEF">
        <w:t>(“[T]he record establishes, that Reactive Service requires little or no incremental investment</w:t>
      </w:r>
      <w:r w:rsidRPr="007B0DD8" w:rsidR="00B75F73">
        <w:t>.</w:t>
      </w:r>
      <w:r w:rsidR="00B75F73">
        <w:t>”)</w:t>
      </w:r>
      <w:r w:rsidR="00167830">
        <w:t>)</w:t>
      </w:r>
      <w:r w:rsidR="000D0043">
        <w:t>; MISO Transmission Owners</w:t>
      </w:r>
      <w:r w:rsidR="00B347C0">
        <w:t xml:space="preserve"> Reply Comments at 9</w:t>
      </w:r>
      <w:r w:rsidR="00684924">
        <w:t xml:space="preserve">; </w:t>
      </w:r>
      <w:r w:rsidR="006F5487">
        <w:rPr>
          <w:i/>
          <w:iCs/>
        </w:rPr>
        <w:t xml:space="preserve">see also </w:t>
      </w:r>
      <w:r w:rsidR="00684924">
        <w:t xml:space="preserve">Ohio FEA </w:t>
      </w:r>
      <w:r w:rsidR="006F5487">
        <w:t xml:space="preserve">Initial Comments </w:t>
      </w:r>
      <w:r w:rsidR="00684924">
        <w:t>at 3</w:t>
      </w:r>
      <w:r w:rsidR="001F3A45">
        <w:t>.</w:t>
      </w:r>
    </w:p>
  </w:footnote>
  <w:footnote w:id="173">
    <w:p w:rsidR="00D63738" w14:paraId="0FCBCCF2" w14:textId="6128630D">
      <w:pPr>
        <w:pStyle w:val="FootnoteText"/>
      </w:pPr>
      <w:r>
        <w:rPr>
          <w:rStyle w:val="FootnoteReference"/>
        </w:rPr>
        <w:footnoteRef/>
      </w:r>
      <w:r>
        <w:t xml:space="preserve"> </w:t>
      </w:r>
      <w:r w:rsidR="00D21070">
        <w:t xml:space="preserve">MISO Transmission Owners Initial Comments at 7 </w:t>
      </w:r>
      <w:r w:rsidR="00291032">
        <w:t>&amp; n.18</w:t>
      </w:r>
      <w:r w:rsidR="00B00CDE">
        <w:t xml:space="preserve"> </w:t>
      </w:r>
      <w:r w:rsidR="00D21070">
        <w:t xml:space="preserve">(citing </w:t>
      </w:r>
      <w:r w:rsidRPr="001E4437" w:rsidR="001E4437">
        <w:t>MISO Rehearing Order</w:t>
      </w:r>
      <w:r w:rsidR="00C81F78">
        <w:t xml:space="preserve">, </w:t>
      </w:r>
      <w:r w:rsidRPr="000A5142" w:rsidR="000A5142">
        <w:t>184 FERC ¶ 61,022</w:t>
      </w:r>
      <w:r w:rsidRPr="001E4437" w:rsidR="001E4437">
        <w:t xml:space="preserve"> at P 30 n.98 </w:t>
      </w:r>
      <w:r w:rsidR="004C6089">
        <w:t>(</w:t>
      </w:r>
      <w:r w:rsidRPr="00E55EE4" w:rsidR="00E55EE4">
        <w:t xml:space="preserve">“[O]lder wind generators could not produce and control reactive power without the use of costly equipment [ ] </w:t>
      </w:r>
      <w:r w:rsidR="00562EC2">
        <w:t>‘</w:t>
      </w:r>
      <w:r w:rsidRPr="00E55EE4" w:rsidR="00E55EE4">
        <w:t>because they did not use inverters like other non-synchronous generators</w:t>
      </w:r>
      <w:r w:rsidR="00140E63">
        <w:t>’</w:t>
      </w:r>
      <w:r w:rsidRPr="00E55EE4" w:rsidR="00E55EE4">
        <w:t xml:space="preserve"> but modern turbines now use inverters and newer wind generators now can.</w:t>
      </w:r>
      <w:r w:rsidR="001E4437">
        <w:t>”</w:t>
      </w:r>
      <w:r w:rsidR="004C6089">
        <w:t>)</w:t>
      </w:r>
      <w:r w:rsidR="00D21070">
        <w:t>)</w:t>
      </w:r>
      <w:r w:rsidR="001E4437">
        <w:t>.</w:t>
      </w:r>
    </w:p>
  </w:footnote>
  <w:footnote w:id="174">
    <w:p w:rsidR="006A2088" w14:paraId="6F1A53AB" w14:textId="1043CD11">
      <w:pPr>
        <w:pStyle w:val="FootnoteText"/>
      </w:pPr>
      <w:r>
        <w:rPr>
          <w:rStyle w:val="FootnoteReference"/>
        </w:rPr>
        <w:footnoteRef/>
      </w:r>
      <w:r>
        <w:t xml:space="preserve"> </w:t>
      </w:r>
      <w:r w:rsidR="00E302F1">
        <w:rPr>
          <w:i/>
          <w:iCs/>
        </w:rPr>
        <w:t>Id.</w:t>
      </w:r>
      <w:r>
        <w:t xml:space="preserve"> at </w:t>
      </w:r>
      <w:r w:rsidR="00B2046F">
        <w:t>7.</w:t>
      </w:r>
    </w:p>
  </w:footnote>
  <w:footnote w:id="175">
    <w:p w:rsidR="00B71161" w14:paraId="7D005735" w14:textId="39BC0CD8">
      <w:pPr>
        <w:pStyle w:val="FootnoteText"/>
      </w:pPr>
      <w:r>
        <w:rPr>
          <w:rStyle w:val="FootnoteReference"/>
        </w:rPr>
        <w:footnoteRef/>
      </w:r>
      <w:r>
        <w:t xml:space="preserve"> </w:t>
      </w:r>
      <w:r w:rsidR="00E302F1">
        <w:rPr>
          <w:i/>
          <w:iCs/>
        </w:rPr>
        <w:t>Id.</w:t>
      </w:r>
      <w:r>
        <w:t xml:space="preserve"> at </w:t>
      </w:r>
      <w:r w:rsidRPr="000E08FF">
        <w:t>9</w:t>
      </w:r>
      <w:r w:rsidRPr="000E08FF" w:rsidR="00D35FC2">
        <w:t>.</w:t>
      </w:r>
    </w:p>
  </w:footnote>
  <w:footnote w:id="176">
    <w:p w:rsidR="008A050D" w:rsidP="008A050D" w14:paraId="5E5E8A18" w14:textId="77777777">
      <w:pPr>
        <w:pStyle w:val="FootnoteText"/>
      </w:pPr>
      <w:r>
        <w:rPr>
          <w:rStyle w:val="FootnoteReference"/>
        </w:rPr>
        <w:footnoteRef/>
      </w:r>
      <w:r>
        <w:t xml:space="preserve"> Joint Customers Reply Comments at 11-13.</w:t>
      </w:r>
    </w:p>
  </w:footnote>
  <w:footnote w:id="177">
    <w:p w:rsidR="008A050D" w:rsidP="008A050D" w14:paraId="6BE49BE6" w14:textId="2DF8E4C0">
      <w:pPr>
        <w:pStyle w:val="FootnoteText"/>
      </w:pPr>
      <w:r>
        <w:rPr>
          <w:rStyle w:val="FootnoteReference"/>
        </w:rPr>
        <w:footnoteRef/>
      </w:r>
      <w:r>
        <w:t xml:space="preserve"> </w:t>
      </w:r>
      <w:r w:rsidR="00E302F1">
        <w:rPr>
          <w:i/>
          <w:iCs/>
        </w:rPr>
        <w:t>Id.</w:t>
      </w:r>
    </w:p>
  </w:footnote>
  <w:footnote w:id="178">
    <w:p w:rsidR="008A050D" w:rsidP="000D130F" w14:paraId="3C3DB6F3" w14:textId="16FA05E0">
      <w:pPr>
        <w:pStyle w:val="FootnoteText"/>
        <w:widowControl/>
      </w:pPr>
      <w:r>
        <w:rPr>
          <w:rStyle w:val="FootnoteReference"/>
        </w:rPr>
        <w:footnoteRef/>
      </w:r>
      <w:r>
        <w:t xml:space="preserve"> </w:t>
      </w:r>
      <w:r w:rsidR="00E302F1">
        <w:rPr>
          <w:i/>
          <w:iCs/>
        </w:rPr>
        <w:t>Id.</w:t>
      </w:r>
      <w:r>
        <w:t xml:space="preserve"> at 13 (</w:t>
      </w:r>
      <w:r w:rsidR="001C08FD">
        <w:t>citing</w:t>
      </w:r>
      <w:r w:rsidRPr="00DF28F5">
        <w:t xml:space="preserve"> Order No. 827, 155 FERC ¶</w:t>
      </w:r>
      <w:r>
        <w:t> </w:t>
      </w:r>
      <w:r w:rsidRPr="00DF28F5">
        <w:t>61,277</w:t>
      </w:r>
      <w:r w:rsidR="00454FBD">
        <w:t xml:space="preserve"> at P 11</w:t>
      </w:r>
      <w:r w:rsidRPr="00DF28F5">
        <w:t xml:space="preserve"> </w:t>
      </w:r>
      <w:r w:rsidR="001C08FD">
        <w:t>(“</w:t>
      </w:r>
      <w:r w:rsidRPr="001C08FD" w:rsidR="001C08FD">
        <w:t xml:space="preserve">Prior to Order No. 827, non-synchronous generators were exempt from complying with power factor requirements. </w:t>
      </w:r>
      <w:r w:rsidR="00A830A8">
        <w:t xml:space="preserve"> </w:t>
      </w:r>
      <w:r w:rsidRPr="001C08FD" w:rsidR="001C08FD">
        <w:t xml:space="preserve">The entire point of Order No. 827 was to find that technological advancements had reduced the cost of compliance such that non-synchronous generators no longer needed the exemption. </w:t>
      </w:r>
      <w:r w:rsidR="00A830A8">
        <w:t xml:space="preserve"> </w:t>
      </w:r>
      <w:r w:rsidRPr="001C08FD" w:rsidR="001C08FD">
        <w:t>The order also explicitly maintained the compensation scheme for reactive power, with all that means for the elimination of compensation if not justified by comparability.</w:t>
      </w:r>
      <w:r w:rsidR="001C08FD">
        <w:t>”</w:t>
      </w:r>
      <w:r>
        <w:t>).</w:t>
      </w:r>
    </w:p>
  </w:footnote>
  <w:footnote w:id="179">
    <w:p w:rsidR="00403420" w:rsidP="00403420" w14:paraId="5F29D9BA" w14:textId="46163691">
      <w:pPr>
        <w:pStyle w:val="FootnoteText"/>
      </w:pPr>
      <w:r>
        <w:rPr>
          <w:rStyle w:val="FootnoteReference"/>
        </w:rPr>
        <w:footnoteRef/>
      </w:r>
      <w:r>
        <w:t xml:space="preserve"> PJM IMM Initial Comments at 6-9 (citing </w:t>
      </w:r>
      <w:r w:rsidRPr="00BC1F48">
        <w:t>PJM</w:t>
      </w:r>
      <w:r w:rsidR="00295A99">
        <w:t>,</w:t>
      </w:r>
      <w:r w:rsidRPr="00BC1F48">
        <w:t xml:space="preserve"> </w:t>
      </w:r>
      <w:r w:rsidR="001602E9">
        <w:t>OATT</w:t>
      </w:r>
      <w:r w:rsidRPr="00BC1F48">
        <w:t>, Attachment O</w:t>
      </w:r>
      <w:r w:rsidR="00295A99">
        <w:t>,</w:t>
      </w:r>
      <w:r w:rsidRPr="00BC1F48">
        <w:t xml:space="preserve"> </w:t>
      </w:r>
      <w:r w:rsidR="00295A99">
        <w:t xml:space="preserve">           </w:t>
      </w:r>
      <w:r w:rsidRPr="00BC1F48">
        <w:t>§§ 4.7.1.1.1</w:t>
      </w:r>
      <w:r w:rsidRPr="00BC1F48">
        <w:t>.</w:t>
      </w:r>
      <w:r w:rsidR="00295A99">
        <w:t>,</w:t>
      </w:r>
      <w:r w:rsidRPr="004917CA">
        <w:t xml:space="preserve"> </w:t>
      </w:r>
      <w:r w:rsidRPr="00CB16D2">
        <w:t>4.7.1.2.</w:t>
      </w:r>
      <w:r w:rsidR="00705C2B">
        <w:t xml:space="preserve"> (</w:t>
      </w:r>
      <w:r w:rsidR="00F201BE">
        <w:t>3.0.0)</w:t>
      </w:r>
      <w:r>
        <w:t xml:space="preserve">); </w:t>
      </w:r>
      <w:r w:rsidR="005E031E">
        <w:t xml:space="preserve">Joint Consumer Advocates Initial Comments at 6-7; </w:t>
      </w:r>
      <w:r>
        <w:t>MISO Transmission Owners Reply Comments at 4; TAPS Initial Comments at 6; Ohio FEA Initial Comments at 5</w:t>
      </w:r>
      <w:r w:rsidR="007D3E33">
        <w:t xml:space="preserve">; </w:t>
      </w:r>
      <w:r w:rsidR="00A0694E">
        <w:t>Joint Customers Initial Comments at</w:t>
      </w:r>
      <w:r w:rsidR="00CF1D14">
        <w:t xml:space="preserve"> 14-16; </w:t>
      </w:r>
      <w:r w:rsidR="007D3E33">
        <w:t xml:space="preserve">PGE Initial Comments at </w:t>
      </w:r>
      <w:r w:rsidR="00C92726">
        <w:t xml:space="preserve">4 (citing </w:t>
      </w:r>
      <w:r w:rsidR="0020244C">
        <w:rPr>
          <w:i/>
          <w:iCs/>
        </w:rPr>
        <w:t>MISO</w:t>
      </w:r>
      <w:r w:rsidRPr="004A4C03" w:rsidR="004A4C03">
        <w:t>, 182 FERC ¶ 61,033 at P 53</w:t>
      </w:r>
      <w:r w:rsidR="004A4C03">
        <w:t xml:space="preserve"> (</w:t>
      </w:r>
      <w:r w:rsidR="001139B0">
        <w:t xml:space="preserve">noting that </w:t>
      </w:r>
      <w:r w:rsidR="00471508">
        <w:t xml:space="preserve">in the </w:t>
      </w:r>
      <w:r w:rsidRPr="001139B0" w:rsidR="001139B0">
        <w:t xml:space="preserve">acceptance of </w:t>
      </w:r>
      <w:r w:rsidR="005A768A">
        <w:t xml:space="preserve">the MISO Transmission Owners </w:t>
      </w:r>
      <w:r w:rsidR="00330602">
        <w:t xml:space="preserve">application </w:t>
      </w:r>
      <w:r w:rsidR="005A768A">
        <w:t xml:space="preserve">to end </w:t>
      </w:r>
      <w:r w:rsidR="006D2B47">
        <w:t>compensation within the standard power</w:t>
      </w:r>
      <w:r w:rsidRPr="001139B0" w:rsidR="001139B0">
        <w:t xml:space="preserve"> application</w:t>
      </w:r>
      <w:r w:rsidR="00330602">
        <w:t>, the Commission</w:t>
      </w:r>
      <w:r w:rsidRPr="001139B0" w:rsidR="001139B0">
        <w:t xml:space="preserve"> reiterated </w:t>
      </w:r>
      <w:r w:rsidR="00330602">
        <w:t>its</w:t>
      </w:r>
      <w:r w:rsidRPr="001139B0" w:rsidR="001139B0">
        <w:t xml:space="preserve"> policy “that the provision of reactive power within the standard power factor range is, in the first instance, an obligation of the interconnecting generator and good utility practice.”</w:t>
      </w:r>
      <w:r w:rsidR="004A4C03">
        <w:t>))</w:t>
      </w:r>
      <w:r>
        <w:t>.</w:t>
      </w:r>
    </w:p>
  </w:footnote>
  <w:footnote w:id="180">
    <w:p w:rsidR="00F20023" w14:paraId="7809D02D" w14:textId="7C26F047">
      <w:pPr>
        <w:pStyle w:val="FootnoteText"/>
      </w:pPr>
      <w:r>
        <w:rPr>
          <w:rStyle w:val="FootnoteReference"/>
        </w:rPr>
        <w:footnoteRef/>
      </w:r>
      <w:r>
        <w:t xml:space="preserve"> PJM IMM Initial Comments at 6-8</w:t>
      </w:r>
      <w:r w:rsidR="00FF400F">
        <w:t xml:space="preserve"> (citing </w:t>
      </w:r>
      <w:r w:rsidRPr="001C7CF4" w:rsidR="00FF400F">
        <w:t>NOPR</w:t>
      </w:r>
      <w:r w:rsidR="00B940BA">
        <w:t>,</w:t>
      </w:r>
      <w:r w:rsidR="004C163C">
        <w:t xml:space="preserve"> </w:t>
      </w:r>
      <w:r w:rsidRPr="00B940BA" w:rsidR="00B940BA">
        <w:t>186 FERC ¶ 61,203</w:t>
      </w:r>
      <w:r w:rsidRPr="00FF400F" w:rsidR="00FF400F">
        <w:t xml:space="preserve"> at P 5 </w:t>
      </w:r>
      <w:r w:rsidR="00FF400F">
        <w:t>(</w:t>
      </w:r>
      <w:r w:rsidRPr="00FF400F" w:rsidR="00FF400F">
        <w:t xml:space="preserve">citing </w:t>
      </w:r>
      <w:r w:rsidRPr="006056E4" w:rsidR="00D355FB">
        <w:t>BPA</w:t>
      </w:r>
      <w:r w:rsidR="00D355FB">
        <w:t xml:space="preserve"> Rehearing Order</w:t>
      </w:r>
      <w:r w:rsidRPr="00FF400F" w:rsidR="00FF400F">
        <w:t>, 125 FERC ¶ 61,273 at P 18</w:t>
      </w:r>
      <w:r w:rsidR="00101884">
        <w:t>)</w:t>
      </w:r>
      <w:r w:rsidR="00FF400F">
        <w:t>)</w:t>
      </w:r>
      <w:r w:rsidR="006E7729">
        <w:t xml:space="preserve">; </w:t>
      </w:r>
      <w:r w:rsidR="006E7729">
        <w:rPr>
          <w:i/>
          <w:iCs/>
        </w:rPr>
        <w:t xml:space="preserve">see also </w:t>
      </w:r>
      <w:r w:rsidR="006E7729">
        <w:t>MISO Transmission Owners Initial Comments at 10-12.</w:t>
      </w:r>
    </w:p>
  </w:footnote>
  <w:footnote w:id="181">
    <w:p w:rsidR="00403420" w:rsidP="00403420" w14:paraId="639298D3" w14:textId="77777777">
      <w:pPr>
        <w:pStyle w:val="FootnoteText"/>
      </w:pPr>
      <w:r>
        <w:rPr>
          <w:rStyle w:val="FootnoteReference"/>
        </w:rPr>
        <w:footnoteRef/>
      </w:r>
      <w:r>
        <w:t xml:space="preserve"> PJM IMM Initial Comments at 8.</w:t>
      </w:r>
    </w:p>
  </w:footnote>
  <w:footnote w:id="182">
    <w:p w:rsidR="00403420" w:rsidP="00403420" w14:paraId="09FDB1D8" w14:textId="5D38313D">
      <w:pPr>
        <w:pStyle w:val="FootnoteText"/>
      </w:pPr>
      <w:r>
        <w:rPr>
          <w:rStyle w:val="FootnoteReference"/>
        </w:rPr>
        <w:footnoteRef/>
      </w:r>
      <w:r>
        <w:t xml:space="preserve"> </w:t>
      </w:r>
      <w:r w:rsidR="00194325">
        <w:rPr>
          <w:i/>
          <w:iCs/>
        </w:rPr>
        <w:t>Id.</w:t>
      </w:r>
      <w:r>
        <w:t xml:space="preserve"> (citing </w:t>
      </w:r>
      <w:r w:rsidRPr="001C7CF4">
        <w:t>PJM</w:t>
      </w:r>
      <w:r w:rsidR="00295A99">
        <w:t>,</w:t>
      </w:r>
      <w:r w:rsidRPr="001C7CF4">
        <w:t xml:space="preserve"> OATT, Attachment O § 4.7.2.</w:t>
      </w:r>
      <w:r w:rsidR="006533B3">
        <w:t xml:space="preserve"> (3.0.0)</w:t>
      </w:r>
      <w:r>
        <w:t>).</w:t>
      </w:r>
    </w:p>
  </w:footnote>
  <w:footnote w:id="183">
    <w:p w:rsidR="00E97541" w:rsidP="00E97541" w14:paraId="649C611E" w14:textId="6F094E57">
      <w:pPr>
        <w:pStyle w:val="FootnoteText"/>
      </w:pPr>
      <w:r>
        <w:rPr>
          <w:rStyle w:val="FootnoteReference"/>
        </w:rPr>
        <w:footnoteRef/>
      </w:r>
      <w:r>
        <w:t xml:space="preserve"> MISO Transmission Owners </w:t>
      </w:r>
      <w:r w:rsidR="00752EE2">
        <w:t xml:space="preserve">Initial Comments </w:t>
      </w:r>
      <w:r>
        <w:t xml:space="preserve">at 9 </w:t>
      </w:r>
      <w:r w:rsidR="00AC5AC4">
        <w:t xml:space="preserve">&amp; n.24 </w:t>
      </w:r>
      <w:r>
        <w:t xml:space="preserve">(citing </w:t>
      </w:r>
      <w:r w:rsidR="00AC5AC4">
        <w:t>SEIA,</w:t>
      </w:r>
      <w:r>
        <w:t xml:space="preserve"> </w:t>
      </w:r>
      <w:r w:rsidRPr="00C06B6B">
        <w:rPr>
          <w:i/>
        </w:rPr>
        <w:t xml:space="preserve">Reactive Power Compensation: </w:t>
      </w:r>
      <w:r w:rsidRPr="00C06B6B" w:rsidR="00752EE2">
        <w:rPr>
          <w:i/>
        </w:rPr>
        <w:t xml:space="preserve"> </w:t>
      </w:r>
      <w:r w:rsidRPr="00C06B6B">
        <w:rPr>
          <w:i/>
        </w:rPr>
        <w:t>How to Unlock New Revenue Opportunities for Solar and Storage Projects, Solar Energy Industries Association</w:t>
      </w:r>
      <w:r w:rsidRPr="008D28A9">
        <w:t xml:space="preserve"> 4 (July 29, 2020), </w:t>
      </w:r>
      <w:r w:rsidRPr="00AC057C" w:rsidR="00AC057C">
        <w:t>https://old.seia.org/sites/default/files/2023-01/Speaker%20Q&amp;A%20-%20Reactive%20Power%20Compensation%20Webinar.pdf</w:t>
      </w:r>
      <w:r w:rsidRPr="00AC057C" w:rsidR="00AC057C">
        <w:t xml:space="preserve"> </w:t>
      </w:r>
      <w:r w:rsidRPr="008D28A9">
        <w:t xml:space="preserve">(also attached as Exhibit I) (“Filing for and receiving reactive revenues has no impact on the generator’s operating profile. </w:t>
      </w:r>
      <w:r w:rsidR="0064354F">
        <w:t xml:space="preserve"> </w:t>
      </w:r>
      <w:r w:rsidRPr="008D28A9">
        <w:t>The ISO/</w:t>
      </w:r>
      <w:r w:rsidR="007C3DB7">
        <w:t>RTOs</w:t>
      </w:r>
      <w:r w:rsidRPr="008D28A9">
        <w:t xml:space="preserve"> have a right to dispatch generators to provide reactive service as needed to maintain reliability.”)</w:t>
      </w:r>
      <w:r>
        <w:t>)</w:t>
      </w:r>
      <w:r w:rsidRPr="008D28A9">
        <w:t>.</w:t>
      </w:r>
      <w:r>
        <w:t xml:space="preserve">  The MISO Transmission Owners also add that “[a]t </w:t>
      </w:r>
      <w:r w:rsidRPr="00494E76">
        <w:t xml:space="preserve">the same time MISO was experiencing a dramatic increase in the amounts transmission customers paid for reactive power service prior to its elimination of compensation for reactive power service within the deadband, SEIA highlighted that MISO was one of the two </w:t>
      </w:r>
      <w:r>
        <w:t>‘</w:t>
      </w:r>
      <w:r w:rsidRPr="00494E76">
        <w:t>most lucrative</w:t>
      </w:r>
      <w:r>
        <w:t>’</w:t>
      </w:r>
      <w:r w:rsidRPr="00494E76">
        <w:t xml:space="preserve"> regions</w:t>
      </w:r>
      <w:r>
        <w:t xml:space="preserve"> </w:t>
      </w:r>
      <w:r w:rsidRPr="006D236E">
        <w:t>for reactive power compensation, where generators received millions of dollars in compensation for having the capability to produce reactive power within the deadband, a capability that was already a condition of obtaining</w:t>
      </w:r>
      <w:r>
        <w:t xml:space="preserve"> </w:t>
      </w:r>
      <w:r w:rsidRPr="006D236E">
        <w:t>interconnection.</w:t>
      </w:r>
      <w:r>
        <w:t xml:space="preserve">”  </w:t>
      </w:r>
      <w:r w:rsidR="00526539">
        <w:rPr>
          <w:i/>
          <w:iCs/>
        </w:rPr>
        <w:t>Id.</w:t>
      </w:r>
      <w:r>
        <w:t xml:space="preserve"> at 9-11.</w:t>
      </w:r>
    </w:p>
  </w:footnote>
  <w:footnote w:id="184">
    <w:p w:rsidR="006E0769" w:rsidP="000D130F" w14:paraId="54F3C9F1" w14:textId="4BB23AF9">
      <w:pPr>
        <w:pStyle w:val="FootnoteText"/>
        <w:widowControl/>
      </w:pPr>
      <w:r>
        <w:rPr>
          <w:rStyle w:val="FootnoteReference"/>
        </w:rPr>
        <w:footnoteRef/>
      </w:r>
      <w:r>
        <w:t xml:space="preserve"> </w:t>
      </w:r>
      <w:r w:rsidR="00526539">
        <w:rPr>
          <w:i/>
          <w:iCs/>
        </w:rPr>
        <w:t>Id.</w:t>
      </w:r>
      <w:r w:rsidR="00140AA6">
        <w:t xml:space="preserve"> at </w:t>
      </w:r>
      <w:r w:rsidR="008766F6">
        <w:t>10-</w:t>
      </w:r>
      <w:r>
        <w:t xml:space="preserve">11 (citing </w:t>
      </w:r>
      <w:r w:rsidR="00905983">
        <w:t>Order No. 2003</w:t>
      </w:r>
      <w:r w:rsidR="00E37C06">
        <w:t xml:space="preserve">, </w:t>
      </w:r>
      <w:r w:rsidRPr="00E37C06" w:rsidR="00E37C06">
        <w:t>104 FERC ¶ 61,103</w:t>
      </w:r>
      <w:r w:rsidR="00905983">
        <w:t xml:space="preserve"> at P </w:t>
      </w:r>
      <w:r w:rsidR="00B24E69">
        <w:t>546</w:t>
      </w:r>
      <w:r w:rsidR="007E051D">
        <w:t xml:space="preserve">; Order </w:t>
      </w:r>
      <w:r w:rsidR="00B2046F">
        <w:t xml:space="preserve">       </w:t>
      </w:r>
      <w:r w:rsidR="007E051D">
        <w:t>No. 2003-A</w:t>
      </w:r>
      <w:r w:rsidR="008470FD">
        <w:t xml:space="preserve">, </w:t>
      </w:r>
      <w:r w:rsidRPr="008470FD" w:rsidR="008470FD">
        <w:t>106 FERC ¶ 61,220</w:t>
      </w:r>
      <w:r w:rsidR="007E051D">
        <w:t xml:space="preserve"> at PP 410, 416</w:t>
      </w:r>
      <w:r w:rsidR="00AA5D02">
        <w:t>; Order No. 827</w:t>
      </w:r>
      <w:r w:rsidR="00A50392">
        <w:t xml:space="preserve">, </w:t>
      </w:r>
      <w:r w:rsidRPr="00A50392" w:rsidR="00A50392">
        <w:t>155 FERC ¶ 61,277</w:t>
      </w:r>
      <w:r w:rsidR="00AA5D02">
        <w:t xml:space="preserve"> </w:t>
      </w:r>
      <w:r w:rsidR="00B2046F">
        <w:t xml:space="preserve">      </w:t>
      </w:r>
      <w:r w:rsidR="00AA5D02">
        <w:t>at P 59</w:t>
      </w:r>
      <w:r w:rsidR="00E7224F">
        <w:t>)</w:t>
      </w:r>
      <w:r>
        <w:t>.</w:t>
      </w:r>
    </w:p>
  </w:footnote>
  <w:footnote w:id="185">
    <w:p w:rsidR="00D76C25" w14:paraId="44704C6F" w14:textId="12A4CDFD">
      <w:pPr>
        <w:pStyle w:val="FootnoteText"/>
      </w:pPr>
      <w:r>
        <w:rPr>
          <w:rStyle w:val="FootnoteReference"/>
        </w:rPr>
        <w:footnoteRef/>
      </w:r>
      <w:r>
        <w:t xml:space="preserve"> </w:t>
      </w:r>
      <w:r w:rsidR="009235B2">
        <w:rPr>
          <w:i/>
          <w:iCs/>
        </w:rPr>
        <w:t>Id.</w:t>
      </w:r>
      <w:r>
        <w:t xml:space="preserve"> </w:t>
      </w:r>
      <w:r w:rsidR="00B551F5">
        <w:t>at 11 &amp; n</w:t>
      </w:r>
      <w:r w:rsidR="001256D7">
        <w:t>.</w:t>
      </w:r>
      <w:r w:rsidR="0066309C">
        <w:t>29 (</w:t>
      </w:r>
      <w:r w:rsidR="006B3887">
        <w:t xml:space="preserve">citing </w:t>
      </w:r>
      <w:r w:rsidRPr="006B3887" w:rsidR="006B3887">
        <w:t>MISO Rehearing Order</w:t>
      </w:r>
      <w:r w:rsidR="009235B2">
        <w:t xml:space="preserve">, </w:t>
      </w:r>
      <w:r w:rsidRPr="009235B2" w:rsidR="009235B2">
        <w:t>184 FERC ¶ 61,022</w:t>
      </w:r>
      <w:r w:rsidRPr="006B3887" w:rsidR="006B3887">
        <w:t xml:space="preserve"> at P 35 n.116 (“[G]enerators have incentives to install equipment to ensure that their generation remains online and delivering real power.”</w:t>
      </w:r>
      <w:r w:rsidR="006B3887">
        <w:t>)</w:t>
      </w:r>
      <w:r w:rsidRPr="006B3887" w:rsidR="006B3887">
        <w:t xml:space="preserve">).  </w:t>
      </w:r>
    </w:p>
  </w:footnote>
  <w:footnote w:id="186">
    <w:p w:rsidR="00B57FB3" w14:paraId="078DAF8B" w14:textId="0B354F7E">
      <w:pPr>
        <w:pStyle w:val="FootnoteText"/>
      </w:pPr>
      <w:r>
        <w:rPr>
          <w:rStyle w:val="FootnoteReference"/>
        </w:rPr>
        <w:footnoteRef/>
      </w:r>
      <w:r>
        <w:t xml:space="preserve"> </w:t>
      </w:r>
      <w:r w:rsidR="0064243D">
        <w:rPr>
          <w:i/>
          <w:iCs/>
        </w:rPr>
        <w:t>Id.</w:t>
      </w:r>
      <w:r>
        <w:t xml:space="preserve"> at 11-12 (citing </w:t>
      </w:r>
      <w:r w:rsidR="004035D3">
        <w:t>Reliability Standard</w:t>
      </w:r>
      <w:r>
        <w:t xml:space="preserve"> </w:t>
      </w:r>
      <w:r w:rsidRPr="00C06B6B" w:rsidR="00E20361">
        <w:t xml:space="preserve">VAR-002-3 </w:t>
      </w:r>
      <w:r w:rsidR="000F073B">
        <w:t xml:space="preserve">- </w:t>
      </w:r>
      <w:r w:rsidRPr="00C06B6B" w:rsidR="00E20361">
        <w:t>Generator Operation for Maintaining Network Voltage Schedules</w:t>
      </w:r>
      <w:r w:rsidR="0005774E">
        <w:t>)</w:t>
      </w:r>
      <w:r w:rsidRPr="00E20361" w:rsidR="00E20361">
        <w:t>, at 2 (Aug. 1, 2014),</w:t>
      </w:r>
      <w:r w:rsidR="00E20361">
        <w:t xml:space="preserve"> </w:t>
      </w:r>
      <w:r w:rsidRPr="00E20361" w:rsidR="00E20361">
        <w:t>http://www.nerc.com/pa/Stand/Reliability%20Standards/VAR-002-3.pdf (“R2 . . . Generator Operator shall maintain the generator voltage or Reactive Power schedule (within each generating Facility’s capabilities)</w:t>
      </w:r>
      <w:r w:rsidR="00720519">
        <w:t>.”</w:t>
      </w:r>
      <w:r>
        <w:t>).</w:t>
      </w:r>
    </w:p>
  </w:footnote>
  <w:footnote w:id="187">
    <w:p w:rsidR="00EE7BB1" w:rsidP="000D130F" w14:paraId="65BDF116" w14:textId="40F24C7E">
      <w:pPr>
        <w:pStyle w:val="FootnoteText"/>
        <w:widowControl/>
      </w:pPr>
      <w:r>
        <w:rPr>
          <w:rStyle w:val="FootnoteReference"/>
        </w:rPr>
        <w:footnoteRef/>
      </w:r>
      <w:r>
        <w:t xml:space="preserve"> </w:t>
      </w:r>
      <w:r w:rsidR="00A07CE7">
        <w:rPr>
          <w:i/>
          <w:iCs/>
        </w:rPr>
        <w:t>Id.</w:t>
      </w:r>
      <w:r>
        <w:t xml:space="preserve"> at 8</w:t>
      </w:r>
      <w:r w:rsidR="008A09AE">
        <w:t xml:space="preserve">; PJM IMM Initial Comments at </w:t>
      </w:r>
      <w:r w:rsidR="009227DA">
        <w:t>4-6</w:t>
      </w:r>
      <w:r w:rsidR="00FD780F">
        <w:t xml:space="preserve">; </w:t>
      </w:r>
      <w:r w:rsidR="00FD780F">
        <w:rPr>
          <w:i/>
          <w:iCs/>
        </w:rPr>
        <w:t xml:space="preserve">see also </w:t>
      </w:r>
      <w:r w:rsidR="00FD780F">
        <w:t>Joint Customers Initial Comments at 4-6</w:t>
      </w:r>
      <w:r>
        <w:t>.</w:t>
      </w:r>
    </w:p>
  </w:footnote>
  <w:footnote w:id="188">
    <w:p w:rsidR="00D77656" w14:paraId="3ADC0F91" w14:textId="79697F16">
      <w:pPr>
        <w:pStyle w:val="FootnoteText"/>
      </w:pPr>
      <w:r>
        <w:rPr>
          <w:rStyle w:val="FootnoteReference"/>
        </w:rPr>
        <w:footnoteRef/>
      </w:r>
      <w:r>
        <w:t xml:space="preserve"> </w:t>
      </w:r>
      <w:r w:rsidR="005C340C">
        <w:t xml:space="preserve">PJM IMM Initial Comments at </w:t>
      </w:r>
      <w:r w:rsidR="00E352B0">
        <w:t>3-4.</w:t>
      </w:r>
    </w:p>
  </w:footnote>
  <w:footnote w:id="189">
    <w:p w:rsidR="009537F1" w14:paraId="55A2EF7F" w14:textId="3DF268CA">
      <w:pPr>
        <w:pStyle w:val="FootnoteText"/>
      </w:pPr>
      <w:r>
        <w:rPr>
          <w:rStyle w:val="FootnoteReference"/>
        </w:rPr>
        <w:footnoteRef/>
      </w:r>
      <w:r>
        <w:t xml:space="preserve"> </w:t>
      </w:r>
      <w:r w:rsidR="00A07CE7">
        <w:rPr>
          <w:i/>
          <w:iCs/>
        </w:rPr>
        <w:t>Id.</w:t>
      </w:r>
      <w:r w:rsidR="007D2B9B">
        <w:t xml:space="preserve"> at </w:t>
      </w:r>
      <w:r w:rsidR="00136686">
        <w:t>4-</w:t>
      </w:r>
      <w:r w:rsidR="002A1897">
        <w:t>6.</w:t>
      </w:r>
    </w:p>
  </w:footnote>
  <w:footnote w:id="190">
    <w:p w:rsidR="009324B9" w14:paraId="0EC1881B" w14:textId="17AAD3F8">
      <w:pPr>
        <w:pStyle w:val="FootnoteText"/>
      </w:pPr>
      <w:r>
        <w:rPr>
          <w:rStyle w:val="FootnoteReference"/>
        </w:rPr>
        <w:footnoteRef/>
      </w:r>
      <w:r>
        <w:t xml:space="preserve"> </w:t>
      </w:r>
      <w:r w:rsidR="00A07CE7">
        <w:rPr>
          <w:i/>
          <w:iCs/>
        </w:rPr>
        <w:t>Id.</w:t>
      </w:r>
      <w:r>
        <w:t xml:space="preserve"> at 4</w:t>
      </w:r>
      <w:r w:rsidR="006B383E">
        <w:t xml:space="preserve">.  The PJM IMM asserts that </w:t>
      </w:r>
      <w:r w:rsidR="00323698">
        <w:t xml:space="preserve">these revenues </w:t>
      </w:r>
      <w:r w:rsidR="00E95A48">
        <w:t xml:space="preserve">provide a nonmarket </w:t>
      </w:r>
      <w:r w:rsidR="00025A8C">
        <w:t>advantage to generating facilities that receive them</w:t>
      </w:r>
      <w:r w:rsidR="00544DF4">
        <w:t xml:space="preserve">, </w:t>
      </w:r>
      <w:r w:rsidR="00E279D9">
        <w:t>resulting in an arbitrary and non</w:t>
      </w:r>
      <w:r w:rsidR="00946A25">
        <w:t>market-</w:t>
      </w:r>
      <w:r w:rsidR="00E279D9">
        <w:t>based</w:t>
      </w:r>
      <w:r w:rsidR="0077335E">
        <w:t xml:space="preserve"> ad</w:t>
      </w:r>
      <w:r w:rsidR="00651911">
        <w:t>vantage</w:t>
      </w:r>
      <w:r w:rsidR="00946A25">
        <w:t xml:space="preserve"> (i.e., distortionary)</w:t>
      </w:r>
      <w:r w:rsidR="00666B20">
        <w:t>.</w:t>
      </w:r>
    </w:p>
  </w:footnote>
  <w:footnote w:id="191">
    <w:p w:rsidR="001F36B6" w:rsidP="003428D4" w14:paraId="66E610B1" w14:textId="17373A8A">
      <w:pPr>
        <w:pStyle w:val="FootnoteText"/>
        <w:widowControl/>
      </w:pPr>
      <w:r w:rsidRPr="72DAF3EE">
        <w:rPr>
          <w:rStyle w:val="FootnoteReference"/>
        </w:rPr>
        <w:footnoteRef/>
      </w:r>
      <w:r>
        <w:t xml:space="preserve"> </w:t>
      </w:r>
      <w:r w:rsidR="00E92E0B">
        <w:rPr>
          <w:rFonts w:eastAsia="Calibri"/>
          <w:i/>
          <w:iCs/>
          <w:color w:val="000000" w:themeColor="text1"/>
          <w:szCs w:val="26"/>
        </w:rPr>
        <w:t>Id.</w:t>
      </w:r>
      <w:r w:rsidRPr="00F5667D">
        <w:rPr>
          <w:rFonts w:eastAsia="Calibri"/>
          <w:color w:val="000000" w:themeColor="text1"/>
          <w:szCs w:val="26"/>
        </w:rPr>
        <w:t xml:space="preserve"> at 6</w:t>
      </w:r>
      <w:r w:rsidR="00DD0A3A">
        <w:rPr>
          <w:rFonts w:eastAsia="Calibri"/>
          <w:color w:val="000000" w:themeColor="text1"/>
          <w:szCs w:val="26"/>
        </w:rPr>
        <w:t xml:space="preserve"> (explaining that i</w:t>
      </w:r>
      <w:r w:rsidR="00F35B24">
        <w:rPr>
          <w:rFonts w:eastAsia="Calibri"/>
          <w:color w:val="000000" w:themeColor="text1"/>
          <w:szCs w:val="26"/>
        </w:rPr>
        <w:t xml:space="preserve">n PJM’s capacity market, </w:t>
      </w:r>
      <w:r w:rsidR="000A741F">
        <w:rPr>
          <w:rFonts w:eastAsia="Calibri"/>
          <w:color w:val="000000" w:themeColor="text1"/>
          <w:szCs w:val="26"/>
        </w:rPr>
        <w:t>“</w:t>
      </w:r>
      <w:r w:rsidR="005B7F13">
        <w:rPr>
          <w:rFonts w:eastAsia="Calibri"/>
          <w:color w:val="000000" w:themeColor="text1"/>
          <w:szCs w:val="26"/>
        </w:rPr>
        <w:t>the parameters that define the demand curve</w:t>
      </w:r>
      <w:r w:rsidR="003B06B4">
        <w:rPr>
          <w:rFonts w:eastAsia="Calibri"/>
          <w:color w:val="000000" w:themeColor="text1"/>
          <w:szCs w:val="26"/>
        </w:rPr>
        <w:t xml:space="preserve"> . . .</w:t>
      </w:r>
      <w:r w:rsidRPr="005E59AF" w:rsidR="005E59AF">
        <w:rPr>
          <w:szCs w:val="22"/>
        </w:rPr>
        <w:t xml:space="preserve"> </w:t>
      </w:r>
      <w:r w:rsidRPr="005E59AF" w:rsidR="005E59AF">
        <w:rPr>
          <w:rFonts w:eastAsia="Calibri"/>
          <w:color w:val="000000" w:themeColor="text1"/>
          <w:szCs w:val="26"/>
        </w:rPr>
        <w:t>are based on the costs of new entry of a reference generating unit, less net revenues from other PJM markets</w:t>
      </w:r>
      <w:r w:rsidR="003F0E03">
        <w:rPr>
          <w:rFonts w:eastAsia="Calibri"/>
          <w:color w:val="000000" w:themeColor="text1"/>
          <w:szCs w:val="26"/>
        </w:rPr>
        <w:t xml:space="preserve">” </w:t>
      </w:r>
      <w:r w:rsidR="00E04118">
        <w:rPr>
          <w:rFonts w:eastAsia="Calibri"/>
          <w:color w:val="000000" w:themeColor="text1"/>
          <w:szCs w:val="26"/>
        </w:rPr>
        <w:t>such as reactive power revenues</w:t>
      </w:r>
      <w:r w:rsidR="00DD0A3A">
        <w:rPr>
          <w:rFonts w:eastAsia="Calibri"/>
          <w:color w:val="000000" w:themeColor="text1"/>
          <w:szCs w:val="26"/>
        </w:rPr>
        <w:t>)</w:t>
      </w:r>
      <w:r w:rsidR="006C7F03">
        <w:rPr>
          <w:rFonts w:eastAsia="Calibri"/>
          <w:color w:val="000000" w:themeColor="text1"/>
          <w:szCs w:val="26"/>
        </w:rPr>
        <w:t>.</w:t>
      </w:r>
      <w:r w:rsidR="006F7621">
        <w:rPr>
          <w:rFonts w:eastAsia="Calibri"/>
          <w:color w:val="000000" w:themeColor="text1"/>
          <w:szCs w:val="26"/>
        </w:rPr>
        <w:t xml:space="preserve">  </w:t>
      </w:r>
      <w:r w:rsidR="00DD0A3A">
        <w:rPr>
          <w:rFonts w:eastAsia="Calibri"/>
          <w:color w:val="000000" w:themeColor="text1"/>
          <w:szCs w:val="26"/>
        </w:rPr>
        <w:t>The PJM IMM explains that</w:t>
      </w:r>
      <w:r w:rsidR="00A001A0">
        <w:rPr>
          <w:rFonts w:eastAsia="Calibri"/>
          <w:color w:val="000000" w:themeColor="text1"/>
          <w:szCs w:val="26"/>
        </w:rPr>
        <w:t xml:space="preserve"> the level of th</w:t>
      </w:r>
      <w:r w:rsidR="00557D02">
        <w:rPr>
          <w:rFonts w:eastAsia="Calibri"/>
          <w:color w:val="000000" w:themeColor="text1"/>
          <w:szCs w:val="26"/>
        </w:rPr>
        <w:t xml:space="preserve">ese net revenues that are subtracted, or offset, </w:t>
      </w:r>
      <w:r w:rsidR="00D639AF">
        <w:rPr>
          <w:rFonts w:eastAsia="Calibri"/>
          <w:color w:val="000000" w:themeColor="text1"/>
          <w:szCs w:val="26"/>
        </w:rPr>
        <w:t xml:space="preserve">from the </w:t>
      </w:r>
      <w:r w:rsidR="00416B47">
        <w:rPr>
          <w:rFonts w:eastAsia="Calibri"/>
          <w:color w:val="000000" w:themeColor="text1"/>
          <w:szCs w:val="26"/>
        </w:rPr>
        <w:t>costs of new entry</w:t>
      </w:r>
      <w:r w:rsidR="00880131">
        <w:rPr>
          <w:rFonts w:eastAsia="Calibri"/>
          <w:color w:val="000000" w:themeColor="text1"/>
          <w:szCs w:val="26"/>
        </w:rPr>
        <w:t xml:space="preserve">, are based on a calculation from the PJM IMM </w:t>
      </w:r>
      <w:r w:rsidRPr="00E40231" w:rsidR="00E40231">
        <w:rPr>
          <w:rFonts w:eastAsia="Calibri"/>
          <w:color w:val="000000" w:themeColor="text1"/>
          <w:szCs w:val="26"/>
        </w:rPr>
        <w:t>of the average Schedule 2 payment for reactive done in 2008 and based on reactive rates from prior years</w:t>
      </w:r>
      <w:r w:rsidR="00E40231">
        <w:rPr>
          <w:rFonts w:eastAsia="Calibri"/>
          <w:color w:val="000000" w:themeColor="text1"/>
          <w:szCs w:val="26"/>
        </w:rPr>
        <w:t>.</w:t>
      </w:r>
      <w:r w:rsidR="008F373C">
        <w:rPr>
          <w:rFonts w:eastAsia="Calibri"/>
          <w:color w:val="000000" w:themeColor="text1"/>
          <w:szCs w:val="26"/>
        </w:rPr>
        <w:t xml:space="preserve">  </w:t>
      </w:r>
      <w:r w:rsidR="00DD0A3A">
        <w:rPr>
          <w:rFonts w:eastAsia="Calibri"/>
          <w:color w:val="000000" w:themeColor="text1"/>
          <w:szCs w:val="26"/>
        </w:rPr>
        <w:t>However, the PJM IMM states that “[m]</w:t>
      </w:r>
      <w:r w:rsidRPr="00DD0A3A" w:rsidR="00DD0A3A">
        <w:rPr>
          <w:rFonts w:eastAsia="Calibri"/>
          <w:color w:val="000000" w:themeColor="text1"/>
          <w:szCs w:val="26"/>
        </w:rPr>
        <w:t xml:space="preserve">ost recent cases settled prior to issuance of the NOPR have settled for costs well in excess of the average cost and well in excess of the </w:t>
      </w:r>
      <w:r w:rsidR="007B5A1B">
        <w:rPr>
          <w:rFonts w:eastAsia="Calibri"/>
          <w:color w:val="000000" w:themeColor="text1"/>
          <w:szCs w:val="26"/>
        </w:rPr>
        <w:t xml:space="preserve">[] </w:t>
      </w:r>
      <w:r w:rsidRPr="00DD0A3A" w:rsidR="00DD0A3A">
        <w:rPr>
          <w:rFonts w:eastAsia="Calibri"/>
          <w:color w:val="000000" w:themeColor="text1"/>
          <w:szCs w:val="26"/>
        </w:rPr>
        <w:t>offset amount</w:t>
      </w:r>
      <w:r w:rsidR="007B5A1B">
        <w:rPr>
          <w:rFonts w:eastAsia="Calibri"/>
          <w:color w:val="000000" w:themeColor="text1"/>
          <w:szCs w:val="26"/>
        </w:rPr>
        <w:t>” and that</w:t>
      </w:r>
      <w:r w:rsidRPr="00DD0A3A" w:rsidR="00DD0A3A">
        <w:rPr>
          <w:rFonts w:eastAsia="Calibri"/>
          <w:color w:val="000000" w:themeColor="text1"/>
          <w:szCs w:val="26"/>
        </w:rPr>
        <w:t xml:space="preserve"> </w:t>
      </w:r>
      <w:r w:rsidR="007B5A1B">
        <w:rPr>
          <w:rFonts w:eastAsia="Calibri"/>
          <w:color w:val="000000" w:themeColor="text1"/>
          <w:szCs w:val="26"/>
        </w:rPr>
        <w:t>“[t]</w:t>
      </w:r>
      <w:r w:rsidRPr="00DD0A3A" w:rsidR="00DD0A3A">
        <w:rPr>
          <w:rFonts w:eastAsia="Calibri"/>
          <w:color w:val="000000" w:themeColor="text1"/>
          <w:szCs w:val="26"/>
        </w:rPr>
        <w:t>he issue is growing in significance.</w:t>
      </w:r>
      <w:r w:rsidR="007B5A1B">
        <w:rPr>
          <w:rFonts w:eastAsia="Calibri"/>
          <w:color w:val="000000" w:themeColor="text1"/>
          <w:szCs w:val="26"/>
        </w:rPr>
        <w:t xml:space="preserve">” </w:t>
      </w:r>
      <w:r w:rsidR="00371D02">
        <w:rPr>
          <w:rFonts w:eastAsia="Calibri"/>
          <w:color w:val="000000" w:themeColor="text1"/>
          <w:szCs w:val="26"/>
        </w:rPr>
        <w:t xml:space="preserve"> </w:t>
      </w:r>
      <w:r w:rsidR="007B5A1B">
        <w:rPr>
          <w:rFonts w:eastAsia="Calibri"/>
          <w:i/>
          <w:iCs/>
          <w:color w:val="000000" w:themeColor="text1"/>
          <w:szCs w:val="26"/>
        </w:rPr>
        <w:t>Id.</w:t>
      </w:r>
      <w:r w:rsidR="007B5A1B">
        <w:rPr>
          <w:rFonts w:eastAsia="Calibri"/>
          <w:color w:val="000000" w:themeColor="text1"/>
          <w:szCs w:val="26"/>
        </w:rPr>
        <w:t xml:space="preserve"> at 5.</w:t>
      </w:r>
    </w:p>
  </w:footnote>
  <w:footnote w:id="192">
    <w:p w:rsidR="00052F07" w:rsidP="00295A99" w14:paraId="280367BC" w14:textId="2E04AF4E">
      <w:pPr>
        <w:pStyle w:val="FootnoteText"/>
        <w:widowControl/>
      </w:pPr>
      <w:r>
        <w:rPr>
          <w:rStyle w:val="FootnoteReference"/>
        </w:rPr>
        <w:footnoteRef/>
      </w:r>
      <w:r>
        <w:t xml:space="preserve"> Eagle Creek Initial Comments at 3-4; </w:t>
      </w:r>
      <w:r w:rsidRPr="007C2B93">
        <w:rPr>
          <w:szCs w:val="26"/>
        </w:rPr>
        <w:t>Indicated Trade Associations Initial Comments at 7</w:t>
      </w:r>
      <w:r>
        <w:rPr>
          <w:szCs w:val="26"/>
        </w:rPr>
        <w:t xml:space="preserve">; </w:t>
      </w:r>
      <w:r w:rsidR="0078705D">
        <w:rPr>
          <w:szCs w:val="26"/>
        </w:rPr>
        <w:t xml:space="preserve">ACORE Initial Comments at 2; </w:t>
      </w:r>
      <w:r w:rsidR="00345929">
        <w:rPr>
          <w:szCs w:val="26"/>
        </w:rPr>
        <w:t xml:space="preserve">Elevate Renewables Initial Comments </w:t>
      </w:r>
      <w:r w:rsidR="00B2046F">
        <w:rPr>
          <w:szCs w:val="26"/>
        </w:rPr>
        <w:t xml:space="preserve">   </w:t>
      </w:r>
      <w:r w:rsidR="00345929">
        <w:rPr>
          <w:szCs w:val="26"/>
        </w:rPr>
        <w:t>at</w:t>
      </w:r>
      <w:r w:rsidR="00E206C2">
        <w:rPr>
          <w:szCs w:val="26"/>
        </w:rPr>
        <w:t xml:space="preserve"> 9-12;</w:t>
      </w:r>
      <w:r w:rsidR="00345929">
        <w:rPr>
          <w:szCs w:val="26"/>
        </w:rPr>
        <w:t xml:space="preserve"> </w:t>
      </w:r>
      <w:r w:rsidR="005627D6">
        <w:rPr>
          <w:szCs w:val="26"/>
        </w:rPr>
        <w:t xml:space="preserve">Generation Developers Initial Comments </w:t>
      </w:r>
      <w:r w:rsidR="00367C55">
        <w:rPr>
          <w:szCs w:val="26"/>
        </w:rPr>
        <w:t>at 13</w:t>
      </w:r>
      <w:r w:rsidR="00693C3F">
        <w:rPr>
          <w:szCs w:val="26"/>
        </w:rPr>
        <w:t xml:space="preserve">; </w:t>
      </w:r>
      <w:r w:rsidR="003262D6">
        <w:rPr>
          <w:szCs w:val="26"/>
        </w:rPr>
        <w:t xml:space="preserve">Glenvale Initial Comments </w:t>
      </w:r>
      <w:r w:rsidR="00B2046F">
        <w:rPr>
          <w:szCs w:val="26"/>
        </w:rPr>
        <w:t xml:space="preserve">        </w:t>
      </w:r>
      <w:r w:rsidR="003262D6">
        <w:rPr>
          <w:szCs w:val="26"/>
        </w:rPr>
        <w:t xml:space="preserve">at </w:t>
      </w:r>
      <w:r w:rsidR="00DB33AE">
        <w:rPr>
          <w:szCs w:val="26"/>
        </w:rPr>
        <w:t>9-10</w:t>
      </w:r>
      <w:r w:rsidR="003262D6">
        <w:rPr>
          <w:szCs w:val="26"/>
        </w:rPr>
        <w:t xml:space="preserve">; </w:t>
      </w:r>
      <w:r w:rsidR="00B24BAB">
        <w:rPr>
          <w:szCs w:val="26"/>
        </w:rPr>
        <w:t>Indicated Reactive Power Suppliers Initial Comments at 2</w:t>
      </w:r>
      <w:r w:rsidR="005860F5">
        <w:rPr>
          <w:szCs w:val="26"/>
        </w:rPr>
        <w:t xml:space="preserve">, </w:t>
      </w:r>
      <w:r w:rsidR="009C2024">
        <w:rPr>
          <w:szCs w:val="26"/>
        </w:rPr>
        <w:t xml:space="preserve">9-10; </w:t>
      </w:r>
      <w:r w:rsidR="0059040B">
        <w:rPr>
          <w:szCs w:val="26"/>
        </w:rPr>
        <w:t xml:space="preserve">Indicated Trade Associations Initial Comments at 2, 6; </w:t>
      </w:r>
      <w:r w:rsidR="004B4A35">
        <w:t xml:space="preserve">Middle River Power Initial Comments at 2-3; </w:t>
      </w:r>
      <w:r w:rsidR="004B4A35">
        <w:rPr>
          <w:szCs w:val="26"/>
        </w:rPr>
        <w:t xml:space="preserve">NEI Initial Comments at 4-5, 8-9; </w:t>
      </w:r>
      <w:r w:rsidR="007D582C">
        <w:rPr>
          <w:szCs w:val="26"/>
        </w:rPr>
        <w:t xml:space="preserve">NHA </w:t>
      </w:r>
      <w:r w:rsidR="00A6099D">
        <w:rPr>
          <w:szCs w:val="26"/>
        </w:rPr>
        <w:t xml:space="preserve">Initial Comments at </w:t>
      </w:r>
      <w:r w:rsidR="00BF11F0">
        <w:rPr>
          <w:szCs w:val="26"/>
        </w:rPr>
        <w:t>2, 4-5</w:t>
      </w:r>
      <w:r>
        <w:rPr>
          <w:szCs w:val="26"/>
        </w:rPr>
        <w:t>.</w:t>
      </w:r>
      <w:r w:rsidR="00BD1634">
        <w:rPr>
          <w:szCs w:val="26"/>
        </w:rPr>
        <w:t xml:space="preserve">  </w:t>
      </w:r>
      <w:r w:rsidR="00E753BC">
        <w:t>Indicated Trade Associations</w:t>
      </w:r>
      <w:r w:rsidR="00BD1634">
        <w:t xml:space="preserve"> a</w:t>
      </w:r>
      <w:r w:rsidR="00BD1634">
        <w:rPr>
          <w:szCs w:val="26"/>
        </w:rPr>
        <w:t>lso assert</w:t>
      </w:r>
      <w:r w:rsidR="00EE1160">
        <w:rPr>
          <w:szCs w:val="26"/>
        </w:rPr>
        <w:t xml:space="preserve"> that prior Commission orders cited by the NOPR to support the assertion that no costs or </w:t>
      </w:r>
      <w:r w:rsidR="00EE1160">
        <w:rPr>
          <w:i/>
          <w:iCs/>
          <w:szCs w:val="26"/>
        </w:rPr>
        <w:t xml:space="preserve">de minimis </w:t>
      </w:r>
      <w:r w:rsidR="00EE1160">
        <w:rPr>
          <w:szCs w:val="26"/>
        </w:rPr>
        <w:t xml:space="preserve">costs </w:t>
      </w:r>
      <w:r w:rsidR="005D6411">
        <w:rPr>
          <w:szCs w:val="26"/>
        </w:rPr>
        <w:t>are incurred to provide reactive power within the standard power factor range</w:t>
      </w:r>
      <w:r w:rsidR="00690457">
        <w:rPr>
          <w:szCs w:val="26"/>
        </w:rPr>
        <w:t xml:space="preserve"> do not </w:t>
      </w:r>
      <w:r w:rsidR="00BD1634">
        <w:rPr>
          <w:szCs w:val="26"/>
        </w:rPr>
        <w:t>pro</w:t>
      </w:r>
      <w:r w:rsidR="00E753BC">
        <w:rPr>
          <w:szCs w:val="26"/>
        </w:rPr>
        <w:t xml:space="preserve">vide evidence to support the conclusion.  Indicated Trade Associations Initial Comments at 8 (citing </w:t>
      </w:r>
      <w:r w:rsidRPr="001C7CF4" w:rsidR="00943A88">
        <w:rPr>
          <w:i/>
          <w:szCs w:val="26"/>
        </w:rPr>
        <w:t>BPA</w:t>
      </w:r>
      <w:r w:rsidRPr="00943A88" w:rsidR="00943A88">
        <w:rPr>
          <w:szCs w:val="26"/>
        </w:rPr>
        <w:t xml:space="preserve">, 120 FERC ¶ 61,211 </w:t>
      </w:r>
      <w:r w:rsidR="00B2046F">
        <w:rPr>
          <w:szCs w:val="26"/>
        </w:rPr>
        <w:t xml:space="preserve">     </w:t>
      </w:r>
      <w:r w:rsidRPr="00943A88" w:rsidR="00943A88">
        <w:rPr>
          <w:szCs w:val="26"/>
        </w:rPr>
        <w:t>at P</w:t>
      </w:r>
      <w:r w:rsidR="00F16C8F">
        <w:rPr>
          <w:szCs w:val="26"/>
        </w:rPr>
        <w:t> </w:t>
      </w:r>
      <w:r w:rsidRPr="00943A88" w:rsidR="00943A88">
        <w:rPr>
          <w:szCs w:val="26"/>
        </w:rPr>
        <w:t>21</w:t>
      </w:r>
      <w:r w:rsidR="00943A88">
        <w:rPr>
          <w:szCs w:val="26"/>
        </w:rPr>
        <w:t xml:space="preserve">; </w:t>
      </w:r>
      <w:r w:rsidRPr="006056E4" w:rsidR="00D73C1B">
        <w:t xml:space="preserve">BPA </w:t>
      </w:r>
      <w:r w:rsidR="00D73C1B">
        <w:rPr>
          <w:iCs/>
          <w:szCs w:val="26"/>
        </w:rPr>
        <w:t>Rehearing Order</w:t>
      </w:r>
      <w:r w:rsidRPr="007D597F" w:rsidR="007D597F">
        <w:rPr>
          <w:szCs w:val="26"/>
        </w:rPr>
        <w:t xml:space="preserve">, 125 FERC ¶ 61,273 at </w:t>
      </w:r>
      <w:r w:rsidR="00F16C8F">
        <w:rPr>
          <w:szCs w:val="26"/>
        </w:rPr>
        <w:t xml:space="preserve">P 7 </w:t>
      </w:r>
      <w:r w:rsidRPr="007D597F" w:rsidR="007D597F">
        <w:rPr>
          <w:szCs w:val="26"/>
        </w:rPr>
        <w:t>n.7</w:t>
      </w:r>
      <w:r w:rsidR="007D597F">
        <w:rPr>
          <w:szCs w:val="26"/>
        </w:rPr>
        <w:t xml:space="preserve">; </w:t>
      </w:r>
      <w:r w:rsidRPr="001C7CF4" w:rsidR="00A85B10">
        <w:rPr>
          <w:i/>
          <w:szCs w:val="26"/>
        </w:rPr>
        <w:t>A</w:t>
      </w:r>
      <w:r w:rsidR="00EE0D90">
        <w:rPr>
          <w:i/>
          <w:szCs w:val="26"/>
        </w:rPr>
        <w:t>riz</w:t>
      </w:r>
      <w:r w:rsidR="00AD2005">
        <w:rPr>
          <w:i/>
          <w:szCs w:val="26"/>
        </w:rPr>
        <w:t>.</w:t>
      </w:r>
      <w:r w:rsidR="00EE0D90">
        <w:rPr>
          <w:i/>
          <w:szCs w:val="26"/>
        </w:rPr>
        <w:t xml:space="preserve"> Pub</w:t>
      </w:r>
      <w:r w:rsidR="00DB51E0">
        <w:rPr>
          <w:i/>
          <w:szCs w:val="26"/>
        </w:rPr>
        <w:t>.</w:t>
      </w:r>
      <w:r w:rsidR="00EE0D90">
        <w:rPr>
          <w:i/>
          <w:szCs w:val="26"/>
        </w:rPr>
        <w:t xml:space="preserve"> Serv</w:t>
      </w:r>
      <w:r w:rsidR="00E842A1">
        <w:rPr>
          <w:i/>
          <w:szCs w:val="26"/>
        </w:rPr>
        <w:t>.</w:t>
      </w:r>
      <w:r w:rsidR="00EE0D90">
        <w:rPr>
          <w:i/>
          <w:szCs w:val="26"/>
        </w:rPr>
        <w:t xml:space="preserve"> Co</w:t>
      </w:r>
      <w:r w:rsidR="00D27F25">
        <w:rPr>
          <w:i/>
          <w:szCs w:val="26"/>
        </w:rPr>
        <w:t>.</w:t>
      </w:r>
      <w:r w:rsidRPr="00A85B10" w:rsidR="00A85B10">
        <w:rPr>
          <w:szCs w:val="26"/>
        </w:rPr>
        <w:t>, 94</w:t>
      </w:r>
      <w:r w:rsidR="00F16C8F">
        <w:rPr>
          <w:szCs w:val="26"/>
        </w:rPr>
        <w:t> </w:t>
      </w:r>
      <w:r w:rsidRPr="00A85B10" w:rsidR="00A85B10">
        <w:rPr>
          <w:szCs w:val="26"/>
        </w:rPr>
        <w:t>FERC ¶ 61,027</w:t>
      </w:r>
      <w:r w:rsidR="00EE0D90">
        <w:rPr>
          <w:szCs w:val="26"/>
        </w:rPr>
        <w:t>,</w:t>
      </w:r>
      <w:r w:rsidRPr="00A85B10" w:rsidR="00A85B10">
        <w:rPr>
          <w:szCs w:val="26"/>
        </w:rPr>
        <w:t xml:space="preserve"> at 61,080</w:t>
      </w:r>
      <w:r w:rsidR="00EE0D90">
        <w:rPr>
          <w:szCs w:val="26"/>
        </w:rPr>
        <w:t xml:space="preserve"> (2001)</w:t>
      </w:r>
      <w:r w:rsidR="009A2C21">
        <w:rPr>
          <w:szCs w:val="26"/>
        </w:rPr>
        <w:t xml:space="preserve"> (</w:t>
      </w:r>
      <w:r w:rsidR="009A2C21">
        <w:rPr>
          <w:i/>
          <w:iCs/>
          <w:szCs w:val="26"/>
        </w:rPr>
        <w:t>APS</w:t>
      </w:r>
      <w:r w:rsidR="009A2C21">
        <w:rPr>
          <w:szCs w:val="26"/>
        </w:rPr>
        <w:t>)</w:t>
      </w:r>
      <w:r w:rsidR="00E753BC">
        <w:rPr>
          <w:szCs w:val="26"/>
        </w:rPr>
        <w:t>)</w:t>
      </w:r>
      <w:r w:rsidR="00EE34C8">
        <w:rPr>
          <w:szCs w:val="26"/>
        </w:rPr>
        <w:t xml:space="preserve">; Onward Energy </w:t>
      </w:r>
      <w:r w:rsidR="000D2825">
        <w:rPr>
          <w:szCs w:val="26"/>
        </w:rPr>
        <w:t xml:space="preserve">Reply Comments at </w:t>
      </w:r>
      <w:r w:rsidR="00337B6E">
        <w:rPr>
          <w:szCs w:val="26"/>
        </w:rPr>
        <w:t>2</w:t>
      </w:r>
      <w:r w:rsidR="00E753BC">
        <w:rPr>
          <w:szCs w:val="26"/>
        </w:rPr>
        <w:t xml:space="preserve">. </w:t>
      </w:r>
    </w:p>
  </w:footnote>
  <w:footnote w:id="193">
    <w:p w:rsidR="00052F07" w14:paraId="5FDBF39B" w14:textId="53B97CDA">
      <w:pPr>
        <w:pStyle w:val="FootnoteText"/>
      </w:pPr>
      <w:r>
        <w:rPr>
          <w:rStyle w:val="FootnoteReference"/>
        </w:rPr>
        <w:footnoteRef/>
      </w:r>
      <w:r>
        <w:t xml:space="preserve"> </w:t>
      </w:r>
      <w:r w:rsidRPr="007C2B93">
        <w:rPr>
          <w:szCs w:val="26"/>
        </w:rPr>
        <w:t xml:space="preserve">Indicated Trade Associations Initial Comments at </w:t>
      </w:r>
      <w:r>
        <w:rPr>
          <w:szCs w:val="26"/>
        </w:rPr>
        <w:t xml:space="preserve">10; </w:t>
      </w:r>
      <w:r w:rsidRPr="00E5275F">
        <w:t>Generation Developers Initial Comments at 13.</w:t>
      </w:r>
    </w:p>
  </w:footnote>
  <w:footnote w:id="194">
    <w:p w:rsidR="005A25A8" w:rsidP="005A25A8" w14:paraId="58EA8D6B" w14:textId="4BC09037">
      <w:pPr>
        <w:pStyle w:val="FootnoteText"/>
      </w:pPr>
      <w:r>
        <w:rPr>
          <w:rStyle w:val="FootnoteReference"/>
        </w:rPr>
        <w:footnoteRef/>
      </w:r>
      <w:r>
        <w:t xml:space="preserve"> </w:t>
      </w:r>
      <w:r w:rsidRPr="00454D81">
        <w:rPr>
          <w:szCs w:val="26"/>
        </w:rPr>
        <w:t xml:space="preserve">Indicated Trade Associations Reply Comments at </w:t>
      </w:r>
      <w:r>
        <w:rPr>
          <w:szCs w:val="26"/>
        </w:rPr>
        <w:t>6-</w:t>
      </w:r>
      <w:r w:rsidRPr="00454D81">
        <w:rPr>
          <w:szCs w:val="26"/>
        </w:rPr>
        <w:t>7</w:t>
      </w:r>
      <w:r>
        <w:rPr>
          <w:szCs w:val="26"/>
        </w:rPr>
        <w:t xml:space="preserve">; </w:t>
      </w:r>
      <w:r>
        <w:t>NEPGA Reply Comments at 3 (</w:t>
      </w:r>
      <w:r w:rsidR="006113ED">
        <w:t xml:space="preserve">citing </w:t>
      </w:r>
      <w:r w:rsidRPr="00414FFB">
        <w:t xml:space="preserve">Indicated Trade Association </w:t>
      </w:r>
      <w:r>
        <w:t xml:space="preserve">Initial </w:t>
      </w:r>
      <w:r w:rsidRPr="00414FFB">
        <w:t>Comments, Affidavit of Michael Borgatti, Docket No. RM22-2-000</w:t>
      </w:r>
      <w:r w:rsidR="00295A99">
        <w:t xml:space="preserve"> at 9 - 10</w:t>
      </w:r>
      <w:r w:rsidRPr="00414FFB">
        <w:t xml:space="preserve"> (filed May 28,</w:t>
      </w:r>
      <w:r w:rsidR="0044304D">
        <w:t xml:space="preserve"> </w:t>
      </w:r>
      <w:r w:rsidRPr="00414FFB">
        <w:t>2024)</w:t>
      </w:r>
      <w:r>
        <w:t>); Reactive Service Providers Initial Comments at 37-40.</w:t>
      </w:r>
    </w:p>
  </w:footnote>
  <w:footnote w:id="195">
    <w:p w:rsidR="00042482" w:rsidRPr="007C2B93" w:rsidP="00042482" w14:paraId="781A23BB" w14:textId="0EFF0461">
      <w:pPr>
        <w:pStyle w:val="FootnoteText"/>
        <w:rPr>
          <w:szCs w:val="26"/>
        </w:rPr>
      </w:pPr>
      <w:r w:rsidRPr="007C2B93">
        <w:rPr>
          <w:rStyle w:val="FootnoteReference"/>
          <w:szCs w:val="26"/>
        </w:rPr>
        <w:footnoteRef/>
      </w:r>
      <w:r w:rsidRPr="007C2B93">
        <w:rPr>
          <w:szCs w:val="26"/>
        </w:rPr>
        <w:t xml:space="preserve"> </w:t>
      </w:r>
      <w:r>
        <w:rPr>
          <w:i/>
          <w:iCs/>
          <w:szCs w:val="26"/>
        </w:rPr>
        <w:t>See</w:t>
      </w:r>
      <w:r w:rsidRPr="00D374EE">
        <w:rPr>
          <w:szCs w:val="26"/>
        </w:rPr>
        <w:t xml:space="preserve"> </w:t>
      </w:r>
      <w:r w:rsidRPr="007C2B93">
        <w:rPr>
          <w:szCs w:val="26"/>
        </w:rPr>
        <w:t xml:space="preserve">Indicated Trade Associations Initial Comments at </w:t>
      </w:r>
      <w:r>
        <w:rPr>
          <w:szCs w:val="26"/>
        </w:rPr>
        <w:t>11</w:t>
      </w:r>
      <w:r w:rsidR="00B664A0">
        <w:rPr>
          <w:szCs w:val="26"/>
        </w:rPr>
        <w:t>-12</w:t>
      </w:r>
      <w:r w:rsidR="00387B62">
        <w:rPr>
          <w:szCs w:val="26"/>
        </w:rPr>
        <w:t xml:space="preserve"> (</w:t>
      </w:r>
      <w:r w:rsidR="00F35B42">
        <w:rPr>
          <w:szCs w:val="26"/>
        </w:rPr>
        <w:t>“</w:t>
      </w:r>
      <w:r w:rsidR="00DE01E0">
        <w:rPr>
          <w:szCs w:val="26"/>
        </w:rPr>
        <w:t>[F]</w:t>
      </w:r>
      <w:r w:rsidRPr="008D4503" w:rsidR="008D4503">
        <w:rPr>
          <w:szCs w:val="26"/>
        </w:rPr>
        <w:t>or renewable resources, having to back down generation in order to produce</w:t>
      </w:r>
      <w:r w:rsidR="008D4503">
        <w:rPr>
          <w:szCs w:val="26"/>
        </w:rPr>
        <w:t xml:space="preserve"> </w:t>
      </w:r>
      <w:r w:rsidRPr="008D4503" w:rsidR="008D4503">
        <w:rPr>
          <w:szCs w:val="26"/>
        </w:rPr>
        <w:t>reactive power would also result in lost renewable electricity production tax</w:t>
      </w:r>
      <w:r w:rsidR="008D4503">
        <w:rPr>
          <w:szCs w:val="26"/>
        </w:rPr>
        <w:t xml:space="preserve"> </w:t>
      </w:r>
      <w:r w:rsidRPr="008D4503" w:rsidR="008D4503">
        <w:rPr>
          <w:szCs w:val="26"/>
        </w:rPr>
        <w:t>credits, renewable energy certificates, and similar benefits</w:t>
      </w:r>
      <w:r w:rsidR="00F35B42">
        <w:rPr>
          <w:szCs w:val="26"/>
        </w:rPr>
        <w:t>”</w:t>
      </w:r>
      <w:r w:rsidR="00387B62">
        <w:rPr>
          <w:szCs w:val="26"/>
        </w:rPr>
        <w:t>)</w:t>
      </w:r>
      <w:r>
        <w:rPr>
          <w:szCs w:val="26"/>
        </w:rPr>
        <w:t>;</w:t>
      </w:r>
      <w:r w:rsidRPr="00E5275F">
        <w:rPr>
          <w:rFonts w:ascii="Aptos" w:hAnsi="Aptos"/>
          <w:color w:val="000000"/>
          <w:sz w:val="20"/>
        </w:rPr>
        <w:t xml:space="preserve"> </w:t>
      </w:r>
      <w:r w:rsidRPr="00E5275F">
        <w:rPr>
          <w:szCs w:val="26"/>
        </w:rPr>
        <w:t>Generation Developers Initial Comments at 13.</w:t>
      </w:r>
    </w:p>
  </w:footnote>
  <w:footnote w:id="196">
    <w:p w:rsidR="008244CC" w:rsidP="008244CC" w14:paraId="4CE83AC6" w14:textId="6857BA3A">
      <w:pPr>
        <w:pStyle w:val="FootnoteText"/>
      </w:pPr>
      <w:r>
        <w:rPr>
          <w:rStyle w:val="FootnoteReference"/>
        </w:rPr>
        <w:footnoteRef/>
      </w:r>
      <w:r>
        <w:t xml:space="preserve"> </w:t>
      </w:r>
      <w:r>
        <w:rPr>
          <w:i/>
          <w:iCs/>
        </w:rPr>
        <w:t>See</w:t>
      </w:r>
      <w:r w:rsidRPr="00D374EE">
        <w:t xml:space="preserve"> </w:t>
      </w:r>
      <w:r w:rsidRPr="007C2B93">
        <w:rPr>
          <w:szCs w:val="26"/>
        </w:rPr>
        <w:t>Indicated Trade Associations</w:t>
      </w:r>
      <w:r w:rsidRPr="00AF7C75">
        <w:t xml:space="preserve"> R</w:t>
      </w:r>
      <w:r w:rsidRPr="0046516E">
        <w:t>eply Comments at 7; Generation Developers Initial Comments at 13</w:t>
      </w:r>
      <w:r w:rsidRPr="00C06B6B" w:rsidR="00C15797">
        <w:t>,</w:t>
      </w:r>
      <w:r w:rsidRPr="0046516E">
        <w:t xml:space="preserve"> 20-21.</w:t>
      </w:r>
    </w:p>
  </w:footnote>
  <w:footnote w:id="197">
    <w:p w:rsidR="00FF1313" w:rsidP="00FF1313" w14:paraId="172E837F" w14:textId="5AFFCB18">
      <w:pPr>
        <w:pStyle w:val="FootnoteText"/>
      </w:pPr>
      <w:r>
        <w:rPr>
          <w:rStyle w:val="FootnoteReference"/>
        </w:rPr>
        <w:footnoteRef/>
      </w:r>
      <w:r>
        <w:t xml:space="preserve"> Generation Developers Initial Comments at 24-25; Middle River Power Initial Comments at 4; NEI Initial Comments at 7; </w:t>
      </w:r>
      <w:r w:rsidR="00A6442E">
        <w:t>PSEG</w:t>
      </w:r>
      <w:r>
        <w:t xml:space="preserve"> Initial Comments at 2-3, 11-12; Reactive Service Providers Initial Comments at 7-54; NYISO Initial C</w:t>
      </w:r>
      <w:r w:rsidR="0072502E">
        <w:t>omments at 1</w:t>
      </w:r>
      <w:r>
        <w:t>.</w:t>
      </w:r>
    </w:p>
  </w:footnote>
  <w:footnote w:id="198">
    <w:p w:rsidR="00FF1313" w:rsidP="00FF1313" w14:paraId="6E7768FA" w14:textId="77777777">
      <w:pPr>
        <w:pStyle w:val="FootnoteText"/>
      </w:pPr>
      <w:r>
        <w:rPr>
          <w:rStyle w:val="FootnoteReference"/>
        </w:rPr>
        <w:footnoteRef/>
      </w:r>
      <w:r>
        <w:t xml:space="preserve"> Generation Developers Initial Comments at 25.</w:t>
      </w:r>
    </w:p>
  </w:footnote>
  <w:footnote w:id="199">
    <w:p w:rsidR="00FF1313" w:rsidP="00FF1313" w14:paraId="76032C1A" w14:textId="7988A160">
      <w:pPr>
        <w:pStyle w:val="FootnoteText"/>
      </w:pPr>
      <w:r>
        <w:rPr>
          <w:rStyle w:val="FootnoteReference"/>
        </w:rPr>
        <w:footnoteRef/>
      </w:r>
      <w:r>
        <w:t xml:space="preserve"> </w:t>
      </w:r>
      <w:r w:rsidR="00664043">
        <w:rPr>
          <w:i/>
          <w:iCs/>
        </w:rPr>
        <w:t>Id.</w:t>
      </w:r>
    </w:p>
  </w:footnote>
  <w:footnote w:id="200">
    <w:p w:rsidR="00FF1313" w:rsidP="00FF1313" w14:paraId="72BFCB9E" w14:textId="09A3DAD6">
      <w:pPr>
        <w:pStyle w:val="FootnoteText"/>
      </w:pPr>
      <w:r>
        <w:rPr>
          <w:rStyle w:val="FootnoteReference"/>
        </w:rPr>
        <w:footnoteRef/>
      </w:r>
      <w:r>
        <w:t xml:space="preserve"> </w:t>
      </w:r>
      <w:r w:rsidR="00664043">
        <w:rPr>
          <w:i/>
          <w:iCs/>
        </w:rPr>
        <w:t>Id.</w:t>
      </w:r>
      <w:r>
        <w:t xml:space="preserve"> at 31; </w:t>
      </w:r>
      <w:r w:rsidR="00A6442E">
        <w:t>PSEG</w:t>
      </w:r>
      <w:r>
        <w:t xml:space="preserve"> Initial Comments at 12-13.</w:t>
      </w:r>
    </w:p>
  </w:footnote>
  <w:footnote w:id="201">
    <w:p w:rsidR="00FF1313" w:rsidP="00FF1313" w14:paraId="42F35513" w14:textId="77777777">
      <w:pPr>
        <w:pStyle w:val="FootnoteText"/>
      </w:pPr>
      <w:r>
        <w:rPr>
          <w:rStyle w:val="FootnoteReference"/>
        </w:rPr>
        <w:footnoteRef/>
      </w:r>
      <w:r>
        <w:t xml:space="preserve"> NEI Initial Comments at 8.</w:t>
      </w:r>
    </w:p>
  </w:footnote>
  <w:footnote w:id="202">
    <w:p w:rsidR="00793701" w14:paraId="000DFFAC" w14:textId="18B73061">
      <w:pPr>
        <w:pStyle w:val="FootnoteText"/>
      </w:pPr>
      <w:r>
        <w:rPr>
          <w:rStyle w:val="FootnoteReference"/>
        </w:rPr>
        <w:footnoteRef/>
      </w:r>
      <w:r>
        <w:t xml:space="preserve"> G</w:t>
      </w:r>
      <w:r w:rsidR="008E138F">
        <w:t>eneration Developers Initial Comments at 13-17.</w:t>
      </w:r>
    </w:p>
  </w:footnote>
  <w:footnote w:id="203">
    <w:p w:rsidR="001365AE" w14:paraId="3B56B78B" w14:textId="4F9C2C1A">
      <w:pPr>
        <w:pStyle w:val="FootnoteText"/>
      </w:pPr>
      <w:r>
        <w:rPr>
          <w:rStyle w:val="FootnoteReference"/>
        </w:rPr>
        <w:footnoteRef/>
      </w:r>
      <w:r>
        <w:t xml:space="preserve"> </w:t>
      </w:r>
      <w:r w:rsidR="00664043">
        <w:rPr>
          <w:i/>
          <w:iCs/>
        </w:rPr>
        <w:t>Id.</w:t>
      </w:r>
      <w:r>
        <w:t xml:space="preserve"> at 13</w:t>
      </w:r>
      <w:r w:rsidR="001249A2">
        <w:t xml:space="preserve"> (citing </w:t>
      </w:r>
      <w:r w:rsidRPr="002712F3" w:rsidR="001249A2">
        <w:t>Order No. 2003</w:t>
      </w:r>
      <w:r w:rsidRPr="00504C1D" w:rsidR="002E284D">
        <w:t>, 104 FERC ¶ 61,103 (</w:t>
      </w:r>
      <w:r w:rsidR="00346271">
        <w:t xml:space="preserve">noting that </w:t>
      </w:r>
      <w:r w:rsidR="00E1113E">
        <w:t>the Commission exempted wind generation from the requirement</w:t>
      </w:r>
      <w:r w:rsidR="00B7048D">
        <w:t xml:space="preserve"> because “wind generators for the most part cannot maintain the required power factor</w:t>
      </w:r>
      <w:r w:rsidR="003E5165">
        <w:t>, simply because the necessary technology does not exist for wind generators</w:t>
      </w:r>
      <w:r w:rsidR="00A15C32">
        <w:t>”</w:t>
      </w:r>
      <w:r w:rsidR="001249A2">
        <w:t>))</w:t>
      </w:r>
      <w:r w:rsidR="00A15C32">
        <w:t>.</w:t>
      </w:r>
    </w:p>
  </w:footnote>
  <w:footnote w:id="204">
    <w:p w:rsidR="00FA3760" w:rsidP="00295A99" w14:paraId="557730D9" w14:textId="099CA3AE">
      <w:pPr>
        <w:pStyle w:val="FootnoteText"/>
        <w:widowControl/>
      </w:pPr>
      <w:r>
        <w:rPr>
          <w:rStyle w:val="FootnoteReference"/>
        </w:rPr>
        <w:footnoteRef/>
      </w:r>
      <w:r>
        <w:t xml:space="preserve"> </w:t>
      </w:r>
      <w:r w:rsidR="00A26CE3">
        <w:rPr>
          <w:i/>
          <w:iCs/>
        </w:rPr>
        <w:t>Id.</w:t>
      </w:r>
      <w:r>
        <w:t xml:space="preserve"> at 13-14 (citing </w:t>
      </w:r>
      <w:r w:rsidRPr="007C0809" w:rsidR="007C0809">
        <w:t xml:space="preserve">Order No. 661, </w:t>
      </w:r>
      <w:r w:rsidRPr="008B7841" w:rsidR="008B7841">
        <w:t xml:space="preserve">111 FERC ¶ 61,353 at P </w:t>
      </w:r>
      <w:r w:rsidR="007C0809">
        <w:t>4</w:t>
      </w:r>
      <w:r w:rsidR="00A471B4">
        <w:t>6</w:t>
      </w:r>
      <w:r w:rsidR="008B7841">
        <w:t>;</w:t>
      </w:r>
      <w:r w:rsidRPr="007C0809" w:rsidR="007C0809">
        <w:t xml:space="preserve"> </w:t>
      </w:r>
      <w:r w:rsidRPr="007C0809" w:rsidR="007C0809">
        <w:t xml:space="preserve">Order </w:t>
      </w:r>
      <w:r w:rsidR="00295A99">
        <w:t xml:space="preserve">           </w:t>
      </w:r>
      <w:r w:rsidRPr="007C0809" w:rsidR="007C0809">
        <w:t>No. 661</w:t>
      </w:r>
      <w:r w:rsidR="009305D8">
        <w:noBreakHyphen/>
      </w:r>
      <w:r w:rsidRPr="007C0809" w:rsidR="007C0809">
        <w:t xml:space="preserve">A, 113 FERC ¶ 61,254). </w:t>
      </w:r>
      <w:r w:rsidR="007C0809">
        <w:t xml:space="preserve"> Generation Developers add that in Order No. 661, </w:t>
      </w:r>
      <w:r w:rsidR="003241BC">
        <w:t>the</w:t>
      </w:r>
      <w:r w:rsidR="00357512">
        <w:t xml:space="preserve"> Commission </w:t>
      </w:r>
      <w:r w:rsidR="00CB6821">
        <w:t xml:space="preserve">was presented with evidence that </w:t>
      </w:r>
      <w:r w:rsidR="0077289D">
        <w:t>“</w:t>
      </w:r>
      <w:r w:rsidRPr="00CB6821" w:rsidR="00CB6821">
        <w:t xml:space="preserve">wind turbines cannot meet the proposed power factor standard over the full range of real power output, and that dynamic VAR control (DVAR) banks or static capacitors would have to be installed </w:t>
      </w:r>
      <w:r w:rsidRPr="00CB6821" w:rsidR="00CB6821">
        <w:rPr>
          <w:i/>
          <w:iCs/>
        </w:rPr>
        <w:t>at an additional expense to meet the proposed power factor over the entire range</w:t>
      </w:r>
      <w:r w:rsidRPr="00CB6821" w:rsidR="00CB6821">
        <w:t>.</w:t>
      </w:r>
      <w:r w:rsidR="0077289D">
        <w:t xml:space="preserve">” </w:t>
      </w:r>
      <w:r w:rsidR="009305D8">
        <w:t xml:space="preserve"> </w:t>
      </w:r>
      <w:r w:rsidR="00821EC2">
        <w:t xml:space="preserve">Generation Developers Initial Comments at 13 (citing </w:t>
      </w:r>
      <w:r w:rsidR="00CB6821">
        <w:t>Order No. 661-A</w:t>
      </w:r>
      <w:r w:rsidR="009305D8">
        <w:t>,</w:t>
      </w:r>
      <w:r w:rsidRPr="003D1192" w:rsidR="003D1192">
        <w:rPr>
          <w:szCs w:val="22"/>
        </w:rPr>
        <w:t xml:space="preserve"> </w:t>
      </w:r>
      <w:r w:rsidRPr="003D1192" w:rsidR="003D1192">
        <w:t>113 FERC ¶ 61,254</w:t>
      </w:r>
      <w:r w:rsidR="00CB6821">
        <w:t xml:space="preserve"> at P 45</w:t>
      </w:r>
      <w:r w:rsidR="00A1607B">
        <w:t xml:space="preserve"> (em</w:t>
      </w:r>
      <w:r w:rsidR="00EA4D1F">
        <w:t>phasis added)</w:t>
      </w:r>
      <w:r w:rsidR="00821EC2">
        <w:t>)</w:t>
      </w:r>
      <w:r w:rsidR="00CB6821">
        <w:t>.</w:t>
      </w:r>
      <w:r w:rsidR="0077289D">
        <w:t xml:space="preserve"> </w:t>
      </w:r>
      <w:r w:rsidRPr="007C0809" w:rsidR="007C0809">
        <w:t xml:space="preserve"> </w:t>
      </w:r>
      <w:r w:rsidR="00AB63D8">
        <w:t xml:space="preserve">Generation Developers </w:t>
      </w:r>
      <w:r w:rsidR="00A63855">
        <w:t xml:space="preserve">state that while </w:t>
      </w:r>
      <w:r w:rsidR="007435DC">
        <w:t xml:space="preserve">Order No. 661 was </w:t>
      </w:r>
      <w:r w:rsidR="00952840">
        <w:t>limited to wind resources,</w:t>
      </w:r>
      <w:r w:rsidR="00A63855">
        <w:t xml:space="preserve"> the Commission</w:t>
      </w:r>
      <w:r w:rsidR="0077289D">
        <w:t xml:space="preserve"> </w:t>
      </w:r>
      <w:r w:rsidR="00294C58">
        <w:t>extended the exemption to other non-synchronous resources</w:t>
      </w:r>
      <w:r w:rsidRPr="007C0809" w:rsidR="007C0809">
        <w:t xml:space="preserve"> </w:t>
      </w:r>
      <w:r w:rsidR="00D75BE7">
        <w:t xml:space="preserve">on a case-by-case basis.  Generation Developers Initial Comments at </w:t>
      </w:r>
      <w:r w:rsidR="00221BE0">
        <w:t xml:space="preserve">14 (citing </w:t>
      </w:r>
      <w:r w:rsidRPr="00221BE0" w:rsidR="00221BE0">
        <w:rPr>
          <w:i/>
          <w:iCs/>
        </w:rPr>
        <w:t>Nev. Power Co.</w:t>
      </w:r>
      <w:r w:rsidRPr="00295A99" w:rsidR="00221BE0">
        <w:t>,</w:t>
      </w:r>
      <w:r w:rsidRPr="00221BE0" w:rsidR="00221BE0">
        <w:rPr>
          <w:i/>
          <w:iCs/>
        </w:rPr>
        <w:t xml:space="preserve"> </w:t>
      </w:r>
      <w:r w:rsidRPr="00221BE0" w:rsidR="00221BE0">
        <w:t>130 FERC ¶ 61,147, at P 27 (2010)</w:t>
      </w:r>
      <w:r w:rsidR="00221BE0">
        <w:t>).</w:t>
      </w:r>
      <w:r w:rsidRPr="007C0809" w:rsidR="007C0809">
        <w:t xml:space="preserve"> </w:t>
      </w:r>
    </w:p>
  </w:footnote>
  <w:footnote w:id="205">
    <w:p w:rsidR="00D02D54" w14:paraId="5143EA98" w14:textId="331E232D">
      <w:pPr>
        <w:pStyle w:val="FootnoteText"/>
      </w:pPr>
      <w:r>
        <w:rPr>
          <w:rStyle w:val="FootnoteReference"/>
        </w:rPr>
        <w:footnoteRef/>
      </w:r>
      <w:r>
        <w:t xml:space="preserve"> </w:t>
      </w:r>
      <w:r w:rsidRPr="00DF28F5" w:rsidR="00BF648E">
        <w:t>Order No. 827, 155 FERC ¶</w:t>
      </w:r>
      <w:r w:rsidR="00BF648E">
        <w:t> </w:t>
      </w:r>
      <w:r w:rsidRPr="00DF28F5" w:rsidR="00BF648E">
        <w:t>61,277</w:t>
      </w:r>
      <w:r w:rsidR="00BF648E">
        <w:t xml:space="preserve"> at P 21.</w:t>
      </w:r>
    </w:p>
  </w:footnote>
  <w:footnote w:id="206">
    <w:p w:rsidR="00F62D9C" w14:paraId="29BDD576" w14:textId="51ACF28D">
      <w:pPr>
        <w:pStyle w:val="FootnoteText"/>
      </w:pPr>
      <w:r>
        <w:rPr>
          <w:rStyle w:val="FootnoteReference"/>
        </w:rPr>
        <w:footnoteRef/>
      </w:r>
      <w:r>
        <w:t xml:space="preserve"> Generation Developers Initial Comments at 14</w:t>
      </w:r>
      <w:r w:rsidR="00E9787E">
        <w:t>.</w:t>
      </w:r>
    </w:p>
  </w:footnote>
  <w:footnote w:id="207">
    <w:p w:rsidR="001E47E2" w14:paraId="09F38670" w14:textId="209CEFAD">
      <w:pPr>
        <w:pStyle w:val="FootnoteText"/>
      </w:pPr>
      <w:r>
        <w:rPr>
          <w:rStyle w:val="FootnoteReference"/>
        </w:rPr>
        <w:footnoteRef/>
      </w:r>
      <w:r>
        <w:t xml:space="preserve"> </w:t>
      </w:r>
      <w:r w:rsidR="00426F84">
        <w:rPr>
          <w:i/>
          <w:iCs/>
        </w:rPr>
        <w:t>Id.</w:t>
      </w:r>
      <w:r w:rsidR="00486F1E">
        <w:t xml:space="preserve"> (citing Order No. 827</w:t>
      </w:r>
      <w:r w:rsidR="00C50FEA">
        <w:t xml:space="preserve">, </w:t>
      </w:r>
      <w:r w:rsidRPr="00C50FEA" w:rsidR="00C50FEA">
        <w:t>155 FERC ¶ 61,277</w:t>
      </w:r>
      <w:r w:rsidR="00486F1E">
        <w:t xml:space="preserve"> at P 4)</w:t>
      </w:r>
      <w:r w:rsidR="005D5B45">
        <w:t xml:space="preserve"> (</w:t>
      </w:r>
      <w:r w:rsidR="002F6474">
        <w:t>“</w:t>
      </w:r>
      <w:r w:rsidRPr="002F6474" w:rsidR="002F6474">
        <w:t xml:space="preserve">The Commission instead made its decision to apply reactive power requirements to non-synchronous resources based on its </w:t>
      </w:r>
      <w:r w:rsidR="002F6474">
        <w:t>‘</w:t>
      </w:r>
      <w:r w:rsidRPr="002F6474" w:rsidR="002F6474">
        <w:t xml:space="preserve">balancing the </w:t>
      </w:r>
      <w:r w:rsidRPr="002F6474" w:rsidR="002F6474">
        <w:rPr>
          <w:i/>
          <w:iCs/>
        </w:rPr>
        <w:t xml:space="preserve">costs </w:t>
      </w:r>
      <w:r w:rsidRPr="002F6474" w:rsidR="002F6474">
        <w:t>to newly-interconnecting non-synchronous generators of providing reactive power with the benefits to the transmission system of having another source of reactive power.</w:t>
      </w:r>
      <w:r w:rsidR="002F6474">
        <w:t>’”</w:t>
      </w:r>
      <w:r w:rsidR="005D5B45">
        <w:t>).</w:t>
      </w:r>
    </w:p>
  </w:footnote>
  <w:footnote w:id="208">
    <w:p w:rsidR="001D77D1" w14:paraId="5B4FFDBC" w14:textId="770F96D5">
      <w:pPr>
        <w:pStyle w:val="FootnoteText"/>
      </w:pPr>
      <w:r>
        <w:rPr>
          <w:rStyle w:val="FootnoteReference"/>
        </w:rPr>
        <w:footnoteRef/>
      </w:r>
      <w:r>
        <w:t xml:space="preserve"> </w:t>
      </w:r>
      <w:r w:rsidR="004706E2">
        <w:rPr>
          <w:i/>
          <w:iCs/>
        </w:rPr>
        <w:t>Id.</w:t>
      </w:r>
      <w:r>
        <w:t xml:space="preserve"> at 17</w:t>
      </w:r>
      <w:r w:rsidR="003E4ECE">
        <w:t>.</w:t>
      </w:r>
    </w:p>
  </w:footnote>
  <w:footnote w:id="209">
    <w:p w:rsidR="0033055F" w14:paraId="53421D40" w14:textId="30BE6CA4">
      <w:pPr>
        <w:pStyle w:val="FootnoteText"/>
      </w:pPr>
      <w:r>
        <w:rPr>
          <w:rStyle w:val="FootnoteReference"/>
        </w:rPr>
        <w:footnoteRef/>
      </w:r>
      <w:r>
        <w:t xml:space="preserve"> </w:t>
      </w:r>
      <w:r w:rsidR="004706E2">
        <w:rPr>
          <w:i/>
          <w:iCs/>
        </w:rPr>
        <w:t>Id.</w:t>
      </w:r>
      <w:r w:rsidR="008C4106">
        <w:t xml:space="preserve"> at </w:t>
      </w:r>
      <w:r w:rsidR="00AD5270">
        <w:t xml:space="preserve">14-15 (citing </w:t>
      </w:r>
      <w:r w:rsidRPr="00B2046F" w:rsidR="00E95D07">
        <w:t>2014</w:t>
      </w:r>
      <w:r w:rsidR="00E95D07">
        <w:t xml:space="preserve"> Staff </w:t>
      </w:r>
      <w:r w:rsidRPr="0046516E" w:rsidR="00E95D07">
        <w:t>Report</w:t>
      </w:r>
      <w:r w:rsidRPr="0046516E">
        <w:t xml:space="preserve"> (“</w:t>
      </w:r>
      <w:r w:rsidRPr="0046516E" w:rsidR="00557662">
        <w:t>[M]</w:t>
      </w:r>
      <w:r w:rsidRPr="0046516E">
        <w:t>ost dynamic</w:t>
      </w:r>
      <w:r w:rsidRPr="0033055F">
        <w:t xml:space="preserve"> reactive power, which is crucial to transmission system reliability, is provided by generators</w:t>
      </w:r>
      <w:r w:rsidR="00D7185E">
        <w:t>.</w:t>
      </w:r>
      <w:r w:rsidRPr="0033055F">
        <w:t>”).</w:t>
      </w:r>
      <w:r w:rsidR="008F69C3">
        <w:t xml:space="preserve">  Specifically, </w:t>
      </w:r>
      <w:r w:rsidRPr="008F69C3" w:rsidR="008F69C3">
        <w:t xml:space="preserve">Generation Developers state that the 2014 Staff Report made the following findings:  </w:t>
      </w:r>
      <w:r w:rsidR="003428D4">
        <w:t xml:space="preserve">  </w:t>
      </w:r>
      <w:r w:rsidRPr="008F69C3" w:rsidR="008F69C3">
        <w:t>“(1) the costs of reactive power equipment for wind generators range from 3.18% to 4% of their capital costs; and (2) the costs of adding reactive power capability to solar photovoltaic generators range from 2% to 20% of a project’s total costs, depending on project size.”</w:t>
      </w:r>
      <w:r w:rsidR="008F69C3">
        <w:t xml:space="preserve"> </w:t>
      </w:r>
      <w:r w:rsidR="006B2B98">
        <w:rPr>
          <w:i/>
          <w:iCs/>
        </w:rPr>
        <w:t xml:space="preserve">Id. </w:t>
      </w:r>
      <w:r w:rsidR="006B2B98">
        <w:t xml:space="preserve">at </w:t>
      </w:r>
      <w:r w:rsidR="00B022D0">
        <w:t>15 (citing</w:t>
      </w:r>
      <w:r w:rsidR="006B2B98">
        <w:t xml:space="preserve"> </w:t>
      </w:r>
      <w:r w:rsidR="008F69C3">
        <w:t xml:space="preserve">2014 Staff Report </w:t>
      </w:r>
      <w:r w:rsidR="002226B7">
        <w:t>a</w:t>
      </w:r>
      <w:r w:rsidRPr="002226B7" w:rsidR="002226B7">
        <w:t xml:space="preserve">pp. 2 </w:t>
      </w:r>
      <w:r w:rsidR="008F69C3">
        <w:t xml:space="preserve">at </w:t>
      </w:r>
      <w:r w:rsidRPr="002226B7" w:rsidR="002226B7">
        <w:t>2-3</w:t>
      </w:r>
      <w:r w:rsidR="00B022D0">
        <w:t>)</w:t>
      </w:r>
      <w:r w:rsidRPr="002226B7" w:rsidR="002226B7">
        <w:t xml:space="preserve">.  </w:t>
      </w:r>
    </w:p>
  </w:footnote>
  <w:footnote w:id="210">
    <w:p w:rsidR="00124CEC" w14:paraId="470C118B" w14:textId="3AD31D25">
      <w:pPr>
        <w:pStyle w:val="FootnoteText"/>
      </w:pPr>
      <w:r>
        <w:rPr>
          <w:rStyle w:val="FootnoteReference"/>
        </w:rPr>
        <w:footnoteRef/>
      </w:r>
      <w:r>
        <w:t xml:space="preserve"> </w:t>
      </w:r>
      <w:r w:rsidR="00AE0645">
        <w:rPr>
          <w:i/>
          <w:iCs/>
        </w:rPr>
        <w:t>Id.</w:t>
      </w:r>
      <w:r>
        <w:t xml:space="preserve"> at 15</w:t>
      </w:r>
      <w:r w:rsidR="003C57EF">
        <w:t xml:space="preserve"> (citing</w:t>
      </w:r>
      <w:r w:rsidR="0029102B">
        <w:t xml:space="preserve"> </w:t>
      </w:r>
      <w:r w:rsidRPr="0029102B" w:rsidR="0029102B">
        <w:t>NOPR</w:t>
      </w:r>
      <w:r w:rsidR="00B940BA">
        <w:t>,</w:t>
      </w:r>
      <w:r w:rsidR="004A0D14">
        <w:t xml:space="preserve"> </w:t>
      </w:r>
      <w:r w:rsidRPr="00B940BA" w:rsidR="00B940BA">
        <w:t>186 FERC ¶ 61,203</w:t>
      </w:r>
      <w:r w:rsidRPr="0029102B" w:rsidR="0029102B">
        <w:t xml:space="preserve"> at P 29 n.70 (citing</w:t>
      </w:r>
      <w:r w:rsidR="004E30E9">
        <w:t xml:space="preserve"> MISO Rehearing Order</w:t>
      </w:r>
      <w:r w:rsidRPr="0029102B" w:rsidR="0029102B">
        <w:t>, 184 FERC ¶ 61,022 at P 30</w:t>
      </w:r>
      <w:r w:rsidR="002804D1">
        <w:t>)</w:t>
      </w:r>
      <w:r w:rsidR="00EC1FCC">
        <w:t>)</w:t>
      </w:r>
      <w:r w:rsidR="003C57EF">
        <w:t>.</w:t>
      </w:r>
    </w:p>
  </w:footnote>
  <w:footnote w:id="211">
    <w:p w:rsidR="00C011AF" w14:paraId="5E5CCB40" w14:textId="36A1C3CA">
      <w:pPr>
        <w:pStyle w:val="FootnoteText"/>
      </w:pPr>
      <w:r>
        <w:rPr>
          <w:rStyle w:val="FootnoteReference"/>
        </w:rPr>
        <w:footnoteRef/>
      </w:r>
      <w:r>
        <w:t xml:space="preserve"> </w:t>
      </w:r>
      <w:r w:rsidR="004E30E9">
        <w:rPr>
          <w:i/>
          <w:iCs/>
        </w:rPr>
        <w:t>Id.</w:t>
      </w:r>
    </w:p>
  </w:footnote>
  <w:footnote w:id="212">
    <w:p w:rsidR="007C497C" w14:paraId="3BE6EF24" w14:textId="5011ED9B">
      <w:pPr>
        <w:pStyle w:val="FootnoteText"/>
      </w:pPr>
      <w:r>
        <w:rPr>
          <w:rStyle w:val="FootnoteReference"/>
        </w:rPr>
        <w:footnoteRef/>
      </w:r>
      <w:r>
        <w:t xml:space="preserve"> </w:t>
      </w:r>
      <w:r w:rsidR="004E30E9">
        <w:rPr>
          <w:i/>
          <w:iCs/>
        </w:rPr>
        <w:t>Id.</w:t>
      </w:r>
      <w:r>
        <w:t xml:space="preserve"> at 16 (citing</w:t>
      </w:r>
      <w:r w:rsidR="007F0209">
        <w:t xml:space="preserve"> </w:t>
      </w:r>
      <w:r w:rsidR="00D07390">
        <w:rPr>
          <w:i/>
          <w:iCs/>
        </w:rPr>
        <w:t>BPA</w:t>
      </w:r>
      <w:r w:rsidRPr="007F0209" w:rsidR="007F0209">
        <w:t xml:space="preserve">, 120 FERC ¶ 61,211; </w:t>
      </w:r>
      <w:r w:rsidRPr="006056E4" w:rsidR="007F0209">
        <w:t>M</w:t>
      </w:r>
      <w:r w:rsidR="00690066">
        <w:t>ETC</w:t>
      </w:r>
      <w:r w:rsidR="002E3C0C">
        <w:t xml:space="preserve"> Rehearing Order</w:t>
      </w:r>
      <w:r w:rsidRPr="007F0209" w:rsidR="007F0209">
        <w:t xml:space="preserve">, 97 FERC at 61,852-53; </w:t>
      </w:r>
      <w:r w:rsidRPr="0086726B" w:rsidR="007F0209">
        <w:rPr>
          <w:i/>
          <w:iCs/>
        </w:rPr>
        <w:t>A</w:t>
      </w:r>
      <w:r w:rsidR="0086726B">
        <w:rPr>
          <w:i/>
          <w:iCs/>
        </w:rPr>
        <w:t>PS</w:t>
      </w:r>
      <w:r w:rsidRPr="007F0209" w:rsidR="007F0209">
        <w:t>, 94 FERC at 61,080)</w:t>
      </w:r>
      <w:r w:rsidR="007F0209">
        <w:t>.</w:t>
      </w:r>
      <w:r w:rsidRPr="007F0209" w:rsidR="007F0209">
        <w:t xml:space="preserve">  </w:t>
      </w:r>
    </w:p>
  </w:footnote>
  <w:footnote w:id="213">
    <w:p w:rsidR="0076078A" w14:paraId="7E966E98" w14:textId="1FB1D9DC">
      <w:pPr>
        <w:pStyle w:val="FootnoteText"/>
      </w:pPr>
      <w:r>
        <w:rPr>
          <w:rStyle w:val="FootnoteReference"/>
        </w:rPr>
        <w:footnoteRef/>
      </w:r>
      <w:r>
        <w:t xml:space="preserve"> </w:t>
      </w:r>
      <w:r w:rsidR="009234C8">
        <w:rPr>
          <w:i/>
          <w:iCs/>
        </w:rPr>
        <w:t>Id.</w:t>
      </w:r>
      <w:r>
        <w:t xml:space="preserve"> at 16-17 n.52 (citing Duke Energy Corporation Initial Comments </w:t>
      </w:r>
      <w:r w:rsidR="00192D47">
        <w:t xml:space="preserve">to the NOI </w:t>
      </w:r>
      <w:r>
        <w:t>at 4).</w:t>
      </w:r>
    </w:p>
  </w:footnote>
  <w:footnote w:id="214">
    <w:p w:rsidR="000E0A4A" w14:paraId="7D3338BB" w14:textId="4534AB22">
      <w:pPr>
        <w:pStyle w:val="FootnoteText"/>
      </w:pPr>
      <w:r>
        <w:rPr>
          <w:rStyle w:val="FootnoteReference"/>
        </w:rPr>
        <w:footnoteRef/>
      </w:r>
      <w:r>
        <w:t xml:space="preserve"> </w:t>
      </w:r>
      <w:r w:rsidR="00A6442E">
        <w:t>PSEG</w:t>
      </w:r>
      <w:r>
        <w:t xml:space="preserve"> Initial Comments at 9.</w:t>
      </w:r>
    </w:p>
  </w:footnote>
  <w:footnote w:id="215">
    <w:p w:rsidR="000E0A4A" w14:paraId="7719A8B0" w14:textId="59E1EFBC">
      <w:pPr>
        <w:pStyle w:val="FootnoteText"/>
      </w:pPr>
      <w:r>
        <w:rPr>
          <w:rStyle w:val="FootnoteReference"/>
        </w:rPr>
        <w:footnoteRef/>
      </w:r>
      <w:r>
        <w:t xml:space="preserve"> </w:t>
      </w:r>
      <w:r w:rsidR="00655FAA">
        <w:rPr>
          <w:i/>
          <w:iCs/>
        </w:rPr>
        <w:t>Id.</w:t>
      </w:r>
      <w:r>
        <w:t>, Prepared Testimony of Dr. Paul A. Dumais at 11, 1:11.</w:t>
      </w:r>
    </w:p>
  </w:footnote>
  <w:footnote w:id="216">
    <w:p w:rsidR="00890818" w14:paraId="17D54DFB" w14:textId="0F05FF39">
      <w:pPr>
        <w:pStyle w:val="FootnoteText"/>
      </w:pPr>
      <w:r>
        <w:rPr>
          <w:rStyle w:val="FootnoteReference"/>
        </w:rPr>
        <w:footnoteRef/>
      </w:r>
      <w:r>
        <w:t xml:space="preserve"> Indicated Trade Association Initial Comments at </w:t>
      </w:r>
      <w:r w:rsidR="004A6B1E">
        <w:t>7-8.</w:t>
      </w:r>
    </w:p>
  </w:footnote>
  <w:footnote w:id="217">
    <w:p w:rsidR="00A33E73" w14:paraId="2B6B7B47" w14:textId="3FE30ED4">
      <w:pPr>
        <w:pStyle w:val="FootnoteText"/>
      </w:pPr>
      <w:r>
        <w:rPr>
          <w:rStyle w:val="FootnoteReference"/>
        </w:rPr>
        <w:footnoteRef/>
      </w:r>
      <w:r>
        <w:t xml:space="preserve"> </w:t>
      </w:r>
      <w:r w:rsidR="00655FAA">
        <w:rPr>
          <w:i/>
          <w:iCs/>
        </w:rPr>
        <w:t>Id.</w:t>
      </w:r>
      <w:r>
        <w:t xml:space="preserve"> at 8 (citing </w:t>
      </w:r>
      <w:r w:rsidRPr="00593D14" w:rsidR="00593D14">
        <w:rPr>
          <w:i/>
          <w:iCs/>
        </w:rPr>
        <w:t>BPA</w:t>
      </w:r>
      <w:r w:rsidRPr="00593D14" w:rsidR="00593D14">
        <w:t>, 120 FERC ¶ 61,211 at P 21</w:t>
      </w:r>
      <w:r>
        <w:t>).</w:t>
      </w:r>
    </w:p>
  </w:footnote>
  <w:footnote w:id="218">
    <w:p w:rsidR="00DC1986" w14:paraId="5CDF115A" w14:textId="5578F27B">
      <w:pPr>
        <w:pStyle w:val="FootnoteText"/>
      </w:pPr>
      <w:r>
        <w:rPr>
          <w:rStyle w:val="FootnoteReference"/>
        </w:rPr>
        <w:footnoteRef/>
      </w:r>
      <w:r>
        <w:t xml:space="preserve"> </w:t>
      </w:r>
      <w:r w:rsidR="00AB6ECB">
        <w:rPr>
          <w:i/>
          <w:iCs/>
        </w:rPr>
        <w:t>Id.</w:t>
      </w:r>
      <w:r>
        <w:t xml:space="preserve"> (citing </w:t>
      </w:r>
      <w:r w:rsidRPr="006056E4" w:rsidR="00AB6ECB">
        <w:t xml:space="preserve">BPA </w:t>
      </w:r>
      <w:r w:rsidR="00AB6ECB">
        <w:t>Rehearing Order</w:t>
      </w:r>
      <w:r w:rsidRPr="007221B4" w:rsidR="007221B4">
        <w:t>, 125 FERC ¶ 61,273 at n.7</w:t>
      </w:r>
      <w:r w:rsidR="007221B4">
        <w:t>).</w:t>
      </w:r>
    </w:p>
  </w:footnote>
  <w:footnote w:id="219">
    <w:p w:rsidR="00E6385D" w14:paraId="7AED55E1" w14:textId="526E72F7">
      <w:pPr>
        <w:pStyle w:val="FootnoteText"/>
      </w:pPr>
      <w:r>
        <w:rPr>
          <w:rStyle w:val="FootnoteReference"/>
        </w:rPr>
        <w:footnoteRef/>
      </w:r>
      <w:r>
        <w:t xml:space="preserve"> </w:t>
      </w:r>
      <w:r w:rsidR="00AB6ECB">
        <w:rPr>
          <w:i/>
          <w:iCs/>
        </w:rPr>
        <w:t>Id.</w:t>
      </w:r>
      <w:r w:rsidR="00884ACC">
        <w:t xml:space="preserve"> (</w:t>
      </w:r>
      <w:r w:rsidR="005E11DF">
        <w:t>quoting</w:t>
      </w:r>
      <w:r w:rsidR="00694BE3">
        <w:t xml:space="preserve"> </w:t>
      </w:r>
      <w:r w:rsidRPr="00694BE3" w:rsidR="00694BE3">
        <w:rPr>
          <w:i/>
          <w:iCs/>
        </w:rPr>
        <w:t>APS</w:t>
      </w:r>
      <w:r w:rsidRPr="00694BE3" w:rsidR="00694BE3">
        <w:t>, 94 FERC at 61,080</w:t>
      </w:r>
      <w:r w:rsidR="00D44C4B">
        <w:t xml:space="preserve">; </w:t>
      </w:r>
      <w:r w:rsidRPr="002556CD" w:rsidR="002556CD">
        <w:t xml:space="preserve">citing NOPR, 186 FERC ¶ 61,203 </w:t>
      </w:r>
      <w:r w:rsidR="00B2046F">
        <w:t xml:space="preserve">        </w:t>
      </w:r>
      <w:r w:rsidRPr="002556CD" w:rsidR="002556CD">
        <w:t>at P 29 n.70</w:t>
      </w:r>
      <w:r w:rsidR="00884ACC">
        <w:t>).</w:t>
      </w:r>
    </w:p>
  </w:footnote>
  <w:footnote w:id="220">
    <w:p w:rsidR="00052F07" w14:paraId="13B83DC7" w14:textId="4F31C9D8">
      <w:pPr>
        <w:pStyle w:val="FootnoteText"/>
      </w:pPr>
      <w:r>
        <w:rPr>
          <w:rStyle w:val="FootnoteReference"/>
        </w:rPr>
        <w:footnoteRef/>
      </w:r>
      <w:r>
        <w:t xml:space="preserve"> </w:t>
      </w:r>
      <w:r w:rsidRPr="00E5275F">
        <w:t>Elevate Initial Comments at 9-12; Elevate Reply Comments at 7-9</w:t>
      </w:r>
      <w:r>
        <w:t xml:space="preserve">; </w:t>
      </w:r>
      <w:r w:rsidRPr="00E5275F">
        <w:t>Glenvale Initial Comment</w:t>
      </w:r>
      <w:r>
        <w:t>s</w:t>
      </w:r>
      <w:r w:rsidRPr="00E5275F">
        <w:t xml:space="preserve"> at 9-10</w:t>
      </w:r>
      <w:r>
        <w:t>.</w:t>
      </w:r>
    </w:p>
  </w:footnote>
  <w:footnote w:id="221">
    <w:p w:rsidR="00042482" w:rsidP="00042482" w14:paraId="1FB779AF" w14:textId="4B3C1F09">
      <w:pPr>
        <w:pStyle w:val="FootnoteText"/>
      </w:pPr>
      <w:r>
        <w:rPr>
          <w:rStyle w:val="FootnoteReference"/>
        </w:rPr>
        <w:footnoteRef/>
      </w:r>
      <w:r>
        <w:t xml:space="preserve"> </w:t>
      </w:r>
      <w:r w:rsidRPr="00E5275F">
        <w:t>Elevate Initial Comments at 9-12; Elevate Reply Comments at 7-9.</w:t>
      </w:r>
    </w:p>
  </w:footnote>
  <w:footnote w:id="222">
    <w:p w:rsidR="00A8277A" w14:paraId="23CE82D5" w14:textId="39AF3C75">
      <w:pPr>
        <w:pStyle w:val="FootnoteText"/>
      </w:pPr>
      <w:r>
        <w:rPr>
          <w:rStyle w:val="FootnoteReference"/>
        </w:rPr>
        <w:footnoteRef/>
      </w:r>
      <w:r>
        <w:t xml:space="preserve"> Elevate Reply Comments at 8.</w:t>
      </w:r>
    </w:p>
  </w:footnote>
  <w:footnote w:id="223">
    <w:p w:rsidR="00FB2953" w14:paraId="2B035F36" w14:textId="5A4A1380">
      <w:pPr>
        <w:pStyle w:val="FootnoteText"/>
      </w:pPr>
      <w:r>
        <w:rPr>
          <w:rStyle w:val="FootnoteReference"/>
        </w:rPr>
        <w:footnoteRef/>
      </w:r>
      <w:r>
        <w:t xml:space="preserve"> </w:t>
      </w:r>
      <w:r w:rsidR="00412C1D">
        <w:rPr>
          <w:i/>
          <w:iCs/>
        </w:rPr>
        <w:t>Id.</w:t>
      </w:r>
      <w:r w:rsidR="00A8277A">
        <w:t xml:space="preserve"> </w:t>
      </w:r>
    </w:p>
  </w:footnote>
  <w:footnote w:id="224">
    <w:p w:rsidR="00E412CB" w14:paraId="1563F49F" w14:textId="77777777">
      <w:pPr>
        <w:pStyle w:val="FootnoteText"/>
      </w:pPr>
      <w:r>
        <w:rPr>
          <w:rStyle w:val="FootnoteReference"/>
        </w:rPr>
        <w:footnoteRef/>
      </w:r>
      <w:r>
        <w:t xml:space="preserve"> Elevate Initial Comments at </w:t>
      </w:r>
      <w:r w:rsidR="000774EF">
        <w:t>12.</w:t>
      </w:r>
    </w:p>
  </w:footnote>
  <w:footnote w:id="225">
    <w:p w:rsidR="00042482" w:rsidP="00042482" w14:paraId="5CC3F05C" w14:textId="77777777">
      <w:pPr>
        <w:pStyle w:val="FootnoteText"/>
      </w:pPr>
      <w:r>
        <w:rPr>
          <w:rStyle w:val="FootnoteReference"/>
        </w:rPr>
        <w:footnoteRef/>
      </w:r>
      <w:r>
        <w:t xml:space="preserve"> </w:t>
      </w:r>
      <w:r w:rsidRPr="00E5275F">
        <w:t>Glenvale Initial Comment</w:t>
      </w:r>
      <w:r>
        <w:t>s</w:t>
      </w:r>
      <w:r w:rsidRPr="00E5275F">
        <w:t xml:space="preserve"> at 9-10</w:t>
      </w:r>
      <w:r>
        <w:t>.</w:t>
      </w:r>
    </w:p>
  </w:footnote>
  <w:footnote w:id="226">
    <w:p w:rsidR="0090461F" w14:paraId="15100ACC" w14:textId="41F97AE4">
      <w:pPr>
        <w:pStyle w:val="FootnoteText"/>
      </w:pPr>
      <w:r>
        <w:rPr>
          <w:rStyle w:val="FootnoteReference"/>
        </w:rPr>
        <w:footnoteRef/>
      </w:r>
      <w:r>
        <w:t xml:space="preserve"> </w:t>
      </w:r>
      <w:r w:rsidR="00412C1D">
        <w:rPr>
          <w:i/>
          <w:iCs/>
        </w:rPr>
        <w:t>Id.</w:t>
      </w:r>
      <w:r>
        <w:t xml:space="preserve"> at 9.</w:t>
      </w:r>
    </w:p>
  </w:footnote>
  <w:footnote w:id="227">
    <w:p w:rsidR="005920CA" w14:paraId="5F90171F" w14:textId="66DB0BE2">
      <w:pPr>
        <w:pStyle w:val="FootnoteText"/>
      </w:pPr>
      <w:r>
        <w:rPr>
          <w:rStyle w:val="FootnoteReference"/>
        </w:rPr>
        <w:footnoteRef/>
      </w:r>
      <w:r>
        <w:t xml:space="preserve"> </w:t>
      </w:r>
      <w:r w:rsidR="00412C1D">
        <w:rPr>
          <w:i/>
          <w:iCs/>
        </w:rPr>
        <w:t>Id.</w:t>
      </w:r>
    </w:p>
  </w:footnote>
  <w:footnote w:id="228">
    <w:p w:rsidR="00DE4B5C" w:rsidP="004D3F0C" w14:paraId="04F84D2B" w14:textId="1E224B87">
      <w:pPr>
        <w:pStyle w:val="FootnoteText"/>
      </w:pPr>
      <w:r>
        <w:rPr>
          <w:rStyle w:val="FootnoteReference"/>
        </w:rPr>
        <w:footnoteRef/>
      </w:r>
      <w:r>
        <w:t xml:space="preserve"> </w:t>
      </w:r>
      <w:r w:rsidR="00412C1D">
        <w:rPr>
          <w:i/>
          <w:iCs/>
        </w:rPr>
        <w:t>Id.</w:t>
      </w:r>
      <w:r>
        <w:t xml:space="preserve"> at 9-10</w:t>
      </w:r>
      <w:r w:rsidR="004D3F0C">
        <w:t xml:space="preserve"> &amp; n.29</w:t>
      </w:r>
      <w:r>
        <w:t xml:space="preserve"> </w:t>
      </w:r>
      <w:r w:rsidR="00060D95">
        <w:t xml:space="preserve">(citing </w:t>
      </w:r>
      <w:r w:rsidRPr="005173F9" w:rsidR="005173F9">
        <w:t xml:space="preserve">Ramanathan Thiagarajan, Adarsh Nagarajan, Peter Hacke, and Ingrid Repins, </w:t>
      </w:r>
      <w:r w:rsidRPr="004D3F0C" w:rsidR="004D3F0C">
        <w:rPr>
          <w:i/>
          <w:iCs/>
        </w:rPr>
        <w:t>Effect of Reactive Power on Photovoltaic Inverter Reliability and Lifetimes</w:t>
      </w:r>
      <w:r w:rsidRPr="004D3F0C" w:rsidR="004D3F0C">
        <w:t xml:space="preserve"> (2019)</w:t>
      </w:r>
      <w:r w:rsidR="005173F9">
        <w:t>,</w:t>
      </w:r>
      <w:r w:rsidR="004D3F0C">
        <w:t xml:space="preserve"> </w:t>
      </w:r>
      <w:r w:rsidRPr="004D3F0C" w:rsidR="004D3F0C">
        <w:t>https://www.nrel.gov/docs/fy19osti/73648.pdf.</w:t>
      </w:r>
      <w:r w:rsidR="004D3F0C">
        <w:t xml:space="preserve">) </w:t>
      </w:r>
      <w:r>
        <w:t>(“</w:t>
      </w:r>
      <w:r w:rsidRPr="00E760A8" w:rsidR="00E760A8">
        <w:t>One characterization in recent research is that providing reactive power within the standard power factor range reduces service</w:t>
      </w:r>
      <w:r w:rsidR="00060D95">
        <w:t xml:space="preserve"> </w:t>
      </w:r>
      <w:r w:rsidRPr="00060D95" w:rsidR="00060D95">
        <w:t>life by one year, and that providing reactive power outside of the standard range reduces service life by a second year.</w:t>
      </w:r>
      <w:r w:rsidR="00060D95">
        <w:t>”)</w:t>
      </w:r>
      <w:r w:rsidR="00FF0F23">
        <w:t>).</w:t>
      </w:r>
    </w:p>
  </w:footnote>
  <w:footnote w:id="229">
    <w:p w:rsidR="00706447" w14:paraId="590B8F5A" w14:textId="0A4A1A21">
      <w:pPr>
        <w:pStyle w:val="FootnoteText"/>
      </w:pPr>
      <w:r>
        <w:rPr>
          <w:rStyle w:val="FootnoteReference"/>
        </w:rPr>
        <w:footnoteRef/>
      </w:r>
      <w:r>
        <w:t xml:space="preserve"> </w:t>
      </w:r>
      <w:r w:rsidR="007F38D7">
        <w:rPr>
          <w:i/>
          <w:iCs/>
        </w:rPr>
        <w:t>Id.</w:t>
      </w:r>
      <w:r>
        <w:t xml:space="preserve"> at 10.</w:t>
      </w:r>
    </w:p>
  </w:footnote>
  <w:footnote w:id="230">
    <w:p w:rsidR="00DA3B44" w14:paraId="6E03D123" w14:textId="2DE9C948">
      <w:pPr>
        <w:pStyle w:val="FootnoteText"/>
      </w:pPr>
      <w:r>
        <w:rPr>
          <w:rStyle w:val="FootnoteReference"/>
        </w:rPr>
        <w:footnoteRef/>
      </w:r>
      <w:r>
        <w:t xml:space="preserve"> NEI Initial Comments at 5.</w:t>
      </w:r>
    </w:p>
  </w:footnote>
  <w:footnote w:id="231">
    <w:p w:rsidR="00516894" w:rsidP="00516894" w14:paraId="2EB21EEF" w14:textId="559F196A">
      <w:pPr>
        <w:pStyle w:val="FootnoteText"/>
      </w:pPr>
      <w:r>
        <w:rPr>
          <w:rStyle w:val="FootnoteReference"/>
        </w:rPr>
        <w:footnoteRef/>
      </w:r>
      <w:r>
        <w:t xml:space="preserve"> </w:t>
      </w:r>
      <w:r>
        <w:rPr>
          <w:i/>
          <w:iCs/>
        </w:rPr>
        <w:t>Id.</w:t>
      </w:r>
      <w:r w:rsidR="0045316B">
        <w:rPr>
          <w:i/>
          <w:iCs/>
        </w:rPr>
        <w:t xml:space="preserve"> </w:t>
      </w:r>
      <w:r>
        <w:t>at 14-16.</w:t>
      </w:r>
    </w:p>
  </w:footnote>
  <w:footnote w:id="232">
    <w:p w:rsidR="00042482" w:rsidP="00042482" w14:paraId="245D8805" w14:textId="77777777">
      <w:pPr>
        <w:pStyle w:val="FootnoteText"/>
      </w:pPr>
      <w:r>
        <w:rPr>
          <w:rStyle w:val="FootnoteReference"/>
        </w:rPr>
        <w:footnoteRef/>
      </w:r>
      <w:r>
        <w:t xml:space="preserve"> Reactive Service Providers Initial Comments at 37-40.</w:t>
      </w:r>
    </w:p>
  </w:footnote>
  <w:footnote w:id="233">
    <w:p w:rsidR="00042482" w:rsidP="00042482" w14:paraId="3337E27D" w14:textId="57D92566">
      <w:pPr>
        <w:pStyle w:val="FootnoteText"/>
      </w:pPr>
      <w:r>
        <w:rPr>
          <w:rStyle w:val="FootnoteReference"/>
        </w:rPr>
        <w:footnoteRef/>
      </w:r>
      <w:r>
        <w:t xml:space="preserve"> </w:t>
      </w:r>
      <w:r w:rsidR="007F38D7">
        <w:rPr>
          <w:i/>
          <w:iCs/>
        </w:rPr>
        <w:t>Id.</w:t>
      </w:r>
      <w:r w:rsidRPr="00DA71B8">
        <w:t xml:space="preserve"> at 31-34.</w:t>
      </w:r>
    </w:p>
  </w:footnote>
  <w:footnote w:id="234">
    <w:p w:rsidR="00042482" w:rsidP="00042482" w14:paraId="01F89182" w14:textId="407CA9D9">
      <w:pPr>
        <w:pStyle w:val="FootnoteText"/>
      </w:pPr>
      <w:r>
        <w:rPr>
          <w:rStyle w:val="FootnoteReference"/>
        </w:rPr>
        <w:footnoteRef/>
      </w:r>
      <w:r>
        <w:t xml:space="preserve"> </w:t>
      </w:r>
      <w:r w:rsidR="007F38D7">
        <w:rPr>
          <w:i/>
          <w:iCs/>
        </w:rPr>
        <w:t>Id.</w:t>
      </w:r>
      <w:r>
        <w:t xml:space="preserve"> at 37-4</w:t>
      </w:r>
      <w:r w:rsidR="00B263C1">
        <w:t>1</w:t>
      </w:r>
      <w:r>
        <w:t>.</w:t>
      </w:r>
    </w:p>
  </w:footnote>
  <w:footnote w:id="235">
    <w:p w:rsidR="00491135" w:rsidRPr="003E5EA4" w:rsidP="00491135" w14:paraId="189BC234" w14:textId="77777777">
      <w:pPr>
        <w:pStyle w:val="FootnoteText"/>
      </w:pPr>
      <w:r>
        <w:rPr>
          <w:rStyle w:val="FootnoteReference"/>
        </w:rPr>
        <w:footnoteRef/>
      </w:r>
      <w:r>
        <w:t xml:space="preserve"> Eagle Creek Initial Comments at 3-4.  Eagle Creek argues that, for each of its tariff cases, it submitted evidence documentation of the fixed and sunk costs that it invested to increase its reactive power generation.  </w:t>
      </w:r>
      <w:r>
        <w:rPr>
          <w:i/>
          <w:iCs/>
        </w:rPr>
        <w:t>Id.</w:t>
      </w:r>
      <w:r w:rsidRPr="00C05B45">
        <w:t xml:space="preserve"> </w:t>
      </w:r>
    </w:p>
  </w:footnote>
  <w:footnote w:id="236">
    <w:p w:rsidR="00491135" w:rsidP="00491135" w14:paraId="2A76136B" w14:textId="77777777">
      <w:pPr>
        <w:pStyle w:val="FootnoteText"/>
      </w:pPr>
      <w:r>
        <w:rPr>
          <w:rStyle w:val="FootnoteReference"/>
        </w:rPr>
        <w:footnoteRef/>
      </w:r>
      <w:r>
        <w:t xml:space="preserve"> ACORE Initial Comments at 2; Indicated Reactive Power Suppliers Initial Comments at 9; Middle River Power Initial Comments at 2-3 (noting that Middle River Power owns 19 fossil-fired generating facilities that recover approximately $4.5 million in annual reactive power revenues through their reactive service tariffs on file with Commission, which it argues were “</w:t>
      </w:r>
      <w:r w:rsidRPr="001C68C9">
        <w:t>demonstrated in rigorous proceedings before the Commission</w:t>
      </w:r>
      <w:r>
        <w:t>”</w:t>
      </w:r>
      <w:r w:rsidRPr="001C68C9">
        <w:t xml:space="preserve"> </w:t>
      </w:r>
      <w:r>
        <w:t>to be</w:t>
      </w:r>
      <w:r w:rsidRPr="001C68C9">
        <w:t xml:space="preserve"> just and reasonable compensation covering actual costs</w:t>
      </w:r>
      <w:r>
        <w:t>).</w:t>
      </w:r>
    </w:p>
  </w:footnote>
  <w:footnote w:id="237">
    <w:p w:rsidR="006B4B2A" w:rsidRPr="00A906BE" w:rsidP="006B4B2A" w14:paraId="36EE7F19" w14:textId="47BF60C3">
      <w:pPr>
        <w:pStyle w:val="FootnoteText"/>
      </w:pPr>
      <w:r>
        <w:rPr>
          <w:rStyle w:val="FootnoteReference"/>
        </w:rPr>
        <w:footnoteRef/>
      </w:r>
      <w:r>
        <w:t xml:space="preserve"> Indicated Trade Associations Initial Comments at 9; </w:t>
      </w:r>
      <w:r>
        <w:rPr>
          <w:i/>
          <w:iCs/>
        </w:rPr>
        <w:t xml:space="preserve">see also id. </w:t>
      </w:r>
      <w:r>
        <w:t xml:space="preserve">(citing </w:t>
      </w:r>
      <w:r w:rsidRPr="00A906BE">
        <w:rPr>
          <w:i/>
          <w:iCs/>
        </w:rPr>
        <w:t>Va</w:t>
      </w:r>
      <w:r w:rsidR="00295A99">
        <w:rPr>
          <w:i/>
          <w:iCs/>
        </w:rPr>
        <w:t>.</w:t>
      </w:r>
      <w:r w:rsidRPr="00A906BE">
        <w:rPr>
          <w:i/>
          <w:iCs/>
        </w:rPr>
        <w:t xml:space="preserve"> Elec. &amp; Power Co.</w:t>
      </w:r>
      <w:r w:rsidRPr="00A906BE">
        <w:t>, 114 FERC ¶ 61,318</w:t>
      </w:r>
      <w:r w:rsidR="001C7987">
        <w:t>,</w:t>
      </w:r>
      <w:r w:rsidRPr="00A906BE">
        <w:t xml:space="preserve"> at P 3 (2006)</w:t>
      </w:r>
      <w:r>
        <w:t>) (“</w:t>
      </w:r>
      <w:r w:rsidR="0045316B">
        <w:t>[T]</w:t>
      </w:r>
      <w:r>
        <w:t>he Commission expressly instructed generators to use the AEP Methodology ‘</w:t>
      </w:r>
      <w:r w:rsidRPr="00BA6D2F">
        <w:rPr>
          <w:i/>
          <w:iCs/>
        </w:rPr>
        <w:t>to compute the portion of plant investment attributable to reactive power production</w:t>
      </w:r>
      <w:r>
        <w:t xml:space="preserve"> . . . </w:t>
      </w:r>
      <w:r w:rsidRPr="00A906BE">
        <w:t>Because these production plants produce</w:t>
      </w:r>
      <w:r>
        <w:t xml:space="preserve"> </w:t>
      </w:r>
      <w:r w:rsidRPr="00A906BE">
        <w:t xml:space="preserve">real and reactive power, </w:t>
      </w:r>
      <w:r w:rsidRPr="00A906BE">
        <w:rPr>
          <w:i/>
          <w:iCs/>
        </w:rPr>
        <w:t xml:space="preserve">AEP </w:t>
      </w:r>
      <w:r w:rsidRPr="00A906BE">
        <w:t xml:space="preserve">developed an allocation factor to </w:t>
      </w:r>
      <w:r w:rsidRPr="00BA6D2F">
        <w:rPr>
          <w:i/>
          <w:iCs/>
        </w:rPr>
        <w:t>segregate the reactive production function from the real power production function. The allocation factor is used to determine the amount of investment allocable to</w:t>
      </w:r>
      <w:r w:rsidRPr="00A906BE">
        <w:t xml:space="preserve"> </w:t>
      </w:r>
      <w:r w:rsidRPr="00BA6D2F">
        <w:rPr>
          <w:i/>
          <w:iCs/>
        </w:rPr>
        <w:t>reactive power.</w:t>
      </w:r>
      <w:r w:rsidRPr="00BA6D2F">
        <w:t>’”</w:t>
      </w:r>
      <w:r w:rsidR="00B921EA">
        <w:t>) (emphasis added</w:t>
      </w:r>
      <w:r w:rsidR="0045316B">
        <w:t xml:space="preserve"> by Indicated Trade Associations</w:t>
      </w:r>
      <w:r w:rsidR="00B921EA">
        <w:t>)</w:t>
      </w:r>
      <w:r w:rsidR="000A443C">
        <w:t>).</w:t>
      </w:r>
    </w:p>
  </w:footnote>
  <w:footnote w:id="238">
    <w:p w:rsidR="004C2209" w14:paraId="77066CA0" w14:textId="65D0B4D8">
      <w:pPr>
        <w:pStyle w:val="FootnoteText"/>
      </w:pPr>
      <w:r>
        <w:rPr>
          <w:rStyle w:val="FootnoteReference"/>
        </w:rPr>
        <w:footnoteRef/>
      </w:r>
      <w:r>
        <w:t xml:space="preserve"> NEI Initial Comments at 10 (citing </w:t>
      </w:r>
      <w:r w:rsidRPr="00BC1F48">
        <w:t xml:space="preserve">NOPR, </w:t>
      </w:r>
      <w:r w:rsidRPr="00694BE3" w:rsidR="00630E25">
        <w:t>186 FERC ¶ 61,203</w:t>
      </w:r>
      <w:r>
        <w:t xml:space="preserve"> at </w:t>
      </w:r>
      <w:r w:rsidR="00630E25">
        <w:t>P 30</w:t>
      </w:r>
      <w:r>
        <w:t>)</w:t>
      </w:r>
    </w:p>
  </w:footnote>
  <w:footnote w:id="239">
    <w:p w:rsidR="00C3331D" w14:paraId="478D196D" w14:textId="7846EEA3">
      <w:pPr>
        <w:pStyle w:val="FootnoteText"/>
      </w:pPr>
      <w:r>
        <w:rPr>
          <w:rStyle w:val="FootnoteReference"/>
        </w:rPr>
        <w:footnoteRef/>
      </w:r>
      <w:r>
        <w:t xml:space="preserve"> </w:t>
      </w:r>
      <w:r w:rsidR="00845802">
        <w:rPr>
          <w:i/>
          <w:iCs/>
        </w:rPr>
        <w:t>Id.</w:t>
      </w:r>
      <w:r w:rsidR="00451BF2">
        <w:t xml:space="preserve"> at 10-11</w:t>
      </w:r>
      <w:r w:rsidR="00C73C7E">
        <w:t xml:space="preserve">; Generation Developers Initial Comments at </w:t>
      </w:r>
      <w:r w:rsidR="00F37FDC">
        <w:t>7-9</w:t>
      </w:r>
      <w:r w:rsidR="00451BF2">
        <w:t>.</w:t>
      </w:r>
    </w:p>
  </w:footnote>
  <w:footnote w:id="240">
    <w:p w:rsidR="00E9420D" w:rsidRPr="00504C1D" w14:paraId="07A9CD83" w14:textId="57233CFE">
      <w:pPr>
        <w:pStyle w:val="FootnoteText"/>
        <w:rPr>
          <w:i/>
        </w:rPr>
      </w:pPr>
      <w:r>
        <w:rPr>
          <w:rStyle w:val="FootnoteReference"/>
        </w:rPr>
        <w:footnoteRef/>
      </w:r>
      <w:r>
        <w:t xml:space="preserve"> Generation Developers Initial Comments at </w:t>
      </w:r>
      <w:r w:rsidR="00155FD6">
        <w:t>8-9 (citing</w:t>
      </w:r>
      <w:r w:rsidR="0084411F">
        <w:t xml:space="preserve"> </w:t>
      </w:r>
      <w:r w:rsidRPr="0084411F" w:rsidR="0084411F">
        <w:rPr>
          <w:i/>
          <w:iCs/>
        </w:rPr>
        <w:t xml:space="preserve">Dynegy Midwest Generation, Inc., </w:t>
      </w:r>
      <w:r w:rsidRPr="0084411F" w:rsidR="0084411F">
        <w:t>125 FERC ¶ 61,280 at P 11</w:t>
      </w:r>
      <w:r w:rsidR="0084411F">
        <w:t xml:space="preserve">; </w:t>
      </w:r>
      <w:r w:rsidRPr="0084411F" w:rsidR="0084411F">
        <w:rPr>
          <w:i/>
          <w:iCs/>
        </w:rPr>
        <w:t>Bluegrass Generation Co</w:t>
      </w:r>
      <w:r w:rsidR="00295A99">
        <w:rPr>
          <w:i/>
          <w:iCs/>
        </w:rPr>
        <w:t>.</w:t>
      </w:r>
      <w:r w:rsidRPr="0084411F" w:rsidR="0084411F">
        <w:rPr>
          <w:i/>
          <w:iCs/>
        </w:rPr>
        <w:t xml:space="preserve">, L.L.C., </w:t>
      </w:r>
      <w:r w:rsidR="00295A99">
        <w:rPr>
          <w:i/>
          <w:iCs/>
        </w:rPr>
        <w:t xml:space="preserve">        </w:t>
      </w:r>
      <w:r w:rsidRPr="0084411F" w:rsidR="0084411F">
        <w:t xml:space="preserve">118 FERC ¶ 61,214, </w:t>
      </w:r>
      <w:r w:rsidRPr="0084411F" w:rsidR="0084411F">
        <w:rPr>
          <w:i/>
          <w:iCs/>
        </w:rPr>
        <w:t>order on reh’g</w:t>
      </w:r>
      <w:r w:rsidRPr="0084411F" w:rsidR="0084411F">
        <w:t xml:space="preserve">, 121 FERC </w:t>
      </w:r>
      <w:r w:rsidRPr="00C773CF" w:rsidR="0084411F">
        <w:t xml:space="preserve">¶ </w:t>
      </w:r>
      <w:r w:rsidRPr="006056E4" w:rsidR="0084411F">
        <w:t>61,018, at P 12 (2007)).</w:t>
      </w:r>
      <w:r w:rsidRPr="00504C1D" w:rsidR="0084411F">
        <w:rPr>
          <w:i/>
        </w:rPr>
        <w:t xml:space="preserve">  </w:t>
      </w:r>
    </w:p>
  </w:footnote>
  <w:footnote w:id="241">
    <w:p w:rsidR="00E9420D" w14:paraId="38A52AFC" w14:textId="3950CDB2">
      <w:pPr>
        <w:pStyle w:val="FootnoteText"/>
      </w:pPr>
      <w:r w:rsidRPr="00E20883">
        <w:rPr>
          <w:rStyle w:val="FootnoteReference"/>
        </w:rPr>
        <w:footnoteRef/>
      </w:r>
      <w:r w:rsidRPr="00E20883">
        <w:t xml:space="preserve"> </w:t>
      </w:r>
      <w:r w:rsidR="006F741D">
        <w:rPr>
          <w:i/>
          <w:iCs/>
        </w:rPr>
        <w:t>Id.</w:t>
      </w:r>
      <w:r w:rsidRPr="00E20883" w:rsidR="00DF58E9">
        <w:t xml:space="preserve"> (citing</w:t>
      </w:r>
      <w:r w:rsidRPr="00504C1D" w:rsidR="00E20883">
        <w:rPr>
          <w:i/>
        </w:rPr>
        <w:t xml:space="preserve"> Bluegrass Generation Co.</w:t>
      </w:r>
      <w:r w:rsidRPr="00E20883" w:rsidR="00E20883">
        <w:t>, 121 FERC ¶ 61,018 at P 12 (“This policy is not a matter of administrative convenience . . . but the result of the Commission’s deliberate determination that the AEP methodology is a just and reasonable manner of calculating a reactive power revenue requirement”).</w:t>
      </w:r>
    </w:p>
  </w:footnote>
  <w:footnote w:id="242">
    <w:p w:rsidR="00CE3673" w:rsidP="003428D4" w14:paraId="11AE91F5" w14:textId="2F714927">
      <w:pPr>
        <w:pStyle w:val="FootnoteText"/>
        <w:widowControl/>
      </w:pPr>
      <w:r>
        <w:rPr>
          <w:rStyle w:val="FootnoteReference"/>
        </w:rPr>
        <w:footnoteRef/>
      </w:r>
      <w:r>
        <w:t xml:space="preserve"> NHA </w:t>
      </w:r>
      <w:r w:rsidR="0001308B">
        <w:t>Initial Comments at 4-5</w:t>
      </w:r>
      <w:r w:rsidR="00E50801">
        <w:t xml:space="preserve"> (noting </w:t>
      </w:r>
      <w:r w:rsidR="00DB5239">
        <w:t xml:space="preserve">that </w:t>
      </w:r>
      <w:r w:rsidR="002B1D4E">
        <w:t>“[t]</w:t>
      </w:r>
      <w:r w:rsidR="00DB5239">
        <w:t xml:space="preserve">here is </w:t>
      </w:r>
      <w:r w:rsidRPr="00E50801" w:rsidR="00E50801">
        <w:t>no basis for this assumption, especially if the Commission believes the AEP Methodology is incapable of isolating real and reactive cost.</w:t>
      </w:r>
      <w:r w:rsidR="00E50801">
        <w:t>”</w:t>
      </w:r>
      <w:r w:rsidR="002B1D4E">
        <w:t>)</w:t>
      </w:r>
      <w:r w:rsidR="0001308B">
        <w:t>.</w:t>
      </w:r>
    </w:p>
  </w:footnote>
  <w:footnote w:id="243">
    <w:p w:rsidR="00CF7E0C" w:rsidP="00CF7E0C" w14:paraId="7E6574E4" w14:textId="77777777">
      <w:pPr>
        <w:pStyle w:val="FootnoteText"/>
      </w:pPr>
      <w:r w:rsidRPr="01D5E437">
        <w:rPr>
          <w:rStyle w:val="FootnoteReference"/>
        </w:rPr>
        <w:footnoteRef/>
      </w:r>
      <w:r>
        <w:t xml:space="preserve"> Clean Energy Associations Initial Comments at 7.</w:t>
      </w:r>
    </w:p>
  </w:footnote>
  <w:footnote w:id="244">
    <w:p w:rsidR="007B3B1B" w:rsidP="007B3B1B" w14:paraId="7CCBE44B" w14:textId="77777777">
      <w:pPr>
        <w:pStyle w:val="FootnoteText"/>
      </w:pPr>
      <w:r>
        <w:rPr>
          <w:rStyle w:val="FootnoteReference"/>
        </w:rPr>
        <w:footnoteRef/>
      </w:r>
      <w:r>
        <w:t xml:space="preserve"> Middle River Power Initial Comments at 3.</w:t>
      </w:r>
    </w:p>
  </w:footnote>
  <w:footnote w:id="245">
    <w:p w:rsidR="00042482" w:rsidP="00042482" w14:paraId="167A8EC1" w14:textId="77777777">
      <w:pPr>
        <w:pStyle w:val="FootnoteText"/>
      </w:pPr>
      <w:r w:rsidRPr="01D5E437">
        <w:rPr>
          <w:rStyle w:val="FootnoteReference"/>
        </w:rPr>
        <w:footnoteRef/>
      </w:r>
      <w:r>
        <w:t xml:space="preserve"> Clean Energy Associations Initial Comments at 6-7.</w:t>
      </w:r>
    </w:p>
  </w:footnote>
  <w:footnote w:id="246">
    <w:p w:rsidR="00B14FF6" w:rsidP="00B14FF6" w14:paraId="76C33D61" w14:textId="6BEFF1B7">
      <w:pPr>
        <w:pStyle w:val="FootnoteText"/>
      </w:pPr>
      <w:r w:rsidRPr="01D5E437">
        <w:rPr>
          <w:rStyle w:val="FootnoteReference"/>
        </w:rPr>
        <w:footnoteRef/>
      </w:r>
      <w:r>
        <w:t xml:space="preserve"> </w:t>
      </w:r>
      <w:r w:rsidR="000C6F70">
        <w:rPr>
          <w:i/>
          <w:iCs/>
        </w:rPr>
        <w:t>Id.</w:t>
      </w:r>
    </w:p>
  </w:footnote>
  <w:footnote w:id="247">
    <w:p w:rsidR="009325ED" w:rsidP="009325ED" w14:paraId="77CE18CB" w14:textId="77777777">
      <w:pPr>
        <w:pStyle w:val="FootnoteText"/>
      </w:pPr>
      <w:r>
        <w:rPr>
          <w:rStyle w:val="FootnoteReference"/>
        </w:rPr>
        <w:footnoteRef/>
      </w:r>
      <w:r>
        <w:t xml:space="preserve"> ACORE Initial Comments at 2.</w:t>
      </w:r>
    </w:p>
  </w:footnote>
  <w:footnote w:id="248">
    <w:p w:rsidR="009325ED" w:rsidP="009325ED" w14:paraId="389A1ACF" w14:textId="77777777">
      <w:pPr>
        <w:pStyle w:val="FootnoteText"/>
      </w:pPr>
      <w:r>
        <w:rPr>
          <w:rStyle w:val="FootnoteReference"/>
        </w:rPr>
        <w:footnoteRef/>
      </w:r>
      <w:r>
        <w:t xml:space="preserve"> Elevate Initial Comments at 9-10; Indicated Trade Associations Initial Comments at 9.</w:t>
      </w:r>
    </w:p>
  </w:footnote>
  <w:footnote w:id="249">
    <w:p w:rsidR="009325ED" w:rsidRPr="007C2B93" w:rsidP="009325ED" w14:paraId="0B0342CE" w14:textId="68FA38FF">
      <w:pPr>
        <w:pStyle w:val="FootnoteText"/>
        <w:rPr>
          <w:szCs w:val="26"/>
        </w:rPr>
      </w:pPr>
      <w:r w:rsidRPr="007C2B93">
        <w:rPr>
          <w:rStyle w:val="FootnoteReference"/>
          <w:szCs w:val="26"/>
        </w:rPr>
        <w:footnoteRef/>
      </w:r>
      <w:r w:rsidRPr="007C2B93">
        <w:rPr>
          <w:szCs w:val="26"/>
        </w:rPr>
        <w:t xml:space="preserve"> Indicated Trade Associations Initial Comments at 9</w:t>
      </w:r>
      <w:r>
        <w:rPr>
          <w:szCs w:val="26"/>
        </w:rPr>
        <w:t xml:space="preserve"> (citing </w:t>
      </w:r>
      <w:r w:rsidRPr="00411200">
        <w:rPr>
          <w:szCs w:val="26"/>
        </w:rPr>
        <w:t>Order No. 888,</w:t>
      </w:r>
      <w:r w:rsidR="00EF13FF">
        <w:t xml:space="preserve"> </w:t>
      </w:r>
      <w:r w:rsidRPr="00BD10A8" w:rsidR="00EF13FF">
        <w:t>FERC Stats. &amp; Regs. ¶ 31,036</w:t>
      </w:r>
      <w:r w:rsidR="00EF13FF">
        <w:t xml:space="preserve"> at </w:t>
      </w:r>
      <w:r w:rsidR="00AF1753">
        <w:t>31,</w:t>
      </w:r>
      <w:r w:rsidR="006330EF">
        <w:t>7</w:t>
      </w:r>
      <w:r w:rsidR="004D067B">
        <w:t>2</w:t>
      </w:r>
      <w:r w:rsidR="006330EF">
        <w:t>0</w:t>
      </w:r>
      <w:r w:rsidR="004D067B">
        <w:t>-21</w:t>
      </w:r>
      <w:r>
        <w:rPr>
          <w:szCs w:val="26"/>
        </w:rPr>
        <w:t>)</w:t>
      </w:r>
      <w:r w:rsidRPr="007C2B93">
        <w:rPr>
          <w:szCs w:val="26"/>
        </w:rPr>
        <w:t>.</w:t>
      </w:r>
    </w:p>
  </w:footnote>
  <w:footnote w:id="250">
    <w:p w:rsidR="009325ED" w:rsidP="009325ED" w14:paraId="172696E1" w14:textId="77777777">
      <w:pPr>
        <w:pStyle w:val="FootnoteText"/>
      </w:pPr>
      <w:r>
        <w:rPr>
          <w:rStyle w:val="FootnoteReference"/>
        </w:rPr>
        <w:footnoteRef/>
      </w:r>
      <w:r>
        <w:t xml:space="preserve"> Middle River Power Initial Comments at 2-3.</w:t>
      </w:r>
    </w:p>
  </w:footnote>
  <w:footnote w:id="251">
    <w:p w:rsidR="00464E42" w:rsidP="003428D4" w14:paraId="2FE0ACA1" w14:textId="62698B77">
      <w:pPr>
        <w:pStyle w:val="FootnoteText"/>
        <w:widowControl/>
      </w:pPr>
      <w:r>
        <w:rPr>
          <w:rStyle w:val="FootnoteReference"/>
        </w:rPr>
        <w:footnoteRef/>
      </w:r>
      <w:r>
        <w:t xml:space="preserve"> Reactive Service Providers Initial Comments at 7 (</w:t>
      </w:r>
      <w:r w:rsidR="00D46EB9">
        <w:t xml:space="preserve">citing NOPR, </w:t>
      </w:r>
      <w:r w:rsidRPr="009B11B8" w:rsidR="009B11B8">
        <w:t>186 FERC ¶</w:t>
      </w:r>
      <w:r w:rsidR="000C4EA0">
        <w:t> </w:t>
      </w:r>
      <w:r w:rsidRPr="009B11B8" w:rsidR="009B11B8">
        <w:t>61,203</w:t>
      </w:r>
      <w:r w:rsidR="009B11B8">
        <w:t xml:space="preserve"> </w:t>
      </w:r>
      <w:r w:rsidR="00D46EB9">
        <w:t>at P 5)</w:t>
      </w:r>
      <w:r w:rsidR="000C4EA0">
        <w:t>.</w:t>
      </w:r>
    </w:p>
  </w:footnote>
  <w:footnote w:id="252">
    <w:p w:rsidR="001121F9" w14:paraId="594B57C1" w14:textId="6F18E154">
      <w:pPr>
        <w:pStyle w:val="FootnoteText"/>
      </w:pPr>
      <w:r>
        <w:rPr>
          <w:rStyle w:val="FootnoteReference"/>
        </w:rPr>
        <w:footnoteRef/>
      </w:r>
      <w:r>
        <w:t xml:space="preserve"> </w:t>
      </w:r>
      <w:r w:rsidR="003E2B98">
        <w:rPr>
          <w:i/>
          <w:iCs/>
        </w:rPr>
        <w:t>Id.</w:t>
      </w:r>
      <w:r>
        <w:t xml:space="preserve"> at </w:t>
      </w:r>
      <w:r w:rsidR="00D33FE5">
        <w:t>9</w:t>
      </w:r>
      <w:r w:rsidR="00F24E85">
        <w:t>.</w:t>
      </w:r>
    </w:p>
  </w:footnote>
  <w:footnote w:id="253">
    <w:p w:rsidR="00800464" w14:paraId="3A727AF4" w14:textId="35F91BA1">
      <w:pPr>
        <w:pStyle w:val="FootnoteText"/>
      </w:pPr>
      <w:r>
        <w:rPr>
          <w:rStyle w:val="FootnoteReference"/>
        </w:rPr>
        <w:footnoteRef/>
      </w:r>
      <w:r>
        <w:t xml:space="preserve"> </w:t>
      </w:r>
      <w:r w:rsidR="003E2B98">
        <w:rPr>
          <w:i/>
          <w:iCs/>
        </w:rPr>
        <w:t>Id.</w:t>
      </w:r>
      <w:r>
        <w:t xml:space="preserve"> at 8.</w:t>
      </w:r>
    </w:p>
  </w:footnote>
  <w:footnote w:id="254">
    <w:p w:rsidR="00502D8E" w14:paraId="54E3B56F" w14:textId="30A5B5C6">
      <w:pPr>
        <w:pStyle w:val="FootnoteText"/>
      </w:pPr>
      <w:r>
        <w:rPr>
          <w:rStyle w:val="FootnoteReference"/>
        </w:rPr>
        <w:footnoteRef/>
      </w:r>
      <w:r>
        <w:t xml:space="preserve"> </w:t>
      </w:r>
      <w:r w:rsidR="003E2B98">
        <w:rPr>
          <w:i/>
          <w:iCs/>
        </w:rPr>
        <w:t>Id.</w:t>
      </w:r>
      <w:r w:rsidR="004158B3">
        <w:t xml:space="preserve"> at </w:t>
      </w:r>
      <w:r>
        <w:t>8-9</w:t>
      </w:r>
      <w:r w:rsidR="004158B3">
        <w:t xml:space="preserve"> (citing </w:t>
      </w:r>
      <w:r w:rsidR="00DF38D7">
        <w:t>A</w:t>
      </w:r>
      <w:r w:rsidR="00274848">
        <w:t>ffidavit of Dennis W. Bethel)</w:t>
      </w:r>
      <w:r>
        <w:t>.</w:t>
      </w:r>
    </w:p>
  </w:footnote>
  <w:footnote w:id="255">
    <w:p w:rsidR="00E86C60" w:rsidP="003428D4" w14:paraId="5DA0CDD8" w14:textId="52220551">
      <w:pPr>
        <w:pStyle w:val="FootnoteText"/>
        <w:widowControl/>
      </w:pPr>
      <w:r>
        <w:rPr>
          <w:rStyle w:val="FootnoteReference"/>
        </w:rPr>
        <w:footnoteRef/>
      </w:r>
      <w:r>
        <w:t xml:space="preserve"> </w:t>
      </w:r>
      <w:r w:rsidR="003E2B98">
        <w:rPr>
          <w:i/>
          <w:iCs/>
        </w:rPr>
        <w:t>Id.</w:t>
      </w:r>
      <w:r>
        <w:t xml:space="preserve"> at 9 </w:t>
      </w:r>
      <w:r w:rsidR="00F40E72">
        <w:t>(</w:t>
      </w:r>
      <w:r w:rsidRPr="00BC1F48" w:rsidR="00F40E72">
        <w:t>citing Order No. 888</w:t>
      </w:r>
      <w:r w:rsidR="00BD10A8">
        <w:t xml:space="preserve">, </w:t>
      </w:r>
      <w:r w:rsidRPr="00BD10A8" w:rsidR="00BD10A8">
        <w:t>FERC Stats. &amp; Regs. ¶ 31,036</w:t>
      </w:r>
      <w:r w:rsidR="00F60FE9">
        <w:t xml:space="preserve"> </w:t>
      </w:r>
      <w:r w:rsidR="00E40A59">
        <w:t>a</w:t>
      </w:r>
      <w:r w:rsidR="00F60FE9">
        <w:t>t</w:t>
      </w:r>
      <w:r w:rsidRPr="00CD2C9F" w:rsidR="00725EAE">
        <w:t> 31,</w:t>
      </w:r>
      <w:r w:rsidR="00725EAE">
        <w:t>349</w:t>
      </w:r>
      <w:r w:rsidR="00F40E72">
        <w:t xml:space="preserve"> </w:t>
      </w:r>
      <w:r>
        <w:t>(</w:t>
      </w:r>
      <w:r w:rsidR="007C2744">
        <w:t xml:space="preserve">noting </w:t>
      </w:r>
      <w:r w:rsidR="004C6106">
        <w:t>that the Commission adopted</w:t>
      </w:r>
      <w:r w:rsidR="00D0422C">
        <w:t xml:space="preserve"> the following definition of ancillary services:  “</w:t>
      </w:r>
      <w:r w:rsidRPr="00F40E72" w:rsidR="00F40E72">
        <w:t xml:space="preserve">Those services that are </w:t>
      </w:r>
      <w:r w:rsidRPr="00504C1D" w:rsidR="00F40E72">
        <w:t>necessary to support the transmission of capacity and energy from resources to load</w:t>
      </w:r>
      <w:r w:rsidRPr="00F40E72" w:rsidR="00F40E72">
        <w:rPr>
          <w:b/>
          <w:bCs/>
        </w:rPr>
        <w:t xml:space="preserve"> </w:t>
      </w:r>
      <w:r w:rsidRPr="00F40E72" w:rsidR="00F40E72">
        <w:t>while maintaining reliable operation of the Transmission Provider’s Transmission System in accordance with Good Utility Practice”</w:t>
      </w:r>
      <w:r w:rsidR="00497E88">
        <w:t xml:space="preserve"> and that the </w:t>
      </w:r>
      <w:r w:rsidR="00FE03F4">
        <w:t>Commission</w:t>
      </w:r>
      <w:r w:rsidR="000773C1">
        <w:t xml:space="preserve"> determined that “</w:t>
      </w:r>
      <w:r w:rsidRPr="00F60FE9" w:rsidR="00F60FE9">
        <w:t xml:space="preserve">A control area is part of an interconnected power system with a common generation control system. It may contain one or several utilities. </w:t>
      </w:r>
      <w:r w:rsidR="00FE7E9A">
        <w:t xml:space="preserve"> </w:t>
      </w:r>
      <w:r w:rsidRPr="00504C1D" w:rsidR="00F60FE9">
        <w:t xml:space="preserve">The operator </w:t>
      </w:r>
      <w:r w:rsidRPr="00F60FE9" w:rsidR="00F60FE9">
        <w:t xml:space="preserve">of the control area </w:t>
      </w:r>
      <w:r w:rsidRPr="00504C1D" w:rsidR="00F60FE9">
        <w:t xml:space="preserve">is responsible </w:t>
      </w:r>
      <w:r w:rsidRPr="00F60FE9" w:rsidR="00F60FE9">
        <w:t>for balancing generation and load and for maintaining reliable system operation.</w:t>
      </w:r>
      <w:r w:rsidR="00F60FE9">
        <w:t>”</w:t>
      </w:r>
      <w:r w:rsidR="00F40E72">
        <w:t>)</w:t>
      </w:r>
      <w:r w:rsidR="00725EAE">
        <w:t>)</w:t>
      </w:r>
      <w:r w:rsidR="00F40E72">
        <w:t>.</w:t>
      </w:r>
    </w:p>
  </w:footnote>
  <w:footnote w:id="256">
    <w:p w:rsidR="00273390" w14:paraId="444B42B6" w14:textId="7E32E4F7">
      <w:pPr>
        <w:pStyle w:val="FootnoteText"/>
      </w:pPr>
      <w:r>
        <w:rPr>
          <w:rStyle w:val="FootnoteReference"/>
        </w:rPr>
        <w:footnoteRef/>
      </w:r>
      <w:r>
        <w:t xml:space="preserve"> </w:t>
      </w:r>
      <w:r w:rsidR="00FE7E9A">
        <w:rPr>
          <w:i/>
          <w:iCs/>
        </w:rPr>
        <w:t>Id.</w:t>
      </w:r>
    </w:p>
  </w:footnote>
  <w:footnote w:id="257">
    <w:p w:rsidR="00F232A5" w14:paraId="6377BD3E" w14:textId="17B2303E">
      <w:pPr>
        <w:pStyle w:val="FootnoteText"/>
      </w:pPr>
      <w:r>
        <w:rPr>
          <w:rStyle w:val="FootnoteReference"/>
        </w:rPr>
        <w:footnoteRef/>
      </w:r>
      <w:r>
        <w:t xml:space="preserve"> </w:t>
      </w:r>
      <w:r w:rsidR="00FE7E9A">
        <w:rPr>
          <w:i/>
          <w:iCs/>
        </w:rPr>
        <w:t>Id.</w:t>
      </w:r>
      <w:r w:rsidR="002957A8">
        <w:t xml:space="preserve"> at 10 (citing </w:t>
      </w:r>
      <w:r w:rsidRPr="00BC1F48" w:rsidR="002957A8">
        <w:t>Order No. 888</w:t>
      </w:r>
      <w:r w:rsidR="003D6628">
        <w:t xml:space="preserve">, </w:t>
      </w:r>
      <w:r w:rsidRPr="003D6628" w:rsidR="003D6628">
        <w:t>FERC Stats. &amp; Regs. ¶ 31,036</w:t>
      </w:r>
      <w:r w:rsidR="002957A8">
        <w:t xml:space="preserve"> at</w:t>
      </w:r>
      <w:r w:rsidRPr="00CD2C9F" w:rsidR="00725EAE">
        <w:t> 31,</w:t>
      </w:r>
      <w:r w:rsidR="00725EAE">
        <w:t>355</w:t>
      </w:r>
      <w:r w:rsidR="00664625">
        <w:t>).</w:t>
      </w:r>
    </w:p>
  </w:footnote>
  <w:footnote w:id="258">
    <w:p w:rsidR="00CC4601" w14:paraId="3D7EE3A5" w14:textId="29F16E6A">
      <w:pPr>
        <w:pStyle w:val="FootnoteText"/>
      </w:pPr>
      <w:r>
        <w:rPr>
          <w:rStyle w:val="FootnoteReference"/>
        </w:rPr>
        <w:footnoteRef/>
      </w:r>
      <w:r>
        <w:t xml:space="preserve"> </w:t>
      </w:r>
      <w:r w:rsidR="003D6628">
        <w:rPr>
          <w:i/>
          <w:iCs/>
        </w:rPr>
        <w:t>Id.</w:t>
      </w:r>
    </w:p>
  </w:footnote>
  <w:footnote w:id="259">
    <w:p w:rsidR="00D20D7D" w14:paraId="1FC333DC" w14:textId="2E2596F6">
      <w:pPr>
        <w:pStyle w:val="FootnoteText"/>
      </w:pPr>
      <w:r>
        <w:rPr>
          <w:rStyle w:val="FootnoteReference"/>
        </w:rPr>
        <w:footnoteRef/>
      </w:r>
      <w:r>
        <w:t xml:space="preserve"> </w:t>
      </w:r>
      <w:r w:rsidR="003D6628">
        <w:rPr>
          <w:i/>
          <w:iCs/>
        </w:rPr>
        <w:t>Id.</w:t>
      </w:r>
      <w:r>
        <w:t xml:space="preserve"> at 11.</w:t>
      </w:r>
    </w:p>
  </w:footnote>
  <w:footnote w:id="260">
    <w:p w:rsidR="00A12C02" w14:paraId="674158DC" w14:textId="731D3145">
      <w:pPr>
        <w:pStyle w:val="FootnoteText"/>
      </w:pPr>
      <w:r>
        <w:rPr>
          <w:rStyle w:val="FootnoteReference"/>
        </w:rPr>
        <w:footnoteRef/>
      </w:r>
      <w:r>
        <w:t xml:space="preserve"> </w:t>
      </w:r>
      <w:r w:rsidRPr="00AD1C4D" w:rsidR="003D6628">
        <w:rPr>
          <w:i/>
          <w:iCs/>
        </w:rPr>
        <w:t>Id.</w:t>
      </w:r>
      <w:r>
        <w:t xml:space="preserve"> at 11-12.</w:t>
      </w:r>
    </w:p>
  </w:footnote>
  <w:footnote w:id="261">
    <w:p w:rsidR="00E23592" w14:paraId="28DA9EEF" w14:textId="6625BD43">
      <w:pPr>
        <w:pStyle w:val="FootnoteText"/>
      </w:pPr>
      <w:r>
        <w:rPr>
          <w:rStyle w:val="FootnoteReference"/>
        </w:rPr>
        <w:footnoteRef/>
      </w:r>
      <w:r>
        <w:t xml:space="preserve"> </w:t>
      </w:r>
      <w:r w:rsidR="003D6628">
        <w:rPr>
          <w:i/>
          <w:iCs/>
        </w:rPr>
        <w:t>Id.</w:t>
      </w:r>
      <w:r>
        <w:t xml:space="preserve"> at 12.</w:t>
      </w:r>
    </w:p>
  </w:footnote>
  <w:footnote w:id="262">
    <w:p w:rsidR="004451DC" w:rsidP="003428D4" w14:paraId="151567B6" w14:textId="0CD308E8">
      <w:pPr>
        <w:pStyle w:val="FootnoteText"/>
        <w:widowControl/>
      </w:pPr>
      <w:r>
        <w:rPr>
          <w:rStyle w:val="FootnoteReference"/>
        </w:rPr>
        <w:footnoteRef/>
      </w:r>
      <w:r>
        <w:t xml:space="preserve"> </w:t>
      </w:r>
      <w:r w:rsidR="00C27296">
        <w:rPr>
          <w:i/>
          <w:iCs/>
        </w:rPr>
        <w:t>Id.</w:t>
      </w:r>
      <w:r>
        <w:t xml:space="preserve"> at 12-</w:t>
      </w:r>
      <w:r w:rsidR="0024089C">
        <w:t>1</w:t>
      </w:r>
      <w:r w:rsidR="000513FF">
        <w:t>9</w:t>
      </w:r>
      <w:r>
        <w:t xml:space="preserve"> (citing</w:t>
      </w:r>
      <w:r w:rsidR="001F4753">
        <w:t xml:space="preserve"> </w:t>
      </w:r>
      <w:r w:rsidRPr="00BC1F48" w:rsidR="002A53B2">
        <w:t>Order No. 661</w:t>
      </w:r>
      <w:r w:rsidR="00782F3E">
        <w:t xml:space="preserve">, </w:t>
      </w:r>
      <w:r w:rsidRPr="00C82E18" w:rsidR="00C82E18">
        <w:t>111 FERC ¶ 61,353</w:t>
      </w:r>
      <w:r w:rsidR="002A53B2">
        <w:t xml:space="preserve"> </w:t>
      </w:r>
      <w:r w:rsidR="00FE5344">
        <w:t>at P</w:t>
      </w:r>
      <w:r w:rsidR="009D52E6">
        <w:t>P</w:t>
      </w:r>
      <w:r w:rsidR="00E514AD">
        <w:t xml:space="preserve"> 50</w:t>
      </w:r>
      <w:r w:rsidR="009D52E6">
        <w:t>-51</w:t>
      </w:r>
      <w:r w:rsidR="00E514AD">
        <w:t xml:space="preserve"> </w:t>
      </w:r>
      <w:r w:rsidR="002A53B2">
        <w:t>(</w:t>
      </w:r>
      <w:r w:rsidR="00FE5344">
        <w:t>“</w:t>
      </w:r>
      <w:r w:rsidRPr="00FE5344" w:rsidR="00FE5344">
        <w:t xml:space="preserve">this Final Rule requires the wind plant to maintain the required power factor range only if the Transmission Provider shows through the System impact Study, that such capability is required of that plant to ensure safety </w:t>
      </w:r>
      <w:r w:rsidR="004E7CEA">
        <w:t>or</w:t>
      </w:r>
      <w:r w:rsidRPr="00FE5344" w:rsidR="00FE5344">
        <w:t xml:space="preserve"> reliability</w:t>
      </w:r>
      <w:r w:rsidR="004E7CEA">
        <w:t>.</w:t>
      </w:r>
      <w:r w:rsidR="009D52E6">
        <w:t xml:space="preserve"> . . . </w:t>
      </w:r>
      <w:r w:rsidRPr="009D52E6" w:rsidR="009D52E6">
        <w:t>“</w:t>
      </w:r>
      <w:r w:rsidR="004E7CEA">
        <w:t>[</w:t>
      </w:r>
      <w:r w:rsidR="008C4C12">
        <w:t>B]</w:t>
      </w:r>
      <w:r w:rsidRPr="009D52E6" w:rsidR="009D52E6">
        <w:t xml:space="preserve">ecause the Transmission Provider is responsible for the safe and reliable operation of its transmission system (pursuant to </w:t>
      </w:r>
      <w:r w:rsidR="008C4C12">
        <w:t>N</w:t>
      </w:r>
      <w:r w:rsidRPr="009D52E6" w:rsidR="009D52E6">
        <w:t>ERC and regional reliability council standards), it is in the best position to establish if reactive power is needed in individual circumstances.</w:t>
      </w:r>
      <w:r w:rsidR="009D52E6">
        <w:t>”</w:t>
      </w:r>
      <w:r w:rsidR="002A53B2">
        <w:t xml:space="preserve">); </w:t>
      </w:r>
      <w:r w:rsidRPr="00BC1F48" w:rsidR="000A3567">
        <w:t>Order No. 827</w:t>
      </w:r>
      <w:r w:rsidR="00782F3E">
        <w:t>,</w:t>
      </w:r>
      <w:r w:rsidR="00804F4C">
        <w:t xml:space="preserve"> </w:t>
      </w:r>
      <w:r w:rsidRPr="00804F4C" w:rsidR="00804F4C">
        <w:t>155</w:t>
      </w:r>
      <w:r w:rsidR="008C4C12">
        <w:t> </w:t>
      </w:r>
      <w:r w:rsidRPr="00804F4C" w:rsidR="00804F4C">
        <w:t>FERC ¶ 61,277</w:t>
      </w:r>
      <w:r w:rsidR="000A3567">
        <w:t xml:space="preserve"> at </w:t>
      </w:r>
      <w:r w:rsidR="008C4C12">
        <w:t>P</w:t>
      </w:r>
      <w:r w:rsidR="000A3567">
        <w:t xml:space="preserve"> </w:t>
      </w:r>
      <w:r w:rsidR="004A1FE4">
        <w:t>35 (</w:t>
      </w:r>
      <w:r w:rsidRPr="004A1FE4" w:rsidR="004A1FE4">
        <w:t xml:space="preserve">“balancing the costs to newly-interconnecting </w:t>
      </w:r>
      <w:r w:rsidR="00975A21">
        <w:t xml:space="preserve">                  </w:t>
      </w:r>
      <w:r w:rsidRPr="004A1FE4" w:rsidR="004A1FE4">
        <w:t xml:space="preserve">non-synchronous generators of providing reactive power </w:t>
      </w:r>
      <w:r w:rsidRPr="004A1FE4" w:rsidR="004A1FE4">
        <w:rPr>
          <w:i/>
          <w:iCs/>
        </w:rPr>
        <w:t>with the benefits to the transmission system of having another source of reactive power</w:t>
      </w:r>
      <w:r w:rsidR="004A1FE4">
        <w:t>”)</w:t>
      </w:r>
      <w:r w:rsidR="00EC3170">
        <w:t xml:space="preserve"> </w:t>
      </w:r>
      <w:r w:rsidRPr="00EC3170" w:rsidR="00EC3170">
        <w:t>(emphasis added by Reactive Service Providers))</w:t>
      </w:r>
      <w:r w:rsidR="00551ACE">
        <w:t xml:space="preserve">; </w:t>
      </w:r>
      <w:r w:rsidR="00EC3170">
        <w:rPr>
          <w:i/>
          <w:iCs/>
        </w:rPr>
        <w:t xml:space="preserve">id. </w:t>
      </w:r>
      <w:r w:rsidR="00EC3170">
        <w:t xml:space="preserve">at 18 </w:t>
      </w:r>
      <w:r w:rsidRPr="002B1EB1" w:rsidR="002B1EB1">
        <w:t>(“[I]n Order No. 901, the [Commission] continued the clear distinction between a Transmission Provider that has the obligation to plan and operate the Transmission System and generation that is a tool that Transmission Providers must account for and uses to fulfill its obligation to plan and operate the Transmission System.”) (citing</w:t>
      </w:r>
      <w:r w:rsidR="00551ACE">
        <w:t xml:space="preserve"> </w:t>
      </w:r>
      <w:r w:rsidRPr="00594165" w:rsidR="00594165">
        <w:rPr>
          <w:i/>
          <w:iCs/>
        </w:rPr>
        <w:t>Reliability Standards to Address Inverter-Based Res</w:t>
      </w:r>
      <w:r w:rsidR="00975A21">
        <w:rPr>
          <w:i/>
          <w:iCs/>
        </w:rPr>
        <w:t>.</w:t>
      </w:r>
      <w:r w:rsidRPr="00594165" w:rsidR="00594165">
        <w:t xml:space="preserve">, Order No. 901, </w:t>
      </w:r>
      <w:r w:rsidR="00975A21">
        <w:t xml:space="preserve">88 FR 74250 (Oct. 30, 2023) </w:t>
      </w:r>
      <w:r w:rsidRPr="00594165" w:rsidR="00594165">
        <w:t>185 FERC ¶ 61,042</w:t>
      </w:r>
      <w:r w:rsidR="00594165">
        <w:t>,</w:t>
      </w:r>
      <w:r w:rsidR="00551ACE">
        <w:t xml:space="preserve"> at P 174 </w:t>
      </w:r>
      <w:r w:rsidR="00594165">
        <w:t>(2023)</w:t>
      </w:r>
      <w:bookmarkStart w:id="24" w:name="_bookmark3"/>
      <w:bookmarkStart w:id="25" w:name="_bookmark2"/>
      <w:bookmarkStart w:id="26" w:name="_bookmark1"/>
      <w:bookmarkStart w:id="27" w:name="_bookmark0"/>
      <w:bookmarkEnd w:id="24"/>
      <w:bookmarkEnd w:id="25"/>
      <w:bookmarkEnd w:id="26"/>
      <w:bookmarkEnd w:id="27"/>
      <w:r w:rsidR="004A5115">
        <w:t>)</w:t>
      </w:r>
      <w:r w:rsidR="00011A5C">
        <w:t>.</w:t>
      </w:r>
    </w:p>
  </w:footnote>
  <w:footnote w:id="263">
    <w:p w:rsidR="00031697" w14:paraId="12AD6ECE" w14:textId="7DC5063A">
      <w:pPr>
        <w:pStyle w:val="FootnoteText"/>
      </w:pPr>
      <w:r>
        <w:rPr>
          <w:rStyle w:val="FootnoteReference"/>
        </w:rPr>
        <w:footnoteRef/>
      </w:r>
      <w:r>
        <w:t xml:space="preserve"> </w:t>
      </w:r>
      <w:r w:rsidR="00FC7F3D">
        <w:rPr>
          <w:i/>
          <w:iCs/>
        </w:rPr>
        <w:t>Id.</w:t>
      </w:r>
      <w:r w:rsidR="00E0583B">
        <w:t xml:space="preserve"> at </w:t>
      </w:r>
      <w:r w:rsidR="000F69A3">
        <w:t>19.</w:t>
      </w:r>
    </w:p>
  </w:footnote>
  <w:footnote w:id="264">
    <w:p w:rsidR="00E459EF" w:rsidRPr="004B4A48" w14:paraId="79A7C014" w14:textId="5D2C7BD3">
      <w:pPr>
        <w:pStyle w:val="FootnoteText"/>
      </w:pPr>
      <w:r>
        <w:rPr>
          <w:rStyle w:val="FootnoteReference"/>
        </w:rPr>
        <w:footnoteRef/>
      </w:r>
      <w:r>
        <w:t xml:space="preserve"> </w:t>
      </w:r>
      <w:r w:rsidR="00FC7F3D">
        <w:rPr>
          <w:i/>
          <w:iCs/>
        </w:rPr>
        <w:t>Id.</w:t>
      </w:r>
      <w:r>
        <w:t xml:space="preserve"> at 19-20 (</w:t>
      </w:r>
      <w:r w:rsidRPr="0092585D" w:rsidR="0092585D">
        <w:t>quoting at Order No. 2003, 104 FERC ¶ 61,103</w:t>
      </w:r>
      <w:r w:rsidR="005B7F15">
        <w:t xml:space="preserve"> at P </w:t>
      </w:r>
      <w:r w:rsidR="0029704E">
        <w:t>56</w:t>
      </w:r>
      <w:r w:rsidRPr="0092585D" w:rsidR="0092585D">
        <w:t xml:space="preserve">) </w:t>
      </w:r>
      <w:r>
        <w:t>(</w:t>
      </w:r>
      <w:r w:rsidR="00F16BBA">
        <w:t xml:space="preserve">emphasis </w:t>
      </w:r>
      <w:r w:rsidR="00A94CB7">
        <w:t>added by Reactive Service Providers</w:t>
      </w:r>
      <w:r>
        <w:t>).</w:t>
      </w:r>
      <w:r w:rsidR="005E6629">
        <w:t xml:space="preserve">  Reactive Service Providers assert that the Commission adopted the same definition of “good utility practice</w:t>
      </w:r>
      <w:r w:rsidR="004B4A48">
        <w:t>”</w:t>
      </w:r>
      <w:r w:rsidR="005E6629">
        <w:t xml:space="preserve"> in Order No. 200</w:t>
      </w:r>
      <w:r w:rsidR="00043A2C">
        <w:t>3</w:t>
      </w:r>
      <w:r w:rsidR="004B4A48">
        <w:t xml:space="preserve"> as it did in Order No. 888.  </w:t>
      </w:r>
      <w:r w:rsidR="004B4A48">
        <w:rPr>
          <w:i/>
          <w:iCs/>
        </w:rPr>
        <w:t xml:space="preserve">Id. </w:t>
      </w:r>
      <w:r w:rsidR="004B4A48">
        <w:t>at 19.</w:t>
      </w:r>
    </w:p>
  </w:footnote>
  <w:footnote w:id="265">
    <w:p w:rsidR="002923E4" w14:paraId="45EDCED4" w14:textId="56FFCD63">
      <w:pPr>
        <w:pStyle w:val="FootnoteText"/>
      </w:pPr>
      <w:r>
        <w:rPr>
          <w:rStyle w:val="FootnoteReference"/>
        </w:rPr>
        <w:footnoteRef/>
      </w:r>
      <w:r>
        <w:t xml:space="preserve"> </w:t>
      </w:r>
      <w:r w:rsidR="00C3595B">
        <w:rPr>
          <w:i/>
          <w:iCs/>
        </w:rPr>
        <w:t>Id.</w:t>
      </w:r>
      <w:r>
        <w:t xml:space="preserve"> at 20.</w:t>
      </w:r>
    </w:p>
  </w:footnote>
  <w:footnote w:id="266">
    <w:p w:rsidR="008B4B05" w:rsidP="00582DA2" w14:paraId="34EDEEFF" w14:textId="7E4CE165">
      <w:pPr>
        <w:pStyle w:val="FootnoteText"/>
      </w:pPr>
      <w:r>
        <w:rPr>
          <w:rStyle w:val="FootnoteReference"/>
        </w:rPr>
        <w:footnoteRef/>
      </w:r>
      <w:r>
        <w:t xml:space="preserve"> Indicated Trade Associations Initial Comments at 23</w:t>
      </w:r>
      <w:r w:rsidR="001374EE">
        <w:t xml:space="preserve"> (citing </w:t>
      </w:r>
      <w:r w:rsidRPr="00293EB8" w:rsidR="00293EB8">
        <w:rPr>
          <w:i/>
          <w:iCs/>
        </w:rPr>
        <w:t>Banton v. Belt Line Ry. Corp.</w:t>
      </w:r>
      <w:r w:rsidRPr="00293EB8" w:rsidR="00293EB8">
        <w:t>, 268 U.S. 413, 420 (1925)</w:t>
      </w:r>
      <w:r w:rsidR="00D80EEF">
        <w:t xml:space="preserve"> (</w:t>
      </w:r>
      <w:r w:rsidRPr="008A4799" w:rsidR="008A4799">
        <w:t>“[t]he commission under the guise of regulation may not compel the use and operation</w:t>
      </w:r>
      <w:r w:rsidR="008A4799">
        <w:t xml:space="preserve"> </w:t>
      </w:r>
      <w:r w:rsidRPr="008A4799" w:rsidR="008A4799">
        <w:t>of the company's property for public convenience without just compensation.”</w:t>
      </w:r>
      <w:r w:rsidR="00D80EEF">
        <w:t>)</w:t>
      </w:r>
      <w:r w:rsidR="00293EB8">
        <w:t xml:space="preserve">; </w:t>
      </w:r>
      <w:r w:rsidRPr="00F7508F" w:rsidR="00F7508F">
        <w:rPr>
          <w:i/>
          <w:iCs/>
        </w:rPr>
        <w:t>Gulf Power Co. v. U.S.</w:t>
      </w:r>
      <w:r w:rsidRPr="00F7508F" w:rsidR="00F7508F">
        <w:t>, 187 F.3d 1324, 1331 (11th Cir. 1999)</w:t>
      </w:r>
      <w:r w:rsidR="00D80EEF">
        <w:t xml:space="preserve"> (</w:t>
      </w:r>
      <w:r w:rsidRPr="00582DA2" w:rsidR="00582DA2">
        <w:t>“[c]haracterizing the mandatory access provision</w:t>
      </w:r>
      <w:r w:rsidR="00582DA2">
        <w:t xml:space="preserve"> </w:t>
      </w:r>
      <w:r w:rsidRPr="00582DA2" w:rsidR="00582DA2">
        <w:t xml:space="preserve">as a regulatory </w:t>
      </w:r>
      <w:r w:rsidR="00975A21">
        <w:t xml:space="preserve">                </w:t>
      </w:r>
      <w:r w:rsidRPr="00582DA2" w:rsidR="00582DA2">
        <w:t>condition . . . cannot change the fact that it effects a taking by requiring a</w:t>
      </w:r>
      <w:r w:rsidR="00582DA2">
        <w:t xml:space="preserve"> </w:t>
      </w:r>
      <w:r w:rsidRPr="00582DA2" w:rsidR="00582DA2">
        <w:t>utility to submit to a permanent, physical occupation of its property”</w:t>
      </w:r>
      <w:r w:rsidR="0081533E">
        <w:t>)</w:t>
      </w:r>
      <w:r w:rsidR="001374EE">
        <w:t>)</w:t>
      </w:r>
      <w:r>
        <w:t>.</w:t>
      </w:r>
    </w:p>
  </w:footnote>
  <w:footnote w:id="267">
    <w:p w:rsidR="00AE16D0" w:rsidP="009125BD" w14:paraId="7B2161F8" w14:textId="5B2E4D71">
      <w:pPr>
        <w:pStyle w:val="FootnoteText"/>
      </w:pPr>
      <w:r>
        <w:rPr>
          <w:rStyle w:val="FootnoteReference"/>
        </w:rPr>
        <w:footnoteRef/>
      </w:r>
      <w:r>
        <w:t xml:space="preserve"> Generation Developers Initial Comments at 27 (citing </w:t>
      </w:r>
      <w:r w:rsidRPr="009125BD" w:rsidR="009125BD">
        <w:t xml:space="preserve">CAISO, 2022 Annual Report on Market Issues &amp; Performance 15 (July 11, 2023), </w:t>
      </w:r>
      <w:r w:rsidRPr="00504C1D" w:rsidR="009125BD">
        <w:t>http://www.caiso.com/market/Pages/MarketMonitoring/AnnualQuarterlyReports/Default.aspx</w:t>
      </w:r>
      <w:r w:rsidR="009125BD">
        <w:t xml:space="preserve">; </w:t>
      </w:r>
      <w:r w:rsidRPr="009125BD" w:rsidR="009125BD">
        <w:t>PJM, Energy Transition in PJM: Resource Retirements, Replacements and Risks</w:t>
      </w:r>
      <w:r w:rsidR="00975A21">
        <w:t xml:space="preserve"> </w:t>
      </w:r>
      <w:r w:rsidRPr="009125BD" w:rsidR="009125BD">
        <w:t>10 (Feb. 24,</w:t>
      </w:r>
      <w:r w:rsidR="009125BD">
        <w:t xml:space="preserve"> </w:t>
      </w:r>
      <w:r w:rsidRPr="009125BD" w:rsidR="009125BD">
        <w:t>2023), https://insidelines.pjm.com/pjm-details-resource-retirements-replacements-and-risks</w:t>
      </w:r>
      <w:r w:rsidR="009125BD">
        <w:t>.</w:t>
      </w:r>
      <w:r w:rsidR="00511739">
        <w:t>).</w:t>
      </w:r>
    </w:p>
  </w:footnote>
  <w:footnote w:id="268">
    <w:p w:rsidR="00943C23" w14:paraId="7F080E21" w14:textId="0194EF51">
      <w:pPr>
        <w:pStyle w:val="FootnoteText"/>
      </w:pPr>
      <w:r>
        <w:rPr>
          <w:rStyle w:val="FootnoteReference"/>
        </w:rPr>
        <w:footnoteRef/>
      </w:r>
      <w:r>
        <w:t xml:space="preserve"> Indicated Trade Associations Reply Comments at 9.</w:t>
      </w:r>
    </w:p>
  </w:footnote>
  <w:footnote w:id="269">
    <w:p w:rsidR="00145356" w14:paraId="63C0807A" w14:textId="54AE64FC">
      <w:pPr>
        <w:pStyle w:val="FootnoteText"/>
      </w:pPr>
      <w:r>
        <w:rPr>
          <w:rStyle w:val="FootnoteReference"/>
        </w:rPr>
        <w:footnoteRef/>
      </w:r>
      <w:r w:rsidR="00F277AC">
        <w:t xml:space="preserve"> PJM IMM Initial Comments at 6-9; Joint Consumer Advocates Initial Comments at 6-7; MISO Transmission Owners Reply Comments at 4; TAPS Initial Comments at 6; Ohio FEA Initial Comments at 5; Joint Customers Initial Comments at 14-16; PGE Initial Comments at 4 (citing </w:t>
      </w:r>
      <w:r w:rsidR="00F277AC">
        <w:rPr>
          <w:i/>
          <w:iCs/>
        </w:rPr>
        <w:t>MISO</w:t>
      </w:r>
      <w:r w:rsidRPr="004A4C03" w:rsidR="00F277AC">
        <w:t>, 182 FERC ¶ 61,033 at P 53</w:t>
      </w:r>
      <w:r w:rsidR="00F277AC">
        <w:t xml:space="preserve"> (noting that in the </w:t>
      </w:r>
      <w:r w:rsidRPr="001139B0" w:rsidR="00F277AC">
        <w:t xml:space="preserve">acceptance of </w:t>
      </w:r>
      <w:r w:rsidR="00F277AC">
        <w:t>the MISO Transmission Owners application to end compensation within the standard power</w:t>
      </w:r>
      <w:r w:rsidRPr="001139B0" w:rsidR="00F277AC">
        <w:t xml:space="preserve"> application</w:t>
      </w:r>
      <w:r w:rsidR="00F277AC">
        <w:t>, the Commission</w:t>
      </w:r>
      <w:r w:rsidRPr="001139B0" w:rsidR="00F277AC">
        <w:t xml:space="preserve"> reiterated </w:t>
      </w:r>
      <w:r w:rsidR="00F277AC">
        <w:t>its</w:t>
      </w:r>
      <w:r w:rsidRPr="001139B0" w:rsidR="00F277AC">
        <w:t xml:space="preserve"> policy “that the provision of reactive power within the standard power factor range is, in the first instance, an obligation of the interconnecting generator and good utility practice.”</w:t>
      </w:r>
      <w:r w:rsidR="00F277AC">
        <w:t>)).</w:t>
      </w:r>
    </w:p>
  </w:footnote>
  <w:footnote w:id="270">
    <w:p w:rsidR="00076074" w:rsidRPr="00CD2C9F" w:rsidP="00076074" w14:paraId="76708ED5" w14:textId="39F8A145">
      <w:pPr>
        <w:pStyle w:val="FootnoteText"/>
      </w:pPr>
      <w:r w:rsidRPr="00CD2C9F">
        <w:rPr>
          <w:rStyle w:val="FootnoteReference"/>
        </w:rPr>
        <w:footnoteRef/>
      </w:r>
      <w:r w:rsidRPr="00CD2C9F">
        <w:t xml:space="preserve"> </w:t>
      </w:r>
      <w:r>
        <w:t xml:space="preserve">NOPR, </w:t>
      </w:r>
      <w:r w:rsidRPr="004F19E7">
        <w:t>186 FERC ¶</w:t>
      </w:r>
      <w:r>
        <w:t> </w:t>
      </w:r>
      <w:r w:rsidRPr="004F19E7">
        <w:t>61,203</w:t>
      </w:r>
      <w:r>
        <w:t xml:space="preserve"> at P 30; </w:t>
      </w:r>
      <w:r>
        <w:t>(</w:t>
      </w:r>
      <w:r>
        <w:t>citing</w:t>
      </w:r>
      <w:r w:rsidRPr="00CD2C9F">
        <w:t xml:space="preserve"> </w:t>
      </w:r>
      <w:r w:rsidRPr="00CD2C9F">
        <w:rPr>
          <w:iCs/>
        </w:rPr>
        <w:t xml:space="preserve">PJM IMM Initial Comments </w:t>
      </w:r>
      <w:r>
        <w:rPr>
          <w:iCs/>
        </w:rPr>
        <w:t>to the NOI</w:t>
      </w:r>
      <w:r w:rsidRPr="00CD2C9F">
        <w:rPr>
          <w:iCs/>
        </w:rPr>
        <w:t xml:space="preserve"> at 2 (“There is no reason to include complex rules that arbitrarily segregate a portion of a resource’s capital costs as related to reactive power and that require recovery of that arbitrary portion through guaranteed revenue requirement payments based on burdensome cost of service rate proceedings.”); </w:t>
      </w:r>
      <w:r w:rsidRPr="00CD2C9F">
        <w:rPr>
          <w:i/>
        </w:rPr>
        <w:t>id.</w:t>
      </w:r>
      <w:r w:rsidRPr="00CD2C9F">
        <w:t xml:space="preserve"> </w:t>
      </w:r>
      <w:r w:rsidRPr="00CD2C9F">
        <w:rPr>
          <w:iCs/>
        </w:rPr>
        <w:t xml:space="preserve">at 3, 5, 21, 24; </w:t>
      </w:r>
      <w:r w:rsidRPr="00CD2C9F">
        <w:rPr>
          <w:i/>
          <w:iCs/>
        </w:rPr>
        <w:t>Permian Basin</w:t>
      </w:r>
      <w:r w:rsidRPr="00CD2C9F">
        <w:t xml:space="preserve">, </w:t>
      </w:r>
      <w:r w:rsidR="00975A21">
        <w:t xml:space="preserve">       </w:t>
      </w:r>
      <w:r w:rsidRPr="00CD2C9F">
        <w:t>390 U.S.</w:t>
      </w:r>
      <w:r w:rsidR="007F3343">
        <w:t> </w:t>
      </w:r>
      <w:r w:rsidRPr="00CD2C9F">
        <w:t xml:space="preserve">at 804 (“There is ample support for the Commission’s judgment that the apportionment of actual costs between two jointly produced commodities, only one of which is regulated by the Commission, is intrinsically unreliable.”); Richard A. Posner, </w:t>
      </w:r>
      <w:r w:rsidRPr="00CD2C9F">
        <w:rPr>
          <w:i/>
          <w:iCs/>
        </w:rPr>
        <w:t>Natural Monopoly and Its Regulation</w:t>
      </w:r>
      <w:r w:rsidRPr="00CD2C9F">
        <w:t>, 21</w:t>
      </w:r>
      <w:r>
        <w:t xml:space="preserve"> </w:t>
      </w:r>
      <w:r w:rsidRPr="00CD2C9F">
        <w:t xml:space="preserve">Stan. L. Rev. 548, 595 (1969) (“[W]here services involve joint or common costs a rational allocation is impossible even in theory.  How much of the cost of a telephone handset is assignable to local and how much to interstate telephone service?”); </w:t>
      </w:r>
      <w:r w:rsidRPr="00CD2C9F">
        <w:rPr>
          <w:i/>
          <w:iCs/>
        </w:rPr>
        <w:t>see also</w:t>
      </w:r>
      <w:r w:rsidRPr="00CD2C9F">
        <w:t xml:space="preserve"> </w:t>
      </w:r>
      <w:r w:rsidRPr="00CD2C9F">
        <w:rPr>
          <w:i/>
          <w:iCs/>
        </w:rPr>
        <w:t>A.A. Poultry Farms, Inc. v. Rose Acre Farms, Inc.</w:t>
      </w:r>
      <w:r w:rsidRPr="00CD2C9F">
        <w:t>, 1400 (7th Cir. 1989) (“How does one allocate the cost of activities that have joint products?  Agencies engaged in ratemaking struggle with these problems for years, even decades, without producing clear answers.”)</w:t>
      </w:r>
      <w:r>
        <w:t>)</w:t>
      </w:r>
      <w:r w:rsidRPr="00CD2C9F">
        <w:t>.</w:t>
      </w:r>
    </w:p>
  </w:footnote>
  <w:footnote w:id="271">
    <w:p w:rsidR="00076074" w:rsidRPr="00CD2C9F" w:rsidP="00076074" w14:paraId="572470B9" w14:textId="05EDC6ED">
      <w:pPr>
        <w:pStyle w:val="FootnoteText"/>
        <w:rPr>
          <w:i/>
        </w:rPr>
      </w:pPr>
      <w:r w:rsidRPr="00CD2C9F">
        <w:rPr>
          <w:rStyle w:val="FootnoteReference"/>
        </w:rPr>
        <w:footnoteRef/>
      </w:r>
      <w:r w:rsidRPr="00CD2C9F">
        <w:t xml:space="preserve"> </w:t>
      </w:r>
      <w:r>
        <w:t xml:space="preserve">NOPR, </w:t>
      </w:r>
      <w:r w:rsidRPr="004F19E7">
        <w:t>186 FERC ¶</w:t>
      </w:r>
      <w:r>
        <w:t> </w:t>
      </w:r>
      <w:r w:rsidRPr="004F19E7">
        <w:t>61,203</w:t>
      </w:r>
      <w:r>
        <w:t xml:space="preserve"> at P 31 (</w:t>
      </w:r>
      <w:r w:rsidR="00455788">
        <w:t xml:space="preserve">citing </w:t>
      </w:r>
      <w:r w:rsidRPr="00CD2C9F">
        <w:t xml:space="preserve">SPP Initial Comments </w:t>
      </w:r>
      <w:r w:rsidR="00455788">
        <w:t xml:space="preserve">to NOI </w:t>
      </w:r>
      <w:r w:rsidRPr="00CD2C9F">
        <w:t>at 2;</w:t>
      </w:r>
      <w:r w:rsidRPr="00D374EE">
        <w:t xml:space="preserve"> </w:t>
      </w:r>
      <w:r w:rsidRPr="00CD2C9F">
        <w:t>PJM IMM Initial Comments</w:t>
      </w:r>
      <w:r w:rsidR="00455788">
        <w:t xml:space="preserve"> to NOI</w:t>
      </w:r>
      <w:r w:rsidRPr="00CD2C9F">
        <w:t xml:space="preserve"> at 4.</w:t>
      </w:r>
      <w:r>
        <w:t>).</w:t>
      </w:r>
    </w:p>
  </w:footnote>
  <w:footnote w:id="272">
    <w:p w:rsidR="00076074" w:rsidRPr="00CD2C9F" w:rsidP="00076074" w14:paraId="2C05400D" w14:textId="52918CC1">
      <w:pPr>
        <w:pStyle w:val="FootnoteText"/>
      </w:pPr>
      <w:r w:rsidRPr="00CD2C9F">
        <w:rPr>
          <w:rStyle w:val="FootnoteReference"/>
        </w:rPr>
        <w:footnoteRef/>
      </w:r>
      <w:r w:rsidRPr="00CD2C9F">
        <w:t xml:space="preserve"> </w:t>
      </w:r>
      <w:r w:rsidR="00193DA5">
        <w:t xml:space="preserve">Ameren Initial Comments at </w:t>
      </w:r>
      <w:r w:rsidR="00CB2EEB">
        <w:t xml:space="preserve">3; </w:t>
      </w:r>
      <w:r w:rsidR="00C22248">
        <w:t xml:space="preserve">MISO Transmission Owner Reply Comments </w:t>
      </w:r>
      <w:r w:rsidR="00975A21">
        <w:t xml:space="preserve">  </w:t>
      </w:r>
      <w:r w:rsidR="00C22248">
        <w:t>at 9</w:t>
      </w:r>
      <w:r w:rsidR="007637CD">
        <w:t xml:space="preserve">.  </w:t>
      </w:r>
      <w:r w:rsidR="007637CD">
        <w:rPr>
          <w:i/>
          <w:iCs/>
        </w:rPr>
        <w:t xml:space="preserve">See also </w:t>
      </w:r>
      <w:r w:rsidR="003F3B2D">
        <w:t xml:space="preserve">NOPR, </w:t>
      </w:r>
      <w:r w:rsidRPr="004F19E7" w:rsidR="003F3B2D">
        <w:t>186 FERC ¶</w:t>
      </w:r>
      <w:r w:rsidR="003F3B2D">
        <w:t> </w:t>
      </w:r>
      <w:r w:rsidRPr="004F19E7" w:rsidR="003F3B2D">
        <w:t>61,203</w:t>
      </w:r>
      <w:r w:rsidR="003F3B2D">
        <w:t xml:space="preserve"> at P </w:t>
      </w:r>
      <w:r w:rsidR="003F3B2D">
        <w:t xml:space="preserve">29 (citing </w:t>
      </w:r>
      <w:r w:rsidRPr="00CD2C9F">
        <w:t>E</w:t>
      </w:r>
      <w:r>
        <w:t xml:space="preserve">dison </w:t>
      </w:r>
      <w:r w:rsidRPr="00CD2C9F">
        <w:t>E</w:t>
      </w:r>
      <w:r>
        <w:t xml:space="preserve">lectric </w:t>
      </w:r>
      <w:r w:rsidR="00455788">
        <w:t>I</w:t>
      </w:r>
      <w:r>
        <w:t>nstitute</w:t>
      </w:r>
      <w:r w:rsidRPr="00CD2C9F">
        <w:t xml:space="preserve"> Initial Comments </w:t>
      </w:r>
      <w:r>
        <w:t xml:space="preserve">to the NOI </w:t>
      </w:r>
      <w:r w:rsidRPr="00CD2C9F">
        <w:t>at 6</w:t>
      </w:r>
      <w:r w:rsidR="003F3B2D">
        <w:t>)</w:t>
      </w:r>
      <w:r w:rsidRPr="00CD2C9F">
        <w:t>.</w:t>
      </w:r>
    </w:p>
  </w:footnote>
  <w:footnote w:id="273">
    <w:p w:rsidR="00076074" w:rsidRPr="00CD2C9F" w:rsidP="00076074" w14:paraId="6076FA34" w14:textId="77777777">
      <w:pPr>
        <w:pStyle w:val="FootnoteText"/>
      </w:pPr>
      <w:r w:rsidRPr="00CD2C9F">
        <w:rPr>
          <w:rStyle w:val="FootnoteReference"/>
        </w:rPr>
        <w:footnoteRef/>
      </w:r>
      <w:r w:rsidRPr="00CD2C9F">
        <w:t xml:space="preserve"> Duke Energy Corporation Initial Comments </w:t>
      </w:r>
      <w:r>
        <w:t xml:space="preserve">to the NOI </w:t>
      </w:r>
      <w:r w:rsidRPr="00CD2C9F">
        <w:t>at 4.</w:t>
      </w:r>
    </w:p>
  </w:footnote>
  <w:footnote w:id="274">
    <w:p w:rsidR="00076074" w:rsidRPr="00CD2C9F" w:rsidP="00076074" w14:paraId="4F6981AB" w14:textId="175FE48F">
      <w:pPr>
        <w:pStyle w:val="FootnoteText"/>
      </w:pPr>
      <w:r w:rsidRPr="00CD2C9F">
        <w:rPr>
          <w:rStyle w:val="FootnoteReference"/>
        </w:rPr>
        <w:footnoteRef/>
      </w:r>
      <w:r w:rsidRPr="00CD2C9F">
        <w:t xml:space="preserve"> </w:t>
      </w:r>
      <w:r w:rsidR="000B7628">
        <w:rPr>
          <w:i/>
          <w:iCs/>
        </w:rPr>
        <w:t>See, e</w:t>
      </w:r>
      <w:r w:rsidRPr="009D1A83" w:rsidR="000B7628">
        <w:rPr>
          <w:i/>
          <w:iCs/>
        </w:rPr>
        <w:t>.g.</w:t>
      </w:r>
      <w:r w:rsidRPr="00C06B6B" w:rsidR="000B7628">
        <w:t>,</w:t>
      </w:r>
      <w:r w:rsidR="000B7628">
        <w:rPr>
          <w:i/>
          <w:iCs/>
        </w:rPr>
        <w:t xml:space="preserve"> </w:t>
      </w:r>
      <w:r w:rsidR="000B7628">
        <w:t xml:space="preserve">MISO Transmission Owners Initial Comments </w:t>
      </w:r>
      <w:r w:rsidRPr="009D1A83" w:rsidR="000B7628">
        <w:t>at 7 (“</w:t>
      </w:r>
      <w:r w:rsidRPr="009D1A83" w:rsidR="00050149">
        <w:t>[E]</w:t>
      </w:r>
      <w:r w:rsidRPr="009D1A83" w:rsidR="000B7628">
        <w:t>ven</w:t>
      </w:r>
      <w:r w:rsidRPr="00410529" w:rsidR="000B7628">
        <w:t xml:space="preserve"> newer wind turbines use inverters that allow for the generator to produce and control reactive power without costly additional equipment.</w:t>
      </w:r>
      <w:r w:rsidR="000B7628">
        <w:t>)</w:t>
      </w:r>
      <w:r w:rsidR="00B67EE5">
        <w:t>;</w:t>
      </w:r>
      <w:r w:rsidR="000029BC">
        <w:t xml:space="preserve">  </w:t>
      </w:r>
      <w:r w:rsidR="00B67EE5">
        <w:rPr>
          <w:i/>
          <w:iCs/>
        </w:rPr>
        <w:t>s</w:t>
      </w:r>
      <w:r w:rsidRPr="00CD2C9F">
        <w:rPr>
          <w:i/>
          <w:iCs/>
        </w:rPr>
        <w:t>ee</w:t>
      </w:r>
      <w:r w:rsidRPr="00CD2C9F">
        <w:t xml:space="preserve"> </w:t>
      </w:r>
      <w:r w:rsidRPr="00CD2C9F">
        <w:rPr>
          <w:i/>
          <w:iCs/>
        </w:rPr>
        <w:t>also</w:t>
      </w:r>
      <w:r w:rsidRPr="00CD2C9F">
        <w:t xml:space="preserve"> MISO Rehearing Order, 184</w:t>
      </w:r>
      <w:r w:rsidR="00050149">
        <w:t> </w:t>
      </w:r>
      <w:r w:rsidRPr="00CD2C9F">
        <w:t>FERC ¶ 61,022 at P</w:t>
      </w:r>
      <w:r>
        <w:t> </w:t>
      </w:r>
      <w:r w:rsidRPr="00CD2C9F">
        <w:t>30 (“As to</w:t>
      </w:r>
      <w:r w:rsidR="00C109FD">
        <w:t xml:space="preserve"> </w:t>
      </w:r>
      <w:r w:rsidRPr="00CD2C9F">
        <w:t>non-synchronous resources, the principal piece of equipment required for non-synchronous resources to produce reactive power is the inverter,</w:t>
      </w:r>
      <w:r>
        <w:t xml:space="preserve"> </w:t>
      </w:r>
      <w:r w:rsidRPr="00CD2C9F">
        <w:t xml:space="preserve">which is already necessary to convert the direct current produced by </w:t>
      </w:r>
      <w:r w:rsidR="00975A21">
        <w:t xml:space="preserve">             </w:t>
      </w:r>
      <w:r w:rsidRPr="00CD2C9F">
        <w:t xml:space="preserve">non-synchronous resources to alternating current— i.e., to supply real power that can be injected into alternating current power systems. </w:t>
      </w:r>
      <w:r>
        <w:t xml:space="preserve"> </w:t>
      </w:r>
      <w:r w:rsidRPr="00CD2C9F">
        <w:t>On rehearing and in earlier protests, no party points to any other equipment costs incurred by non-synchronous generating facilities that are attributable to providing Reactive Service.” (citations omitted)).</w:t>
      </w:r>
    </w:p>
  </w:footnote>
  <w:footnote w:id="275">
    <w:p w:rsidR="00076074" w:rsidRPr="00CD2C9F" w:rsidP="00076074" w14:paraId="1DA062BA" w14:textId="77777777">
      <w:pPr>
        <w:pStyle w:val="FootnoteText"/>
      </w:pPr>
      <w:r w:rsidRPr="00CD2C9F">
        <w:rPr>
          <w:rStyle w:val="FootnoteReference"/>
        </w:rPr>
        <w:footnoteRef/>
      </w:r>
      <w:r w:rsidRPr="00CD2C9F">
        <w:t xml:space="preserve"> PJM IMM Initial Comments </w:t>
      </w:r>
      <w:r>
        <w:t xml:space="preserve">to the NOI </w:t>
      </w:r>
      <w:r w:rsidRPr="00CD2C9F">
        <w:t xml:space="preserve">at 4; </w:t>
      </w:r>
      <w:r w:rsidRPr="00CD2C9F">
        <w:rPr>
          <w:i/>
          <w:iCs/>
        </w:rPr>
        <w:t>see also</w:t>
      </w:r>
      <w:r w:rsidRPr="00CD2C9F">
        <w:t xml:space="preserve"> MISO Transmission Owners Reply Comments at 7-8.</w:t>
      </w:r>
    </w:p>
  </w:footnote>
  <w:footnote w:id="276">
    <w:p w:rsidR="00076074" w:rsidRPr="00CD2C9F" w:rsidP="003428D4" w14:paraId="2CF838BD" w14:textId="10F55333">
      <w:pPr>
        <w:pStyle w:val="FootnoteText"/>
        <w:widowControl/>
      </w:pPr>
      <w:r w:rsidRPr="00CD2C9F">
        <w:rPr>
          <w:rStyle w:val="FootnoteReference"/>
        </w:rPr>
        <w:footnoteRef/>
      </w:r>
      <w:r w:rsidRPr="00CD2C9F">
        <w:t xml:space="preserve"> </w:t>
      </w:r>
      <w:r w:rsidR="00C07B3A">
        <w:t>MISO Transmission Owners Initial Comments at 6 (“</w:t>
      </w:r>
      <w:r w:rsidRPr="00F210BC" w:rsidR="00C07B3A">
        <w:t>The MISO Transmission Owners’ experience supports the Commission’s</w:t>
      </w:r>
      <w:r w:rsidR="00C07B3A">
        <w:t xml:space="preserve"> </w:t>
      </w:r>
      <w:r w:rsidRPr="00F210BC" w:rsidR="00C07B3A">
        <w:t>preliminary finding that providing reactive power within the standard power factor range</w:t>
      </w:r>
      <w:r w:rsidR="00C07B3A">
        <w:t xml:space="preserve"> </w:t>
      </w:r>
      <w:r w:rsidRPr="00F210BC" w:rsidR="00C07B3A">
        <w:t>requires little or no cost to generators. Generators incur little or no costs beyond what is</w:t>
      </w:r>
      <w:r w:rsidR="00C07B3A">
        <w:t xml:space="preserve"> </w:t>
      </w:r>
      <w:r w:rsidRPr="00F210BC" w:rsidR="00C07B3A">
        <w:t>already needed to produce real power because the same equipment used to produce real</w:t>
      </w:r>
      <w:r w:rsidR="00C07B3A">
        <w:t xml:space="preserve"> </w:t>
      </w:r>
      <w:r w:rsidRPr="00F210BC" w:rsidR="00C07B3A">
        <w:t>power includes reactive power functions.</w:t>
      </w:r>
      <w:r w:rsidR="00C07B3A">
        <w:t xml:space="preserve">” (citations omitted)); PJM IMM Reply Comments at 3 (“Neither [Indicated Trade Associations] </w:t>
      </w:r>
      <w:r w:rsidRPr="001C0FE7" w:rsidR="00C07B3A">
        <w:t>nor any other opposing</w:t>
      </w:r>
      <w:r w:rsidR="00C07B3A">
        <w:t xml:space="preserve"> </w:t>
      </w:r>
      <w:r w:rsidRPr="001C0FE7" w:rsidR="00C07B3A">
        <w:t>commenter, nor any of the precedent relied upon by opposing commenters, identify any</w:t>
      </w:r>
      <w:r w:rsidR="00C07B3A">
        <w:t xml:space="preserve"> </w:t>
      </w:r>
      <w:r w:rsidRPr="001C0FE7" w:rsidR="00C07B3A">
        <w:t>additional costs or more than de minimis costs incurred by generators in order to provide</w:t>
      </w:r>
      <w:r w:rsidR="00C07B3A">
        <w:t xml:space="preserve"> </w:t>
      </w:r>
      <w:r w:rsidRPr="001C0FE7" w:rsidR="00C07B3A">
        <w:t>reactive capability</w:t>
      </w:r>
      <w:r w:rsidRPr="001C0FE7" w:rsidR="00C07B3A">
        <w:t>.</w:t>
      </w:r>
      <w:r w:rsidR="00C07B3A">
        <w:t>”)</w:t>
      </w:r>
      <w:r w:rsidR="00E65E83">
        <w:t xml:space="preserve">; MISO Transmission Owners Reply Comments at </w:t>
      </w:r>
      <w:r w:rsidR="00376FBD">
        <w:t>9-10 &amp; n.29</w:t>
      </w:r>
      <w:r w:rsidR="00C07B3A">
        <w:t>.</w:t>
      </w:r>
      <w:r w:rsidR="001D4DD2">
        <w:t xml:space="preserve">  </w:t>
      </w:r>
      <w:r w:rsidRPr="00CD2C9F">
        <w:rPr>
          <w:i/>
          <w:iCs/>
        </w:rPr>
        <w:t>See</w:t>
      </w:r>
      <w:r w:rsidR="0027088B">
        <w:rPr>
          <w:i/>
          <w:iCs/>
        </w:rPr>
        <w:t xml:space="preserve"> also</w:t>
      </w:r>
      <w:r w:rsidRPr="00CD2C9F">
        <w:t>,</w:t>
      </w:r>
      <w:r w:rsidRPr="00CD2C9F">
        <w:rPr>
          <w:i/>
          <w:iCs/>
        </w:rPr>
        <w:t xml:space="preserve"> BPA</w:t>
      </w:r>
      <w:r w:rsidRPr="00CD2C9F">
        <w:t>, 120</w:t>
      </w:r>
      <w:r w:rsidR="00BA1679">
        <w:t> </w:t>
      </w:r>
      <w:r w:rsidRPr="00CD2C9F">
        <w:t xml:space="preserve">FERC ¶ 61,211 at P 21 (finding that the incremental cost of reactive power service within the deadband is minimal); </w:t>
      </w:r>
      <w:r w:rsidR="00B46770">
        <w:t>METC Rehearing Order</w:t>
      </w:r>
      <w:r w:rsidRPr="00CD2C9F">
        <w:t>, 97 FERC at 61,852-53 (“[R]eactive power provided, not as an ancillary service, but rather as a “no cost” service within reactive design limitations, may therefore, be provided without compensation</w:t>
      </w:r>
      <w:r>
        <w:t>.</w:t>
      </w:r>
      <w:r w:rsidRPr="00CD2C9F">
        <w:t xml:space="preserve">”); </w:t>
      </w:r>
      <w:r w:rsidRPr="00CD2C9F">
        <w:rPr>
          <w:i/>
        </w:rPr>
        <w:t>A</w:t>
      </w:r>
      <w:r w:rsidR="00C8365D">
        <w:rPr>
          <w:i/>
        </w:rPr>
        <w:t>PS</w:t>
      </w:r>
      <w:r w:rsidRPr="00CD2C9F">
        <w:t xml:space="preserve">, </w:t>
      </w:r>
      <w:r w:rsidR="00975A21">
        <w:t xml:space="preserve">   </w:t>
      </w:r>
      <w:r w:rsidRPr="00CD2C9F">
        <w:t>94 FERC at 61,080 (rejecting generators’ arguments for reactive power compensation for operating within standard power factor range because the generators failed to demonstrate that “such a requirement will limit the real power output of a generating unit and therefore will not result in any lost opportunity costs” or that operating a generating unit within the proposed standard power factor range will “affect the generation output of a unit”).</w:t>
      </w:r>
    </w:p>
  </w:footnote>
  <w:footnote w:id="277">
    <w:p w:rsidR="002B1276" w:rsidP="002B1276" w14:paraId="46647FED" w14:textId="1D6713D3">
      <w:pPr>
        <w:pStyle w:val="FootnoteText"/>
      </w:pPr>
      <w:r>
        <w:rPr>
          <w:rStyle w:val="FootnoteReference"/>
        </w:rPr>
        <w:footnoteRef/>
      </w:r>
      <w:r>
        <w:t xml:space="preserve"> NOPR, </w:t>
      </w:r>
      <w:r w:rsidRPr="00BA48E3">
        <w:t>186 FERC ¶ 61,203</w:t>
      </w:r>
      <w:r>
        <w:t xml:space="preserve"> at P</w:t>
      </w:r>
      <w:r w:rsidR="00C8365D">
        <w:t>P</w:t>
      </w:r>
      <w:r>
        <w:t> </w:t>
      </w:r>
      <w:r w:rsidRPr="00BC1F48">
        <w:t>8,</w:t>
      </w:r>
      <w:r>
        <w:t xml:space="preserve"> </w:t>
      </w:r>
      <w:r w:rsidR="00FF5405">
        <w:t>28</w:t>
      </w:r>
      <w:r>
        <w:t>.</w:t>
      </w:r>
    </w:p>
  </w:footnote>
  <w:footnote w:id="278">
    <w:p w:rsidR="00057A27" w:rsidP="00057A27" w14:paraId="6666D566" w14:textId="524A6E57">
      <w:pPr>
        <w:pStyle w:val="FootnoteText"/>
      </w:pPr>
      <w:r>
        <w:rPr>
          <w:rStyle w:val="FootnoteReference"/>
        </w:rPr>
        <w:footnoteRef/>
      </w:r>
      <w:r>
        <w:t xml:space="preserve"> </w:t>
      </w:r>
      <w:r w:rsidR="00164481">
        <w:t>T</w:t>
      </w:r>
      <w:r>
        <w:t xml:space="preserve">he only incremental costs identified in the NOPR were heating losses.  NOPR, </w:t>
      </w:r>
      <w:r w:rsidRPr="004406A6">
        <w:t>186 FERC ¶ 61,203</w:t>
      </w:r>
      <w:r>
        <w:t xml:space="preserve"> at P 28 &amp; n.74.</w:t>
      </w:r>
    </w:p>
  </w:footnote>
  <w:footnote w:id="279">
    <w:p w:rsidR="001F006E" w:rsidP="001F006E" w14:paraId="5C8004AF" w14:textId="1F742ED5">
      <w:pPr>
        <w:pStyle w:val="FootnoteText"/>
      </w:pPr>
      <w:r>
        <w:rPr>
          <w:rStyle w:val="FootnoteReference"/>
        </w:rPr>
        <w:footnoteRef/>
      </w:r>
      <w:r w:rsidR="007A72B8">
        <w:t xml:space="preserve"> Eagle Creek Initial Comments at 3-4; </w:t>
      </w:r>
      <w:r w:rsidRPr="00E5275F">
        <w:t>Generation Developers Initial Comments at 13</w:t>
      </w:r>
      <w:r>
        <w:t xml:space="preserve">; </w:t>
      </w:r>
      <w:r w:rsidRPr="00E5275F">
        <w:t>Glenvale Initial Comment</w:t>
      </w:r>
      <w:r>
        <w:t>s</w:t>
      </w:r>
      <w:r w:rsidRPr="00E5275F">
        <w:t xml:space="preserve"> at 9-10</w:t>
      </w:r>
      <w:r w:rsidRPr="00955FFD" w:rsidR="00955FFD">
        <w:rPr>
          <w:szCs w:val="26"/>
        </w:rPr>
        <w:t xml:space="preserve"> </w:t>
      </w:r>
      <w:r w:rsidRPr="007C2B93" w:rsidR="00955FFD">
        <w:rPr>
          <w:szCs w:val="26"/>
        </w:rPr>
        <w:t xml:space="preserve">Indicated Trade Associations Initial Comments at </w:t>
      </w:r>
      <w:r w:rsidRPr="007C2B93" w:rsidR="007A72B8">
        <w:rPr>
          <w:szCs w:val="26"/>
        </w:rPr>
        <w:t>7</w:t>
      </w:r>
      <w:r w:rsidR="00955FFD">
        <w:rPr>
          <w:szCs w:val="26"/>
        </w:rPr>
        <w:t>-12</w:t>
      </w:r>
      <w:r w:rsidR="007A72B8">
        <w:rPr>
          <w:szCs w:val="26"/>
        </w:rPr>
        <w:t>;</w:t>
      </w:r>
      <w:r w:rsidRPr="0084160D" w:rsidR="007A72B8">
        <w:t xml:space="preserve"> </w:t>
      </w:r>
      <w:r w:rsidR="007A72B8">
        <w:t>Middle River Power Initial Comments at 2-3.</w:t>
      </w:r>
    </w:p>
  </w:footnote>
  <w:footnote w:id="280">
    <w:p w:rsidR="00214744" w:rsidP="003428D4" w14:paraId="777D0836" w14:textId="37116D3C">
      <w:pPr>
        <w:pStyle w:val="FootnoteText"/>
        <w:widowControl/>
      </w:pPr>
      <w:r w:rsidRPr="01D5E437">
        <w:rPr>
          <w:rStyle w:val="FootnoteReference"/>
        </w:rPr>
        <w:footnoteRef/>
      </w:r>
      <w:r>
        <w:t xml:space="preserve"> </w:t>
      </w:r>
      <w:r w:rsidR="00E33879">
        <w:rPr>
          <w:i/>
          <w:iCs/>
        </w:rPr>
        <w:t>See</w:t>
      </w:r>
      <w:r>
        <w:rPr>
          <w:i/>
        </w:rPr>
        <w:t xml:space="preserve"> </w:t>
      </w:r>
      <w:r>
        <w:t>Clean Energy Associations Initial Comments at 6-7</w:t>
      </w:r>
      <w:r w:rsidR="00E33879">
        <w:t xml:space="preserve"> </w:t>
      </w:r>
      <w:r w:rsidRPr="009C23BD" w:rsidR="00C22C11">
        <w:t>(</w:t>
      </w:r>
      <w:r w:rsidRPr="00C06B6B" w:rsidR="00B95C5F">
        <w:t>“</w:t>
      </w:r>
      <w:r w:rsidRPr="00035E1E" w:rsidR="00035E1E">
        <w:t xml:space="preserve">However, during certain generating facility and grid operating conditions, when the generator provides an actual service (i.e., injects reactive power to support voltage) it could come at the cost of production of real power. </w:t>
      </w:r>
      <w:r w:rsidR="006D1B15">
        <w:t xml:space="preserve"> </w:t>
      </w:r>
      <w:r w:rsidRPr="00035E1E" w:rsidR="00035E1E">
        <w:t xml:space="preserve">During that time, reactive power is prioritized and real power generated by the plant may be limited. </w:t>
      </w:r>
      <w:r w:rsidR="00DF2A4F">
        <w:t xml:space="preserve"> </w:t>
      </w:r>
      <w:r w:rsidRPr="00035E1E" w:rsidR="00035E1E">
        <w:t xml:space="preserve">In such a case the generation facility is prioritizing the utilization of their asset to assist or enhance grid stability at the cost of their revenue, which is primarily obtained from real power sales. </w:t>
      </w:r>
      <w:r w:rsidR="006D1B15">
        <w:t xml:space="preserve"> </w:t>
      </w:r>
      <w:r w:rsidRPr="00035E1E" w:rsidR="00035E1E">
        <w:t>The Commission</w:t>
      </w:r>
      <w:r w:rsidR="009C23BD">
        <w:t xml:space="preserve"> </w:t>
      </w:r>
      <w:r w:rsidRPr="009C23BD" w:rsidR="009C23BD">
        <w:t>should consider this opportunity cost in the context of interconnection customers that participate in regional wholesale markets.</w:t>
      </w:r>
      <w:r w:rsidR="006D1B15">
        <w:t>”</w:t>
      </w:r>
      <w:r w:rsidR="00C22C11">
        <w:t>)</w:t>
      </w:r>
    </w:p>
  </w:footnote>
  <w:footnote w:id="281">
    <w:p w:rsidR="000611B5" w:rsidP="000611B5" w14:paraId="63A815F5" w14:textId="1FD260DD">
      <w:pPr>
        <w:pStyle w:val="FootnoteText"/>
      </w:pPr>
      <w:r>
        <w:rPr>
          <w:rStyle w:val="FootnoteReference"/>
        </w:rPr>
        <w:footnoteRef/>
      </w:r>
      <w:r>
        <w:t xml:space="preserve"> </w:t>
      </w:r>
      <w:r>
        <w:rPr>
          <w:i/>
          <w:iCs/>
        </w:rPr>
        <w:t>See, e.g.</w:t>
      </w:r>
      <w:r w:rsidRPr="001A4AF6">
        <w:t>,</w:t>
      </w:r>
      <w:r>
        <w:t xml:space="preserve"> Indicated Reactive </w:t>
      </w:r>
      <w:r w:rsidR="00C22C11">
        <w:t>Power</w:t>
      </w:r>
      <w:r>
        <w:t xml:space="preserve"> Suppliers Initial Comments at 10 (“</w:t>
      </w:r>
      <w:r w:rsidRPr="00DF098F">
        <w:t xml:space="preserve">Stripping generators of the ability to be compensated for reactive power supply, including lost opportunity costs, within the </w:t>
      </w:r>
      <w:r>
        <w:t>[standard power factor range]</w:t>
      </w:r>
      <w:r w:rsidRPr="00DF098F">
        <w:t xml:space="preserve"> is not just and reasonable and not supported by the record.</w:t>
      </w:r>
      <w:r>
        <w:t>”); Indicated Trade Associations Initial Comments at 11 (“</w:t>
      </w:r>
      <w:r w:rsidRPr="002B62EC">
        <w:t>The NOPR also completely ignores the fact that the provision of reactive power within the deadband represents a lost opportunity to produce real power, thereby resulting in lost opportunity costs.</w:t>
      </w:r>
      <w:r>
        <w:t>”).</w:t>
      </w:r>
    </w:p>
  </w:footnote>
  <w:footnote w:id="282">
    <w:p w:rsidR="000611B5" w:rsidRPr="00B75EBB" w:rsidP="000611B5" w14:paraId="5D018F5C" w14:textId="69B13FA4">
      <w:pPr>
        <w:pStyle w:val="FootnoteText"/>
        <w:rPr>
          <w:i/>
          <w:iCs/>
        </w:rPr>
      </w:pPr>
      <w:r>
        <w:rPr>
          <w:rStyle w:val="FootnoteReference"/>
        </w:rPr>
        <w:footnoteRef/>
      </w:r>
      <w:r>
        <w:t xml:space="preserve"> </w:t>
      </w:r>
      <w:r>
        <w:rPr>
          <w:i/>
          <w:iCs/>
        </w:rPr>
        <w:t xml:space="preserve">See, e.g., </w:t>
      </w:r>
      <w:r w:rsidRPr="00B75EBB">
        <w:t>NOPR</w:t>
      </w:r>
      <w:r>
        <w:t>,</w:t>
      </w:r>
      <w:r w:rsidRPr="00B75EBB">
        <w:t xml:space="preserve"> </w:t>
      </w:r>
      <w:r w:rsidRPr="00B52170">
        <w:t>186 FERC ¶ 61,203</w:t>
      </w:r>
      <w:r w:rsidRPr="00B75EBB">
        <w:t xml:space="preserve"> at P 32 (</w:t>
      </w:r>
      <w:r>
        <w:t>“[I]</w:t>
      </w:r>
      <w:r w:rsidRPr="00B75EBB">
        <w:t xml:space="preserve">f the transmission provider requires a generating facility to provide reactive power outside of the standard power factor range, the generating facility may have to </w:t>
      </w:r>
      <w:r>
        <w:t>‘</w:t>
      </w:r>
      <w:r w:rsidRPr="00B75EBB">
        <w:t>reduce its MW output in order to comply with such an instruction[,]</w:t>
      </w:r>
      <w:r>
        <w:t>’</w:t>
      </w:r>
      <w:r w:rsidRPr="00B75EBB">
        <w:t xml:space="preserve"> which could limit the generating facility’s opportunity to receive compensation for real power sales</w:t>
      </w:r>
      <w:r>
        <w:t xml:space="preserve">.”) (citing </w:t>
      </w:r>
      <w:r w:rsidRPr="00D74A5C">
        <w:t xml:space="preserve">CAISO Initial Comments </w:t>
      </w:r>
      <w:r w:rsidR="00F23FBD">
        <w:t xml:space="preserve">to NOI </w:t>
      </w:r>
      <w:r w:rsidRPr="00D74A5C">
        <w:t>at 4</w:t>
      </w:r>
      <w:r>
        <w:t>).</w:t>
      </w:r>
    </w:p>
  </w:footnote>
  <w:footnote w:id="283">
    <w:p w:rsidR="001858D4" w:rsidRPr="009955E0" w:rsidP="00975A21" w14:paraId="7DAE61A5" w14:textId="7715BAD5">
      <w:pPr>
        <w:pStyle w:val="FootnoteText"/>
        <w:widowControl/>
      </w:pPr>
      <w:r>
        <w:rPr>
          <w:rStyle w:val="FootnoteReference"/>
        </w:rPr>
        <w:footnoteRef/>
      </w:r>
      <w:r>
        <w:t xml:space="preserve"> </w:t>
      </w:r>
      <w:r>
        <w:rPr>
          <w:i/>
          <w:iCs/>
        </w:rPr>
        <w:t>See, e.g.</w:t>
      </w:r>
      <w:r>
        <w:t>, MISO Rehearing Order, 184 FERC ¶ 61,022 at P 29 (“</w:t>
      </w:r>
      <w:r w:rsidRPr="006853EA">
        <w:t>We continue to conclude, and the record establishes, that Reactive Service requires little or no incremental investment</w:t>
      </w:r>
      <w:r>
        <w:t xml:space="preserve">.”); </w:t>
      </w:r>
      <w:r w:rsidR="00EA7A71">
        <w:t>METC Rehearing Order</w:t>
      </w:r>
      <w:r w:rsidRPr="00CD2C9F" w:rsidR="00771F16">
        <w:t>, 97 FERC at 61,852-53 (“[R]eactive power provided, not as an ancillary service, but rather as a “no cost” service within reactive design limitations, may therefore, be provided without compensation</w:t>
      </w:r>
      <w:r w:rsidR="00771F16">
        <w:t>.</w:t>
      </w:r>
      <w:r w:rsidRPr="00CD2C9F" w:rsidR="00771F16">
        <w:t xml:space="preserve">”); </w:t>
      </w:r>
      <w:r w:rsidRPr="00CD2C9F" w:rsidR="00771F16">
        <w:rPr>
          <w:i/>
        </w:rPr>
        <w:t>A</w:t>
      </w:r>
      <w:r w:rsidR="00F34CEE">
        <w:rPr>
          <w:i/>
        </w:rPr>
        <w:t>PS</w:t>
      </w:r>
      <w:r w:rsidRPr="00CD2C9F" w:rsidR="00771F16">
        <w:t xml:space="preserve">, </w:t>
      </w:r>
      <w:r w:rsidR="00975A21">
        <w:t xml:space="preserve"> </w:t>
      </w:r>
      <w:r w:rsidRPr="00CD2C9F" w:rsidR="00771F16">
        <w:t>94 FERC at 61,080 (rejecting generators’ arguments for reactive power compensation for operating within standard power factor range because the generators failed to demonstrate that “such a requirement will limit the real power output of a generating unit and therefore will not result in any lost opportunity costs” or that operating a generating unit within the proposed standard power factor range will “affect the generation output of a unit”)</w:t>
      </w:r>
      <w:r w:rsidR="0038057C">
        <w:t>;</w:t>
      </w:r>
      <w:r w:rsidR="00A12008">
        <w:t xml:space="preserve"> </w:t>
      </w:r>
      <w:r>
        <w:rPr>
          <w:i/>
          <w:iCs/>
        </w:rPr>
        <w:t>BPA</w:t>
      </w:r>
      <w:r>
        <w:t>, 120 FERC ¶ 61,211 at P 21 (“</w:t>
      </w:r>
      <w:r w:rsidR="00BB7DF6">
        <w:t>[T]</w:t>
      </w:r>
      <w:r w:rsidRPr="00540281">
        <w:t xml:space="preserve">he incremental cost of reactive power service within the </w:t>
      </w:r>
      <w:r>
        <w:t>[standard power factor range]</w:t>
      </w:r>
      <w:r w:rsidRPr="00540281">
        <w:t xml:space="preserve"> is minimal</w:t>
      </w:r>
      <w:r w:rsidR="00BB7DF6">
        <w:t>.</w:t>
      </w:r>
      <w:r>
        <w:t>”).</w:t>
      </w:r>
      <w:r w:rsidR="00A12008">
        <w:t xml:space="preserve">  </w:t>
      </w:r>
      <w:r w:rsidR="00A12008">
        <w:rPr>
          <w:i/>
          <w:iCs/>
        </w:rPr>
        <w:t>Se</w:t>
      </w:r>
      <w:r w:rsidRPr="001448E2" w:rsidR="00A12008">
        <w:rPr>
          <w:i/>
          <w:iCs/>
        </w:rPr>
        <w:t>e</w:t>
      </w:r>
      <w:r w:rsidR="00A12008">
        <w:rPr>
          <w:i/>
          <w:iCs/>
        </w:rPr>
        <w:t xml:space="preserve"> also </w:t>
      </w:r>
      <w:r w:rsidRPr="006056E4" w:rsidR="00A12008">
        <w:rPr>
          <w:i/>
        </w:rPr>
        <w:t>S. Co. Servs., Inc.</w:t>
      </w:r>
      <w:r w:rsidRPr="004D11CF" w:rsidR="00A12008">
        <w:t>, 80 FERC at 62,091</w:t>
      </w:r>
      <w:r w:rsidR="00A12008">
        <w:t xml:space="preserve"> </w:t>
      </w:r>
      <w:r w:rsidRPr="001448E2" w:rsidR="00A12008">
        <w:t>(noting also that the primary function of a generating plants is to produce real power; thus, if costs were allocated based on the “predominant” function of the equipment, “all of the costs of generation would thus be assigned to real power production and there would be no basis for any separate reactive power charge”)</w:t>
      </w:r>
      <w:r w:rsidR="000321FA">
        <w:t>.</w:t>
      </w:r>
    </w:p>
  </w:footnote>
  <w:footnote w:id="284">
    <w:p w:rsidR="00196AE9" w:rsidP="00196AE9" w14:paraId="7627D56B" w14:textId="11C76A93">
      <w:pPr>
        <w:pStyle w:val="FootnoteText"/>
      </w:pPr>
      <w:r>
        <w:rPr>
          <w:rStyle w:val="FootnoteReference"/>
        </w:rPr>
        <w:footnoteRef/>
      </w:r>
      <w:r>
        <w:t xml:space="preserve"> MISO Transmission Owners Initial Comments at 7 (citing </w:t>
      </w:r>
      <w:r w:rsidRPr="001E4437">
        <w:t>MISO Rehearing Order</w:t>
      </w:r>
      <w:r w:rsidR="000F64B3">
        <w:t>,</w:t>
      </w:r>
      <w:r w:rsidR="002C6CF1">
        <w:t xml:space="preserve"> </w:t>
      </w:r>
      <w:r w:rsidRPr="002C6CF1" w:rsidR="002C6CF1">
        <w:t>184 FERC ¶ 61,022</w:t>
      </w:r>
      <w:r w:rsidRPr="001E4437">
        <w:t xml:space="preserve"> at P 30 n.98 </w:t>
      </w:r>
      <w:r>
        <w:t>(</w:t>
      </w:r>
      <w:r w:rsidRPr="00E55EE4">
        <w:t>“[O]lder wind generators could not produce and control reactive power without the use of costly equipment [ ] because they did not use inverters like other non-synchronous generators but modern turbines now use inverters and newer wind generators now can.</w:t>
      </w:r>
      <w:r>
        <w:t>”)).</w:t>
      </w:r>
    </w:p>
  </w:footnote>
  <w:footnote w:id="285">
    <w:p w:rsidR="00D4567C" w:rsidP="00D4567C" w14:paraId="3DB16398" w14:textId="765AE6F8">
      <w:pPr>
        <w:pStyle w:val="FootnoteText"/>
      </w:pPr>
      <w:r>
        <w:rPr>
          <w:rStyle w:val="FootnoteReference"/>
        </w:rPr>
        <w:footnoteRef/>
      </w:r>
      <w:r>
        <w:t xml:space="preserve"> </w:t>
      </w:r>
      <w:r w:rsidR="000E7875">
        <w:t>METC Rehearing Order</w:t>
      </w:r>
      <w:r w:rsidRPr="00CD2C9F">
        <w:t>, 97 FERC at 61,852-53</w:t>
      </w:r>
      <w:r>
        <w:t>.</w:t>
      </w:r>
    </w:p>
  </w:footnote>
  <w:footnote w:id="286">
    <w:p w:rsidR="00766F68" w:rsidP="00766F68" w14:paraId="188536DF" w14:textId="77777777">
      <w:pPr>
        <w:pStyle w:val="FootnoteText"/>
      </w:pPr>
      <w:r>
        <w:rPr>
          <w:rStyle w:val="FootnoteReference"/>
        </w:rPr>
        <w:footnoteRef/>
      </w:r>
      <w:r>
        <w:t xml:space="preserve"> Generation Developers Initial Comments at 15.</w:t>
      </w:r>
    </w:p>
  </w:footnote>
  <w:footnote w:id="287">
    <w:p w:rsidR="00766F68" w:rsidP="00766F68" w14:paraId="4996BB70" w14:textId="65ABD5F9">
      <w:pPr>
        <w:pStyle w:val="FootnoteText"/>
      </w:pPr>
      <w:r>
        <w:rPr>
          <w:rStyle w:val="FootnoteReference"/>
        </w:rPr>
        <w:footnoteRef/>
      </w:r>
      <w:r>
        <w:t xml:space="preserve"> </w:t>
      </w:r>
      <w:r w:rsidR="002C6CF1">
        <w:rPr>
          <w:i/>
          <w:iCs/>
        </w:rPr>
        <w:t>Id.</w:t>
      </w:r>
      <w:r>
        <w:t xml:space="preserve"> at 16 (citing </w:t>
      </w:r>
      <w:r>
        <w:rPr>
          <w:i/>
          <w:iCs/>
        </w:rPr>
        <w:t>BPA</w:t>
      </w:r>
      <w:r w:rsidRPr="007F0209">
        <w:t xml:space="preserve">, 120 FERC ¶ 61,211; </w:t>
      </w:r>
      <w:r w:rsidR="0015271C">
        <w:t>METC Rehearing Order</w:t>
      </w:r>
      <w:r w:rsidRPr="007F0209">
        <w:t xml:space="preserve">, 97 FERC at 61,852-53; </w:t>
      </w:r>
      <w:r w:rsidR="0072775B">
        <w:rPr>
          <w:i/>
          <w:iCs/>
        </w:rPr>
        <w:t>APS</w:t>
      </w:r>
      <w:r w:rsidRPr="007F0209">
        <w:t>, 94 FERC at 61,080)</w:t>
      </w:r>
      <w:r>
        <w:t>.</w:t>
      </w:r>
      <w:r w:rsidRPr="007F0209">
        <w:t xml:space="preserve">  </w:t>
      </w:r>
    </w:p>
  </w:footnote>
  <w:footnote w:id="288">
    <w:p w:rsidR="00E47081" w:rsidP="00975A21" w14:paraId="3BDB69FD" w14:textId="348A926A">
      <w:pPr>
        <w:pStyle w:val="FootnoteText"/>
        <w:widowControl/>
      </w:pPr>
      <w:r>
        <w:rPr>
          <w:rStyle w:val="FootnoteReference"/>
        </w:rPr>
        <w:footnoteRef/>
      </w:r>
      <w:r>
        <w:t xml:space="preserve"> </w:t>
      </w:r>
      <w:r>
        <w:rPr>
          <w:szCs w:val="26"/>
        </w:rPr>
        <w:t xml:space="preserve">Indicated Trade Associations Initial Comments at 8 (citing </w:t>
      </w:r>
      <w:r w:rsidRPr="001C7CF4">
        <w:rPr>
          <w:i/>
          <w:szCs w:val="26"/>
        </w:rPr>
        <w:t>BPA</w:t>
      </w:r>
      <w:r w:rsidRPr="00943A88">
        <w:rPr>
          <w:szCs w:val="26"/>
        </w:rPr>
        <w:t xml:space="preserve">, 120 FERC </w:t>
      </w:r>
      <w:r w:rsidR="00975A21">
        <w:rPr>
          <w:szCs w:val="26"/>
        </w:rPr>
        <w:t xml:space="preserve">    </w:t>
      </w:r>
      <w:r w:rsidRPr="00943A88">
        <w:rPr>
          <w:szCs w:val="26"/>
        </w:rPr>
        <w:t>¶ 61,211 at P 21</w:t>
      </w:r>
      <w:r>
        <w:rPr>
          <w:szCs w:val="26"/>
        </w:rPr>
        <w:t xml:space="preserve">; </w:t>
      </w:r>
      <w:r w:rsidRPr="006056E4" w:rsidR="001107AB">
        <w:t xml:space="preserve">BPA </w:t>
      </w:r>
      <w:r w:rsidR="001107AB">
        <w:rPr>
          <w:iCs/>
          <w:szCs w:val="26"/>
        </w:rPr>
        <w:t>Rehearing Order</w:t>
      </w:r>
      <w:r w:rsidRPr="007D597F">
        <w:rPr>
          <w:szCs w:val="26"/>
        </w:rPr>
        <w:t xml:space="preserve">, 125 FERC ¶ 61,273 at </w:t>
      </w:r>
      <w:r w:rsidR="00C941A7">
        <w:rPr>
          <w:szCs w:val="26"/>
        </w:rPr>
        <w:t xml:space="preserve">P 7 </w:t>
      </w:r>
      <w:r w:rsidRPr="007D597F">
        <w:rPr>
          <w:szCs w:val="26"/>
        </w:rPr>
        <w:t>n.7</w:t>
      </w:r>
      <w:r>
        <w:rPr>
          <w:szCs w:val="26"/>
        </w:rPr>
        <w:t xml:space="preserve">; </w:t>
      </w:r>
      <w:r>
        <w:rPr>
          <w:i/>
          <w:iCs/>
          <w:szCs w:val="26"/>
        </w:rPr>
        <w:t>A</w:t>
      </w:r>
      <w:r w:rsidR="001107AB">
        <w:rPr>
          <w:i/>
          <w:iCs/>
          <w:szCs w:val="26"/>
        </w:rPr>
        <w:t>PS</w:t>
      </w:r>
      <w:r w:rsidRPr="00A85B10">
        <w:rPr>
          <w:szCs w:val="26"/>
        </w:rPr>
        <w:t xml:space="preserve">, 94 FERC </w:t>
      </w:r>
      <w:r w:rsidR="00975A21">
        <w:rPr>
          <w:szCs w:val="26"/>
        </w:rPr>
        <w:t xml:space="preserve">  </w:t>
      </w:r>
      <w:r w:rsidRPr="00A85B10">
        <w:rPr>
          <w:szCs w:val="26"/>
        </w:rPr>
        <w:t>at 61,080</w:t>
      </w:r>
      <w:r>
        <w:rPr>
          <w:szCs w:val="26"/>
        </w:rPr>
        <w:t>).</w:t>
      </w:r>
    </w:p>
  </w:footnote>
  <w:footnote w:id="289">
    <w:p w:rsidR="003E5982" w:rsidP="003428D4" w14:paraId="504C5A54" w14:textId="615F938E">
      <w:pPr>
        <w:pStyle w:val="FootnoteText"/>
        <w:widowControl/>
      </w:pPr>
      <w:r>
        <w:rPr>
          <w:rStyle w:val="FootnoteReference"/>
        </w:rPr>
        <w:footnoteRef/>
      </w:r>
      <w:r>
        <w:t xml:space="preserve"> </w:t>
      </w:r>
      <w:r>
        <w:rPr>
          <w:i/>
          <w:iCs/>
        </w:rPr>
        <w:t>See, e.g.,</w:t>
      </w:r>
      <w:r>
        <w:t xml:space="preserve"> </w:t>
      </w:r>
      <w:r w:rsidRPr="0029716A">
        <w:rPr>
          <w:i/>
        </w:rPr>
        <w:t>MISO</w:t>
      </w:r>
      <w:r w:rsidRPr="0029716A" w:rsidR="0029716A">
        <w:t>, 182</w:t>
      </w:r>
      <w:r w:rsidRPr="000C568C">
        <w:t xml:space="preserve"> FERC ¶ 61,</w:t>
      </w:r>
      <w:r w:rsidRPr="0029716A" w:rsidR="0029716A">
        <w:t>033</w:t>
      </w:r>
      <w:r>
        <w:t xml:space="preserve">; </w:t>
      </w:r>
      <w:r w:rsidRPr="00066F4C" w:rsidR="00066F4C">
        <w:rPr>
          <w:i/>
          <w:iCs/>
        </w:rPr>
        <w:t>P</w:t>
      </w:r>
      <w:r w:rsidR="002F64BB">
        <w:rPr>
          <w:i/>
          <w:iCs/>
        </w:rPr>
        <w:t>NM</w:t>
      </w:r>
      <w:r w:rsidRPr="00066F4C" w:rsidR="00066F4C">
        <w:t>, 178 FERC ¶</w:t>
      </w:r>
      <w:r w:rsidRPr="00066F4C" w:rsidR="00066F4C">
        <w:t> </w:t>
      </w:r>
      <w:r w:rsidRPr="00066F4C" w:rsidR="00066F4C">
        <w:t>61,088 at PP</w:t>
      </w:r>
      <w:r w:rsidRPr="00066F4C" w:rsidR="00066F4C">
        <w:t> </w:t>
      </w:r>
      <w:r w:rsidRPr="00066F4C" w:rsidR="00066F4C">
        <w:t>29-31</w:t>
      </w:r>
      <w:r w:rsidR="00092DC7">
        <w:t>.</w:t>
      </w:r>
    </w:p>
  </w:footnote>
  <w:footnote w:id="290">
    <w:p w:rsidR="000F598A" w:rsidRPr="00813BE8" w:rsidP="000F598A" w14:paraId="391DC632" w14:textId="7E5E5CDE">
      <w:pPr>
        <w:pStyle w:val="FootnoteText"/>
      </w:pPr>
      <w:r>
        <w:rPr>
          <w:rStyle w:val="FootnoteReference"/>
        </w:rPr>
        <w:footnoteRef/>
      </w:r>
      <w:r>
        <w:t xml:space="preserve"> </w:t>
      </w:r>
      <w:r>
        <w:rPr>
          <w:i/>
          <w:iCs/>
        </w:rPr>
        <w:t>See, e.g.,</w:t>
      </w:r>
      <w:r>
        <w:t xml:space="preserve"> </w:t>
      </w:r>
      <w:r w:rsidRPr="000C568C">
        <w:t>MISO Rehearing Order, 184 FERC ¶ 61,022 at PP 29-31 (finding that providing reactive service requires “little or no incremental investment” by both synchronous and non-synchronous resources</w:t>
      </w:r>
      <w:r w:rsidRPr="000C568C">
        <w:t xml:space="preserve"> </w:t>
      </w:r>
      <w:r w:rsidRPr="000C568C">
        <w:t>);</w:t>
      </w:r>
      <w:r w:rsidRPr="000C568C">
        <w:t xml:space="preserve"> </w:t>
      </w:r>
      <w:r w:rsidRPr="000C568C">
        <w:rPr>
          <w:i/>
          <w:iCs/>
        </w:rPr>
        <w:t>PJM Interconnection, L.L.C.</w:t>
      </w:r>
      <w:r w:rsidRPr="000C568C">
        <w:t>, 151 FERC ¶ 61,097 at PP 7, 28 (finding that non-synchronous generating facilities are comparable to traditional synchronous generating facilities, in that there are for both types of generating facilities very little if any incremental costs incurred to provide reactive power)</w:t>
      </w:r>
      <w:r>
        <w:t>;</w:t>
      </w:r>
      <w:r w:rsidRPr="006056E4">
        <w:t xml:space="preserve"> </w:t>
      </w:r>
      <w:r w:rsidR="00975A21">
        <w:t xml:space="preserve">       </w:t>
      </w:r>
      <w:r>
        <w:t>2005 Staff Report at 96 (“</w:t>
      </w:r>
      <w:r w:rsidRPr="00423254">
        <w:t>The marginal cost of providing reactive power from within a generator’s capability curve (D-curve) is near zero</w:t>
      </w:r>
      <w:r w:rsidRPr="00100C0A" w:rsidR="006D6837">
        <w:t>.</w:t>
      </w:r>
      <w:r>
        <w:t>”)</w:t>
      </w:r>
      <w:r w:rsidRPr="000C568C">
        <w:t xml:space="preserve">.  </w:t>
      </w:r>
    </w:p>
  </w:footnote>
  <w:footnote w:id="291">
    <w:p w:rsidR="007C3470" w:rsidP="00975A21" w14:paraId="7C665CCD" w14:textId="6A722E11">
      <w:pPr>
        <w:pStyle w:val="FootnoteText"/>
        <w:widowControl/>
      </w:pPr>
      <w:r>
        <w:rPr>
          <w:rStyle w:val="FootnoteReference"/>
        </w:rPr>
        <w:footnoteRef/>
      </w:r>
      <w:r>
        <w:t xml:space="preserve"> </w:t>
      </w:r>
      <w:r w:rsidRPr="007C3470">
        <w:t xml:space="preserve">We also note that Order No. 827, which was issued in 2016, after </w:t>
      </w:r>
      <w:r w:rsidR="0070314B">
        <w:t>the</w:t>
      </w:r>
      <w:r w:rsidRPr="007C3470">
        <w:t xml:space="preserve"> </w:t>
      </w:r>
      <w:r w:rsidR="00975A21">
        <w:t xml:space="preserve">         </w:t>
      </w:r>
      <w:r w:rsidRPr="007C3470">
        <w:t>2014 Commission Staff Report, removed the exemption for wind generating facilities to provide reactive power because of “declining costs” resulting from “improvements in technology.”</w:t>
      </w:r>
      <w:r w:rsidR="00622E66">
        <w:t xml:space="preserve">  Order No. </w:t>
      </w:r>
      <w:r w:rsidRPr="002802B9" w:rsidR="00622E66">
        <w:t>827, 155 FERC ¶</w:t>
      </w:r>
      <w:r w:rsidR="00622E66">
        <w:t> </w:t>
      </w:r>
      <w:r w:rsidRPr="002802B9" w:rsidR="00622E66">
        <w:t>61,277</w:t>
      </w:r>
      <w:r w:rsidR="00622E66">
        <w:t xml:space="preserve"> at P 24.  In Order No. 827, the Commission noted that other types of non-synchronous generating facilities were not exempt from the requirement to provide reactive power and that Order No. 827’s findings applied to </w:t>
      </w:r>
      <w:r w:rsidRPr="009D1A83" w:rsidR="00622E66">
        <w:t xml:space="preserve">all </w:t>
      </w:r>
      <w:r w:rsidRPr="009D1A83" w:rsidR="006D6837">
        <w:t>newly interconnecting</w:t>
      </w:r>
      <w:r w:rsidRPr="009D1A83" w:rsidR="00622E66">
        <w:t xml:space="preserve"> non</w:t>
      </w:r>
      <w:r w:rsidR="00622E66">
        <w:t xml:space="preserve">-synchronous generating facilities. </w:t>
      </w:r>
      <w:r w:rsidR="00F466EF">
        <w:t xml:space="preserve"> </w:t>
      </w:r>
      <w:r w:rsidR="00622E66">
        <w:rPr>
          <w:i/>
          <w:iCs/>
        </w:rPr>
        <w:t>Id.</w:t>
      </w:r>
      <w:r w:rsidR="00622E66">
        <w:t xml:space="preserve"> </w:t>
      </w:r>
      <w:r w:rsidR="00C941A7">
        <w:t>P</w:t>
      </w:r>
      <w:r w:rsidR="00622E66">
        <w:t xml:space="preserve"> 22.</w:t>
      </w:r>
    </w:p>
  </w:footnote>
  <w:footnote w:id="292">
    <w:p w:rsidR="00F40123" w14:paraId="0A6F17E9" w14:textId="6A0AA750">
      <w:pPr>
        <w:pStyle w:val="FootnoteText"/>
      </w:pPr>
      <w:r>
        <w:rPr>
          <w:rStyle w:val="FootnoteReference"/>
        </w:rPr>
        <w:footnoteRef/>
      </w:r>
      <w:r>
        <w:t xml:space="preserve"> Glenvale Initial Comments at 9-10.</w:t>
      </w:r>
    </w:p>
  </w:footnote>
  <w:footnote w:id="293">
    <w:p w:rsidR="00057A27" w:rsidP="003428D4" w14:paraId="5EC5ABC1" w14:textId="71799E37">
      <w:pPr>
        <w:pStyle w:val="FootnoteText"/>
        <w:widowControl/>
      </w:pPr>
      <w:r>
        <w:rPr>
          <w:rStyle w:val="FootnoteReference"/>
        </w:rPr>
        <w:footnoteRef/>
      </w:r>
      <w:r>
        <w:t xml:space="preserve"> </w:t>
      </w:r>
      <w:r>
        <w:rPr>
          <w:i/>
          <w:iCs/>
        </w:rPr>
        <w:t>See, e.g.</w:t>
      </w:r>
      <w:r>
        <w:t xml:space="preserve">, </w:t>
      </w:r>
      <w:r w:rsidRPr="00F35729">
        <w:t>Eagle Creek</w:t>
      </w:r>
      <w:r>
        <w:t xml:space="preserve"> Initial Comments at 3 (“</w:t>
      </w:r>
      <w:r w:rsidRPr="000415AF">
        <w:t>Where Eagle Creek Reactive Generators made specific capital investments that enhanced reactive service–for example, by installing upgraded exciters with demonstrable power factor improvements–their related reactive compensation case was necessarily strengthened.</w:t>
      </w:r>
      <w:r>
        <w:t>”).</w:t>
      </w:r>
    </w:p>
  </w:footnote>
  <w:footnote w:id="294">
    <w:p w:rsidR="00057A27" w:rsidP="00057A27" w14:paraId="605AFE0D" w14:textId="18F7AF2E">
      <w:pPr>
        <w:pStyle w:val="FootnoteText"/>
      </w:pPr>
      <w:r>
        <w:rPr>
          <w:rStyle w:val="FootnoteReference"/>
        </w:rPr>
        <w:footnoteRef/>
      </w:r>
      <w:r>
        <w:t xml:space="preserve"> </w:t>
      </w:r>
      <w:r w:rsidR="00A356E5">
        <w:t>We</w:t>
      </w:r>
      <w:r>
        <w:t xml:space="preserve"> note that t</w:t>
      </w:r>
      <w:r w:rsidRPr="002C120D">
        <w:t xml:space="preserve">he additional capabilities are not required as a condition of interconnection. </w:t>
      </w:r>
      <w:r>
        <w:t xml:space="preserve"> </w:t>
      </w:r>
      <w:r w:rsidRPr="002C120D">
        <w:t xml:space="preserve">Furthermore, all generating facilities are allowed to seek compensation when directed to provide reactive power beyond the standard power factor range. </w:t>
      </w:r>
      <w:r>
        <w:t xml:space="preserve"> </w:t>
      </w:r>
      <w:r w:rsidRPr="002C120D">
        <w:t>Th</w:t>
      </w:r>
      <w:r w:rsidR="00956773">
        <w:t>is</w:t>
      </w:r>
      <w:r w:rsidRPr="002C120D">
        <w:t xml:space="preserve"> </w:t>
      </w:r>
      <w:r w:rsidR="00A93367">
        <w:t>f</w:t>
      </w:r>
      <w:r w:rsidR="00956773">
        <w:t xml:space="preserve">inal </w:t>
      </w:r>
      <w:r w:rsidR="00A93367">
        <w:t>r</w:t>
      </w:r>
      <w:r w:rsidR="00956773">
        <w:t xml:space="preserve">ule does </w:t>
      </w:r>
      <w:r w:rsidRPr="002C120D">
        <w:t xml:space="preserve">not change </w:t>
      </w:r>
      <w:r w:rsidR="00956773">
        <w:t xml:space="preserve">the ability </w:t>
      </w:r>
      <w:r w:rsidR="00C37E0B">
        <w:t>of generat</w:t>
      </w:r>
      <w:r w:rsidR="00683F7A">
        <w:t>ing facilities</w:t>
      </w:r>
      <w:r w:rsidR="00C37E0B">
        <w:t xml:space="preserve"> to seek</w:t>
      </w:r>
      <w:r w:rsidRPr="002C120D">
        <w:t xml:space="preserve"> compensation associated with </w:t>
      </w:r>
      <w:r>
        <w:t xml:space="preserve">providing reactive power </w:t>
      </w:r>
      <w:r w:rsidRPr="002C120D">
        <w:t>outside the standard power factor range.</w:t>
      </w:r>
    </w:p>
  </w:footnote>
  <w:footnote w:id="295">
    <w:p w:rsidR="00D73719" w:rsidP="00D73719" w14:paraId="660484C6" w14:textId="17014161">
      <w:pPr>
        <w:pStyle w:val="FootnoteText"/>
      </w:pPr>
      <w:r>
        <w:rPr>
          <w:rStyle w:val="FootnoteReference"/>
        </w:rPr>
        <w:footnoteRef/>
      </w:r>
      <w:r>
        <w:t xml:space="preserve"> </w:t>
      </w:r>
      <w:r>
        <w:rPr>
          <w:i/>
          <w:iCs/>
        </w:rPr>
        <w:t>See, e.g.</w:t>
      </w:r>
      <w:r>
        <w:t>, ACORE Initial Comments at 2 (“</w:t>
      </w:r>
      <w:r w:rsidRPr="00C12B2A">
        <w:t>A requirement to provide a service does not negate the fact that costs are incurred, as demonstrated by the multiple settlements reached for payment of this service.</w:t>
      </w:r>
      <w:r>
        <w:t xml:space="preserve">”); Indicated Reactive </w:t>
      </w:r>
      <w:r w:rsidR="00BF1ABC">
        <w:t xml:space="preserve">Power </w:t>
      </w:r>
      <w:r>
        <w:t>Suppliers Initial Comments at 9 (“</w:t>
      </w:r>
      <w:r w:rsidR="00171F60">
        <w:t>[S]</w:t>
      </w:r>
      <w:r w:rsidRPr="00B61A84">
        <w:t xml:space="preserve">ubstantial cost support included with the proposed reactive service tariffs of each of the Indicated Reactive Power Suppliers </w:t>
      </w:r>
      <w:r w:rsidR="00171F60">
        <w:t>. . .</w:t>
      </w:r>
      <w:r w:rsidRPr="00B61A84">
        <w:t xml:space="preserve">meticulously demonstrate the fixed and sunk costs allocable to reactive power production using the AEP </w:t>
      </w:r>
      <w:r w:rsidR="00171F60">
        <w:t>[M]</w:t>
      </w:r>
      <w:r w:rsidRPr="00B61A84">
        <w:t>ethodology</w:t>
      </w:r>
      <w:r>
        <w:t>”).</w:t>
      </w:r>
    </w:p>
  </w:footnote>
  <w:footnote w:id="296">
    <w:p w:rsidR="00FF6D2A" w:rsidP="00FF6D2A" w14:paraId="0B701951" w14:textId="3BD7BC9E">
      <w:pPr>
        <w:pStyle w:val="FootnoteText"/>
        <w:rPr>
          <w:kern w:val="2"/>
          <w14:ligatures w14:val="standardContextual"/>
        </w:rPr>
      </w:pPr>
      <w:r>
        <w:rPr>
          <w:rStyle w:val="FootnoteReference"/>
        </w:rPr>
        <w:footnoteRef/>
      </w:r>
      <w:r>
        <w:t xml:space="preserve"> </w:t>
      </w:r>
      <w:r>
        <w:rPr>
          <w:i/>
          <w:iCs/>
        </w:rPr>
        <w:t>See, e.g.</w:t>
      </w:r>
      <w:r>
        <w:t>, Joint Customers Reply Comments at 6-7; ELCON Initial Comments    at 5.</w:t>
      </w:r>
      <w:r w:rsidR="00807099">
        <w:t xml:space="preserve">  </w:t>
      </w:r>
      <w:r w:rsidRPr="00807099" w:rsidR="00807099">
        <w:t>As noted in the NOI, most of the filings at the Commission seeking to establish rates for reactive power compensation are made by generating facilities (both synchronous and non-synchronous) that have received waivers of the Commission’s requirement to maintain their accounts under the USofA rules and to file FERC Form    No. 1</w:t>
      </w:r>
      <w:r w:rsidR="00807099">
        <w:t>.</w:t>
      </w:r>
    </w:p>
  </w:footnote>
  <w:footnote w:id="297">
    <w:p w:rsidR="006636C9" w:rsidP="006636C9" w14:paraId="7C6B05D2" w14:textId="7CF65BBE">
      <w:pPr>
        <w:pStyle w:val="FootnoteText"/>
      </w:pPr>
      <w:r>
        <w:rPr>
          <w:rStyle w:val="FootnoteReference"/>
        </w:rPr>
        <w:footnoteRef/>
      </w:r>
      <w:r>
        <w:t xml:space="preserve"> PJM IMM Reply Comments at 3.  </w:t>
      </w:r>
      <w:r>
        <w:rPr>
          <w:i/>
          <w:iCs/>
        </w:rPr>
        <w:t xml:space="preserve">See also </w:t>
      </w:r>
      <w:r>
        <w:t>PJM IMM Initial Comments at 3 (“</w:t>
      </w:r>
      <w:r w:rsidRPr="00D13551">
        <w:t xml:space="preserve">The </w:t>
      </w:r>
      <w:r w:rsidRPr="00D13551">
        <w:rPr>
          <w:i/>
          <w:iCs/>
        </w:rPr>
        <w:t>AEP</w:t>
      </w:r>
      <w:r w:rsidRPr="00D374EE">
        <w:t xml:space="preserve"> </w:t>
      </w:r>
      <w:r w:rsidRPr="00D13551">
        <w:t>Method</w:t>
      </w:r>
      <w:r w:rsidR="00BF1ABC">
        <w:t>[ology]</w:t>
      </w:r>
      <w:r w:rsidRPr="00D13551">
        <w:t xml:space="preserve"> was based on three sentences in testimony filed in 1993 that provide no</w:t>
      </w:r>
      <w:r>
        <w:t xml:space="preserve"> </w:t>
      </w:r>
      <w:r w:rsidRPr="00D13551">
        <w:t>logical, engineering or economic support for allocating a part of generator capital investment</w:t>
      </w:r>
      <w:r>
        <w:t xml:space="preserve"> </w:t>
      </w:r>
      <w:r w:rsidRPr="00D13551">
        <w:t xml:space="preserve">to reactive. </w:t>
      </w:r>
      <w:r w:rsidR="00AD7451">
        <w:t xml:space="preserve"> </w:t>
      </w:r>
      <w:r w:rsidRPr="00D13551">
        <w:t>That testimony was about a subjective decision to reassign costs that were already</w:t>
      </w:r>
      <w:r>
        <w:t xml:space="preserve"> </w:t>
      </w:r>
      <w:r w:rsidRPr="00D13551">
        <w:t>fully accounted for and not about any asserted costs to provide reactive power that were not</w:t>
      </w:r>
      <w:r>
        <w:t xml:space="preserve"> </w:t>
      </w:r>
      <w:r w:rsidRPr="00D13551">
        <w:t>recovered</w:t>
      </w:r>
      <w:r>
        <w:t xml:space="preserve"> e</w:t>
      </w:r>
      <w:r w:rsidRPr="00D13551">
        <w:t>lsewhere and not for any asserted additional costs of providing reactive power.</w:t>
      </w:r>
      <w:r>
        <w:t>”); Joint Customers Reply Comments at 12 (“</w:t>
      </w:r>
      <w:r w:rsidRPr="00010347">
        <w:t>The amount of</w:t>
      </w:r>
      <w:r>
        <w:t xml:space="preserve"> </w:t>
      </w:r>
      <w:r w:rsidRPr="00010347">
        <w:rPr>
          <w:i/>
          <w:iCs/>
        </w:rPr>
        <w:t>total plant cost</w:t>
      </w:r>
      <w:r w:rsidRPr="00D374EE">
        <w:t xml:space="preserve"> </w:t>
      </w:r>
      <w:r w:rsidRPr="00010347">
        <w:t xml:space="preserve">that is </w:t>
      </w:r>
      <w:r w:rsidRPr="00010347">
        <w:rPr>
          <w:i/>
          <w:iCs/>
        </w:rPr>
        <w:t>allocated</w:t>
      </w:r>
      <w:r w:rsidRPr="00D374EE">
        <w:t xml:space="preserve"> </w:t>
      </w:r>
      <w:r w:rsidRPr="00010347">
        <w:t>to the reactive function based on a power factor for ratemaking</w:t>
      </w:r>
      <w:r>
        <w:t xml:space="preserve"> </w:t>
      </w:r>
      <w:r w:rsidRPr="00010347">
        <w:t xml:space="preserve">purposes under the </w:t>
      </w:r>
      <w:r w:rsidRPr="00010347">
        <w:rPr>
          <w:i/>
          <w:iCs/>
        </w:rPr>
        <w:t>AEP</w:t>
      </w:r>
      <w:r w:rsidRPr="00D374EE">
        <w:t xml:space="preserve"> </w:t>
      </w:r>
      <w:r w:rsidR="00BF1ABC">
        <w:t>[M]</w:t>
      </w:r>
      <w:r w:rsidRPr="00010347">
        <w:t>ethodology is not at all indicative of actual incremental costs for</w:t>
      </w:r>
      <w:r>
        <w:t xml:space="preserve"> </w:t>
      </w:r>
      <w:r w:rsidRPr="00010347">
        <w:t>incremental levels of additional reactive capability.</w:t>
      </w:r>
      <w:r>
        <w:t xml:space="preserve">” (emphasis in original)).  </w:t>
      </w:r>
      <w:r>
        <w:rPr>
          <w:i/>
          <w:iCs/>
        </w:rPr>
        <w:t xml:space="preserve">See also </w:t>
      </w:r>
      <w:r w:rsidRPr="002074A6">
        <w:t>2005 Staff Report</w:t>
      </w:r>
      <w:r w:rsidRPr="00504C1D">
        <w:t xml:space="preserve"> </w:t>
      </w:r>
      <w:r>
        <w:t>at 69 (</w:t>
      </w:r>
      <w:r w:rsidRPr="00FA3200">
        <w:t>“</w:t>
      </w:r>
      <w:r w:rsidR="00BF1ABC">
        <w:t>[T]</w:t>
      </w:r>
      <w:r w:rsidRPr="00FA3200">
        <w:t>he allocation factor used in the AEP Methodology does not directly relate to the incremental investment cost in providing reactive capability or supply”</w:t>
      </w:r>
      <w:r>
        <w:t>)</w:t>
      </w:r>
      <w:r w:rsidR="00AD7451">
        <w:t>.</w:t>
      </w:r>
    </w:p>
  </w:footnote>
  <w:footnote w:id="298">
    <w:p w:rsidR="00172409" w14:paraId="13977891" w14:textId="4AD44BF1">
      <w:pPr>
        <w:pStyle w:val="FootnoteText"/>
      </w:pPr>
      <w:r>
        <w:rPr>
          <w:rStyle w:val="FootnoteReference"/>
        </w:rPr>
        <w:footnoteRef/>
      </w:r>
      <w:r>
        <w:t xml:space="preserve"> </w:t>
      </w:r>
      <w:r w:rsidRPr="00E92F0C">
        <w:rPr>
          <w:i/>
          <w:iCs/>
        </w:rPr>
        <w:t>Fern</w:t>
      </w:r>
      <w:r w:rsidRPr="00E92F0C" w:rsidR="00B24E98">
        <w:rPr>
          <w:i/>
          <w:iCs/>
        </w:rPr>
        <w:t xml:space="preserve"> Solar LLC</w:t>
      </w:r>
      <w:r w:rsidR="00C474DA">
        <w:t>,</w:t>
      </w:r>
      <w:r>
        <w:t xml:space="preserve"> </w:t>
      </w:r>
      <w:r w:rsidRPr="00EB7211" w:rsidR="00EB7211">
        <w:t>183 FERC ¶ 63,004</w:t>
      </w:r>
      <w:r w:rsidR="00F35D08">
        <w:t>,</w:t>
      </w:r>
      <w:r>
        <w:t xml:space="preserve"> at P </w:t>
      </w:r>
      <w:r w:rsidR="00A8222B">
        <w:t>937</w:t>
      </w:r>
      <w:r w:rsidR="00F35D08">
        <w:t xml:space="preserve"> (</w:t>
      </w:r>
      <w:r w:rsidR="009F0E67">
        <w:t>2023)</w:t>
      </w:r>
      <w:r w:rsidR="00A8222B">
        <w:t>.</w:t>
      </w:r>
    </w:p>
  </w:footnote>
  <w:footnote w:id="299">
    <w:p w:rsidR="00444BE3" w:rsidRPr="00E44939" w:rsidP="00444BE3" w14:paraId="034C4AAF" w14:textId="77777777">
      <w:pPr>
        <w:pStyle w:val="FootnoteText"/>
        <w:tabs>
          <w:tab w:val="left" w:pos="1678"/>
        </w:tabs>
      </w:pPr>
      <w:r>
        <w:rPr>
          <w:rStyle w:val="FootnoteReference"/>
        </w:rPr>
        <w:footnoteRef/>
      </w:r>
      <w:r>
        <w:t xml:space="preserve"> </w:t>
      </w:r>
      <w:r>
        <w:rPr>
          <w:i/>
          <w:iCs/>
        </w:rPr>
        <w:t>See, e.g.</w:t>
      </w:r>
      <w:r>
        <w:t>, MISO Rehearing Order, 184 FERC ¶ 61,022 at P 26 (“[W]</w:t>
      </w:r>
      <w:r w:rsidRPr="00574F31">
        <w:t>e continue to reject, as collateral attacks on that longstanding policy, arguments that stand-alone compensation for Reactive Service is generically required—for example, to ensure that generators can recover their costs for Reactive Service capability.</w:t>
      </w:r>
      <w:r>
        <w:t xml:space="preserve">”); </w:t>
      </w:r>
      <w:r>
        <w:rPr>
          <w:i/>
          <w:iCs/>
        </w:rPr>
        <w:t>Entergy Servs. Inc.</w:t>
      </w:r>
      <w:r>
        <w:t>, 114 FERC ¶ 61,303, at P 14 (2006) (“</w:t>
      </w:r>
      <w:r w:rsidRPr="009D1729">
        <w:t>In Order No. 2003, the Commission emphasized that an interconnecting generator should not be compensated for reactive power when operating its Generating Facility within the established power factor range, since it is only meeting its obligation.</w:t>
      </w:r>
      <w:r>
        <w:t xml:space="preserve"> </w:t>
      </w:r>
      <w:r w:rsidRPr="009D1729">
        <w:t xml:space="preserve"> Generators interconnected to a transmission provider</w:t>
      </w:r>
      <w:r>
        <w:t>’</w:t>
      </w:r>
      <w:r w:rsidRPr="009D1729">
        <w:t>s system need only be compensated where the transmission provider directs the generator to operate outside the dead band.</w:t>
      </w:r>
      <w:r>
        <w:t>” (internal citations omitted)).</w:t>
      </w:r>
    </w:p>
  </w:footnote>
  <w:footnote w:id="300">
    <w:p w:rsidR="00444BE3" w:rsidP="00444BE3" w14:paraId="20D9C46A" w14:textId="77777777">
      <w:pPr>
        <w:pStyle w:val="FootnoteText"/>
      </w:pPr>
      <w:r>
        <w:rPr>
          <w:rStyle w:val="FootnoteReference"/>
        </w:rPr>
        <w:footnoteRef/>
      </w:r>
      <w:r>
        <w:t xml:space="preserve"> </w:t>
      </w:r>
      <w:r w:rsidR="00A6442E">
        <w:t>PSEG</w:t>
      </w:r>
      <w:r>
        <w:t xml:space="preserve"> Initial Comments at 13 &amp; n.33 (citing </w:t>
      </w:r>
      <w:r w:rsidRPr="008A6915">
        <w:rPr>
          <w:i/>
          <w:iCs/>
        </w:rPr>
        <w:t>Dynegy Midwest Generation, Inc. v. FERC</w:t>
      </w:r>
      <w:r w:rsidRPr="0059111B">
        <w:t xml:space="preserve">, 633 F.3d 1122, 1126 </w:t>
      </w:r>
      <w:r>
        <w:t>(</w:t>
      </w:r>
      <w:r w:rsidRPr="0059111B">
        <w:t>D.C. Cir. 2011</w:t>
      </w:r>
      <w:r>
        <w:t>)</w:t>
      </w:r>
      <w:r w:rsidRPr="0059111B">
        <w:t>)</w:t>
      </w:r>
      <w:r>
        <w:t>.</w:t>
      </w:r>
    </w:p>
  </w:footnote>
  <w:footnote w:id="301">
    <w:p w:rsidR="00444BE3" w:rsidRPr="0059111B" w:rsidP="003428D4" w14:paraId="5D50C9C2" w14:textId="021B2907">
      <w:pPr>
        <w:pStyle w:val="FootnoteText"/>
        <w:widowControl/>
      </w:pPr>
      <w:r>
        <w:rPr>
          <w:rStyle w:val="FootnoteReference"/>
        </w:rPr>
        <w:footnoteRef/>
      </w:r>
      <w:r>
        <w:t xml:space="preserve"> MISO Rehearing Order, 184 FERC ¶ 61,022 at P 31 (“</w:t>
      </w:r>
      <w:r w:rsidRPr="004101CC">
        <w:t>Vistra challenges the conclusion that Reactive Service requires little or no incremental investment by claiming that the D.C. Circuit in</w:t>
      </w:r>
      <w:r>
        <w:t xml:space="preserve"> </w:t>
      </w:r>
      <w:r w:rsidRPr="004101CC">
        <w:rPr>
          <w:i/>
          <w:iCs/>
        </w:rPr>
        <w:t>Dynegy</w:t>
      </w:r>
      <w:r>
        <w:t xml:space="preserve"> </w:t>
      </w:r>
      <w:r w:rsidRPr="004101CC">
        <w:t>rejected that conclusion</w:t>
      </w:r>
      <w:r>
        <w:t xml:space="preserve">. </w:t>
      </w:r>
      <w:r w:rsidRPr="004101CC">
        <w:t xml:space="preserve"> We disagree with Vistra</w:t>
      </w:r>
      <w:r>
        <w:t>’</w:t>
      </w:r>
      <w:r w:rsidRPr="004101CC">
        <w:t>s interpretation of</w:t>
      </w:r>
      <w:r>
        <w:t xml:space="preserve"> </w:t>
      </w:r>
      <w:r w:rsidRPr="004101CC">
        <w:rPr>
          <w:i/>
          <w:iCs/>
        </w:rPr>
        <w:t>Dynegy</w:t>
      </w:r>
      <w:r w:rsidRPr="004101CC">
        <w:t>.</w:t>
      </w:r>
      <w:r w:rsidR="000F4F5A">
        <w:t xml:space="preserve">  </w:t>
      </w:r>
      <w:r w:rsidRPr="000F4F5A" w:rsidR="000F4F5A">
        <w:t xml:space="preserve">Rather, in </w:t>
      </w:r>
      <w:r w:rsidRPr="000F4F5A" w:rsidR="000F4F5A">
        <w:rPr>
          <w:i/>
          <w:iCs/>
        </w:rPr>
        <w:t>Dynegy</w:t>
      </w:r>
      <w:r w:rsidRPr="000F4F5A" w:rsidR="000F4F5A">
        <w:t xml:space="preserve">, the court concluded that the Commission had not made any such finding in that case, instead providing only a </w:t>
      </w:r>
      <w:r w:rsidR="00D65471">
        <w:t>‘</w:t>
      </w:r>
      <w:r w:rsidRPr="000F4F5A" w:rsidR="000F4F5A">
        <w:t>glancing remark</w:t>
      </w:r>
      <w:r w:rsidR="00D65471">
        <w:t>’</w:t>
      </w:r>
      <w:r w:rsidRPr="000F4F5A" w:rsidR="000F4F5A">
        <w:t xml:space="preserve"> to this effect, and that the record in that case did not support such a finding.  Here, in addition to noting the Commission’s previous conclusions that Reactive Service capability requires little or no incremental investment, we have further explained immediately above the basis for this finding</w:t>
      </w:r>
      <w:r w:rsidRPr="004101CC">
        <w:t>.</w:t>
      </w:r>
      <w:r>
        <w:t>”).</w:t>
      </w:r>
    </w:p>
  </w:footnote>
  <w:footnote w:id="302">
    <w:p w:rsidR="00E1095B" w:rsidRPr="00CD2C9F" w:rsidP="00E1095B" w14:paraId="6FC47C9C" w14:textId="7E2DD1FD">
      <w:pPr>
        <w:pStyle w:val="FootnoteText"/>
        <w:widowControl/>
      </w:pPr>
      <w:r w:rsidRPr="00CD2C9F">
        <w:rPr>
          <w:rStyle w:val="FootnoteReference"/>
        </w:rPr>
        <w:footnoteRef/>
      </w:r>
      <w:r w:rsidRPr="00CD2C9F">
        <w:t xml:space="preserve"> </w:t>
      </w:r>
      <w:r w:rsidRPr="0047617E">
        <w:rPr>
          <w:i/>
          <w:iCs/>
        </w:rPr>
        <w:t>See, e.g.</w:t>
      </w:r>
      <w:r>
        <w:t>, Ameren Initial Comments at 3; MISO Transmission Owners Initial Comments at 6 (“</w:t>
      </w:r>
      <w:r w:rsidRPr="00A24DD9">
        <w:t>Generators incur little or no costs beyond what is already needed to produce real power</w:t>
      </w:r>
      <w:r w:rsidR="00D65471">
        <w:t>.</w:t>
      </w:r>
      <w:r>
        <w:t>”); PJM IMM Initial Comments at 4 (“</w:t>
      </w:r>
      <w:r w:rsidRPr="0001273B">
        <w:t xml:space="preserve">There are few if any identifiable costs incurred by generators in order to provide reactive power. </w:t>
      </w:r>
      <w:r w:rsidR="00D65471">
        <w:t xml:space="preserve"> </w:t>
      </w:r>
      <w:r w:rsidRPr="0001273B">
        <w:t xml:space="preserve">Separately compensating resources based on a judgment based allocation of capital costs was never and is not now appropriate in the PJM markets. </w:t>
      </w:r>
      <w:r w:rsidRPr="003C6569">
        <w:t xml:space="preserve">Generating units are fully integrated power plants that produce both the real and reactive power required for grid </w:t>
      </w:r>
      <w:r w:rsidR="003428D4">
        <w:t xml:space="preserve">        </w:t>
      </w:r>
      <w:r w:rsidRPr="003C6569">
        <w:t>operation</w:t>
      </w:r>
      <w:r>
        <w:t xml:space="preserve"> . . . </w:t>
      </w:r>
      <w:r w:rsidR="00965632">
        <w:t xml:space="preserve">.  </w:t>
      </w:r>
      <w:r>
        <w:t>[T]</w:t>
      </w:r>
      <w:r w:rsidRPr="003C6569">
        <w:t>here is no reason to include complex rules that arbitrarily segregate a portion of a resource’s capital costs as related to reactive power</w:t>
      </w:r>
      <w:r>
        <w:t xml:space="preserve">.”). </w:t>
      </w:r>
    </w:p>
  </w:footnote>
  <w:footnote w:id="303">
    <w:p w:rsidR="00E1095B" w:rsidP="003428D4" w14:paraId="5FED4CBA" w14:textId="4E79B1A4">
      <w:pPr>
        <w:pStyle w:val="FootnoteText"/>
        <w:widowControl/>
      </w:pPr>
      <w:r>
        <w:rPr>
          <w:rStyle w:val="FootnoteReference"/>
        </w:rPr>
        <w:footnoteRef/>
      </w:r>
      <w:r>
        <w:t xml:space="preserve"> </w:t>
      </w:r>
      <w:r w:rsidR="00F11D56">
        <w:rPr>
          <w:i/>
          <w:iCs/>
        </w:rPr>
        <w:t>See</w:t>
      </w:r>
      <w:r w:rsidR="00F11D56">
        <w:t xml:space="preserve"> PJM IMM Initial Comments at 12 (“</w:t>
      </w:r>
      <w:r w:rsidRPr="005E37F5" w:rsidR="00F11D56">
        <w:t>The market</w:t>
      </w:r>
      <w:r w:rsidR="00F11D56">
        <w:t xml:space="preserve"> </w:t>
      </w:r>
      <w:r w:rsidRPr="005E37F5" w:rsidR="00F11D56">
        <w:t>approach should be used, as it is overwhelmingly more efficient than the current rate case,</w:t>
      </w:r>
      <w:r w:rsidR="00F11D56">
        <w:t xml:space="preserve"> </w:t>
      </w:r>
      <w:r w:rsidRPr="005E37F5" w:rsidR="00F11D56">
        <w:t>cost of service approach. Supporters of the cost of service approach have never explained</w:t>
      </w:r>
      <w:r w:rsidR="00F11D56">
        <w:t xml:space="preserve"> </w:t>
      </w:r>
      <w:r w:rsidRPr="005E37F5" w:rsidR="00F11D56">
        <w:t>why a nonmarket approach is required in PJM or why it is preferable to a market approach.</w:t>
      </w:r>
      <w:r w:rsidR="00F11D56">
        <w:t xml:space="preserve">”); </w:t>
      </w:r>
      <w:r w:rsidR="00F11D56">
        <w:rPr>
          <w:i/>
          <w:iCs/>
        </w:rPr>
        <w:t>id.</w:t>
      </w:r>
      <w:r w:rsidR="00F11D56">
        <w:t xml:space="preserve"> at 11-12 (“</w:t>
      </w:r>
      <w:r w:rsidRPr="005E37F5" w:rsidR="00F11D56">
        <w:t xml:space="preserve">There is no evidence that units are built as a result of reactive revenue. </w:t>
      </w:r>
      <w:r w:rsidR="00965632">
        <w:t xml:space="preserve"> </w:t>
      </w:r>
      <w:r w:rsidRPr="005E37F5" w:rsidR="00F11D56">
        <w:t>There is no</w:t>
      </w:r>
      <w:r w:rsidR="00F11D56">
        <w:t xml:space="preserve"> </w:t>
      </w:r>
      <w:r w:rsidRPr="005E37F5" w:rsidR="00F11D56">
        <w:t>evidence that sources of revenue are not fungible and that a decrease in reactive revenues</w:t>
      </w:r>
      <w:r w:rsidR="00F11D56">
        <w:t xml:space="preserve"> </w:t>
      </w:r>
      <w:r w:rsidRPr="005E37F5" w:rsidR="00F11D56">
        <w:t xml:space="preserve">could be not replaced with other sources of revenue. </w:t>
      </w:r>
      <w:r w:rsidR="00965632">
        <w:t xml:space="preserve"> </w:t>
      </w:r>
      <w:r w:rsidRPr="005E37F5" w:rsidR="00F11D56">
        <w:t>There is no basis for adding new</w:t>
      </w:r>
      <w:r w:rsidR="00F11D56">
        <w:t xml:space="preserve"> </w:t>
      </w:r>
      <w:r w:rsidRPr="005E37F5" w:rsidR="00F11D56">
        <w:t>resources to the already very crowded interconnection queue solely based on out of market</w:t>
      </w:r>
      <w:r w:rsidR="00F11D56">
        <w:t xml:space="preserve"> </w:t>
      </w:r>
      <w:r w:rsidRPr="005E37F5" w:rsidR="00F11D56">
        <w:t>subsidies from reactive revenues.</w:t>
      </w:r>
      <w:r w:rsidR="00F11D56">
        <w:t>”).</w:t>
      </w:r>
      <w:r>
        <w:t xml:space="preserve">   </w:t>
      </w:r>
    </w:p>
  </w:footnote>
  <w:footnote w:id="304">
    <w:p w:rsidR="007C01D9" w:rsidRPr="00CD2C9F" w:rsidP="007C01D9" w14:paraId="237262FC" w14:textId="67D3EC88">
      <w:pPr>
        <w:pStyle w:val="FootnoteText"/>
      </w:pPr>
      <w:r w:rsidRPr="00CD2C9F">
        <w:rPr>
          <w:rStyle w:val="FootnoteReference"/>
        </w:rPr>
        <w:footnoteRef/>
      </w:r>
      <w:r w:rsidRPr="00CD2C9F">
        <w:t xml:space="preserve"> </w:t>
      </w:r>
      <w:r w:rsidRPr="00CD2C9F">
        <w:rPr>
          <w:i/>
          <w:iCs/>
        </w:rPr>
        <w:t>MISO</w:t>
      </w:r>
      <w:r w:rsidRPr="00CD2C9F">
        <w:t>, 182 FERC ¶ 61,033 at P</w:t>
      </w:r>
      <w:r w:rsidR="00876FEB">
        <w:t>P</w:t>
      </w:r>
      <w:r w:rsidRPr="00CD2C9F">
        <w:t> 53</w:t>
      </w:r>
      <w:r w:rsidR="00876FEB">
        <w:t>-54</w:t>
      </w:r>
      <w:r w:rsidRPr="00CD2C9F">
        <w:t> </w:t>
      </w:r>
      <w:r w:rsidR="005D1B34">
        <w:t xml:space="preserve">(citing </w:t>
      </w:r>
      <w:r w:rsidRPr="0056542B" w:rsidR="0056542B">
        <w:t>Order No. 2003-A, 106 FERC ¶</w:t>
      </w:r>
      <w:r w:rsidR="004F7A3A">
        <w:t> </w:t>
      </w:r>
      <w:r w:rsidRPr="0056542B" w:rsidR="0056542B">
        <w:t xml:space="preserve">61,220 at P 416; </w:t>
      </w:r>
      <w:r w:rsidRPr="0056542B" w:rsidR="0056542B">
        <w:rPr>
          <w:i/>
          <w:iCs/>
        </w:rPr>
        <w:t>SPP</w:t>
      </w:r>
      <w:r w:rsidRPr="0056542B" w:rsidR="0056542B">
        <w:t>, 119 FERC</w:t>
      </w:r>
      <w:r w:rsidR="0056542B">
        <w:t xml:space="preserve"> </w:t>
      </w:r>
      <w:r w:rsidRPr="0056542B" w:rsidR="0056542B">
        <w:t>¶ 61,199 at P 28</w:t>
      </w:r>
      <w:r w:rsidR="005D1B34">
        <w:t xml:space="preserve">) </w:t>
      </w:r>
      <w:r w:rsidRPr="00CD2C9F">
        <w:t>(</w:t>
      </w:r>
      <w:r w:rsidR="006531F4">
        <w:t>“</w:t>
      </w:r>
      <w:r w:rsidRPr="006531F4" w:rsidR="006531F4">
        <w:t>Accordingly, by designing their generating facilities to</w:t>
      </w:r>
      <w:r w:rsidR="006531F4">
        <w:t xml:space="preserve"> </w:t>
      </w:r>
      <w:r w:rsidRPr="006531F4" w:rsidR="006531F4">
        <w:t>have the capability to provide reactive support, interconnecting generators are meeting</w:t>
      </w:r>
      <w:r w:rsidR="006531F4">
        <w:t xml:space="preserve"> </w:t>
      </w:r>
      <w:r w:rsidRPr="006531F4" w:rsidR="006531F4">
        <w:t>the conditions of interconnection required of all generators and as a general matter are not</w:t>
      </w:r>
      <w:r w:rsidR="006531F4">
        <w:t xml:space="preserve"> </w:t>
      </w:r>
      <w:r w:rsidRPr="006531F4" w:rsidR="006531F4">
        <w:t>entitled to compensation under the Commission’s precedent unless the transmission</w:t>
      </w:r>
      <w:r w:rsidR="006531F4">
        <w:t xml:space="preserve"> </w:t>
      </w:r>
      <w:r w:rsidRPr="006531F4" w:rsidR="006531F4">
        <w:t>provider pays its own or affiliated generators for reactive power within the standard</w:t>
      </w:r>
      <w:r w:rsidR="006531F4">
        <w:t xml:space="preserve"> </w:t>
      </w:r>
      <w:r w:rsidRPr="006531F4" w:rsidR="006531F4">
        <w:t>power factor range.</w:t>
      </w:r>
      <w:r w:rsidR="006531F4">
        <w:rPr>
          <w:b/>
          <w:bCs/>
        </w:rPr>
        <w:t>”</w:t>
      </w:r>
      <w:r w:rsidRPr="00CD2C9F">
        <w:t>)</w:t>
      </w:r>
      <w:r w:rsidR="00DE07A0">
        <w:t xml:space="preserve">; NOPR, </w:t>
      </w:r>
      <w:r w:rsidRPr="00DE07A0" w:rsidR="00DE07A0">
        <w:t>186 FERC ¶ 61,203</w:t>
      </w:r>
      <w:r w:rsidR="00DE07A0">
        <w:t xml:space="preserve"> at </w:t>
      </w:r>
      <w:r w:rsidR="00493462">
        <w:t xml:space="preserve">P </w:t>
      </w:r>
      <w:r w:rsidR="00DE07A0">
        <w:t>16</w:t>
      </w:r>
      <w:r w:rsidRPr="00CD2C9F">
        <w:t>.</w:t>
      </w:r>
    </w:p>
  </w:footnote>
  <w:footnote w:id="305">
    <w:p w:rsidR="00933A95" w:rsidP="003428D4" w14:paraId="5EB154AA" w14:textId="4826142B">
      <w:pPr>
        <w:pStyle w:val="FootnoteText"/>
        <w:widowControl/>
      </w:pPr>
      <w:r>
        <w:rPr>
          <w:rStyle w:val="FootnoteReference"/>
        </w:rPr>
        <w:footnoteRef/>
      </w:r>
      <w:r>
        <w:t xml:space="preserve"> </w:t>
      </w:r>
      <w:r w:rsidR="00DC509F">
        <w:rPr>
          <w:i/>
          <w:iCs/>
        </w:rPr>
        <w:t>See e</w:t>
      </w:r>
      <w:r w:rsidRPr="00DC509F" w:rsidR="00DC509F">
        <w:rPr>
          <w:i/>
          <w:iCs/>
        </w:rPr>
        <w:t>.g., ISO N. England Inc.</w:t>
      </w:r>
      <w:r w:rsidRPr="00DC509F" w:rsidR="00DC509F">
        <w:t xml:space="preserve">, 138 FERC ¶ 61,238, at P 17 (2012) (“[A] collateral attack is ‘[a]n attack on a judgment in a proceeding other than a direct appeal,’ and is ‘generally prohibited.”’ (quoting </w:t>
      </w:r>
      <w:r w:rsidRPr="00DC509F" w:rsidR="00DC509F">
        <w:rPr>
          <w:i/>
          <w:iCs/>
        </w:rPr>
        <w:t>N. England Conf. of Pub. Utils. Comm</w:t>
      </w:r>
      <w:r w:rsidR="001B313D">
        <w:rPr>
          <w:i/>
          <w:iCs/>
        </w:rPr>
        <w:t>’</w:t>
      </w:r>
      <w:r w:rsidRPr="00DC509F" w:rsidR="00DC509F">
        <w:rPr>
          <w:i/>
          <w:iCs/>
        </w:rPr>
        <w:t>rs v. Bangor Hydro-Elec. Co</w:t>
      </w:r>
      <w:r w:rsidRPr="00DC509F" w:rsidR="00DC509F">
        <w:t>., 135 FERC ¶ 61,140, at P 27 (2011)))</w:t>
      </w:r>
      <w:r w:rsidR="00DC509F">
        <w:t>.</w:t>
      </w:r>
    </w:p>
  </w:footnote>
  <w:footnote w:id="306">
    <w:p w:rsidR="00A90BF0" w:rsidRPr="00CD2C9F" w:rsidP="00A90BF0" w14:paraId="24B90499" w14:textId="7C59DA22">
      <w:pPr>
        <w:pStyle w:val="FootnoteText"/>
      </w:pPr>
      <w:r w:rsidRPr="00CD2C9F">
        <w:rPr>
          <w:rStyle w:val="FootnoteReference"/>
        </w:rPr>
        <w:footnoteRef/>
      </w:r>
      <w:r w:rsidRPr="00CD2C9F">
        <w:t xml:space="preserve"> </w:t>
      </w:r>
      <w:r w:rsidRPr="00CD2C9F">
        <w:rPr>
          <w:i/>
          <w:iCs/>
        </w:rPr>
        <w:t>See, e.g.</w:t>
      </w:r>
      <w:r w:rsidRPr="000C6AD6">
        <w:t>,</w:t>
      </w:r>
      <w:r w:rsidRPr="00CD2C9F">
        <w:rPr>
          <w:i/>
        </w:rPr>
        <w:t xml:space="preserve"> </w:t>
      </w:r>
      <w:r w:rsidR="00D07390">
        <w:rPr>
          <w:i/>
          <w:iCs/>
        </w:rPr>
        <w:t>MISO</w:t>
      </w:r>
      <w:r w:rsidRPr="00CD2C9F">
        <w:t>, 182 FERC ¶ 61,033</w:t>
      </w:r>
      <w:r w:rsidR="008F19A4">
        <w:t>;</w:t>
      </w:r>
      <w:r w:rsidRPr="00CD2C9F">
        <w:t xml:space="preserve"> </w:t>
      </w:r>
      <w:r w:rsidRPr="00CD2C9F" w:rsidR="00D07390">
        <w:t>MISO Rehearing Order</w:t>
      </w:r>
      <w:r w:rsidRPr="00CD2C9F">
        <w:t xml:space="preserve">, 184 FERC ¶ 61,022 at P 23 (citing </w:t>
      </w:r>
      <w:r w:rsidR="00C71CDF">
        <w:t>METC Rehearing Order</w:t>
      </w:r>
      <w:r w:rsidRPr="00CD2C9F">
        <w:t>, 97 FERC at 61,852-53)</w:t>
      </w:r>
      <w:r w:rsidR="00357494">
        <w:t xml:space="preserve">; </w:t>
      </w:r>
      <w:r w:rsidR="00357494">
        <w:rPr>
          <w:i/>
          <w:iCs/>
        </w:rPr>
        <w:t>see also</w:t>
      </w:r>
      <w:r w:rsidRPr="00D374EE" w:rsidR="00357494">
        <w:t xml:space="preserve"> </w:t>
      </w:r>
      <w:r w:rsidR="00357494">
        <w:t xml:space="preserve">MISO </w:t>
      </w:r>
      <w:r w:rsidR="004A648F">
        <w:t>Transmission Owners</w:t>
      </w:r>
      <w:r w:rsidR="00357494">
        <w:t xml:space="preserve"> Initial Comments at 11 (“</w:t>
      </w:r>
      <w:r w:rsidRPr="00357494" w:rsidR="00357494">
        <w:t>Moreover, generators are incented by their own reliability requirements to install</w:t>
      </w:r>
      <w:r w:rsidR="00357494">
        <w:t xml:space="preserve"> </w:t>
      </w:r>
      <w:r w:rsidRPr="00357494" w:rsidR="00357494">
        <w:t>the equipment that is most likely to keep their projects on-line and delivering real power</w:t>
      </w:r>
      <w:r w:rsidR="00357494">
        <w:t>.” (citations omitted))</w:t>
      </w:r>
      <w:r w:rsidR="00384AFB">
        <w:t>;</w:t>
      </w:r>
      <w:r w:rsidRPr="00C05B45" w:rsidR="00D0175E">
        <w:t xml:space="preserve"> </w:t>
      </w:r>
      <w:r w:rsidR="005B59A5">
        <w:t xml:space="preserve"> </w:t>
      </w:r>
      <w:r w:rsidRPr="00504C1D" w:rsidR="00D0175E">
        <w:t>NOPR</w:t>
      </w:r>
      <w:r w:rsidR="00B940BA">
        <w:t>,</w:t>
      </w:r>
      <w:r w:rsidR="00624D2F">
        <w:t xml:space="preserve"> </w:t>
      </w:r>
      <w:r w:rsidRPr="00B940BA" w:rsidR="00B940BA">
        <w:t>186 FERC ¶ 61,203</w:t>
      </w:r>
      <w:r w:rsidRPr="00504C1D" w:rsidR="00D0175E">
        <w:t xml:space="preserve"> at </w:t>
      </w:r>
      <w:r w:rsidR="00D0175E">
        <w:rPr>
          <w:iCs/>
        </w:rPr>
        <w:t>P</w:t>
      </w:r>
      <w:r w:rsidR="00C05B45">
        <w:rPr>
          <w:iCs/>
        </w:rPr>
        <w:t> </w:t>
      </w:r>
      <w:r w:rsidRPr="00504C1D" w:rsidR="00D0175E">
        <w:t>33</w:t>
      </w:r>
      <w:r w:rsidR="00D0175E">
        <w:rPr>
          <w:i/>
        </w:rPr>
        <w:t xml:space="preserve"> </w:t>
      </w:r>
      <w:r w:rsidRPr="006056E4" w:rsidR="00D0175E">
        <w:t>(“</w:t>
      </w:r>
      <w:r w:rsidRPr="00267BBE" w:rsidR="00D0175E">
        <w:rPr>
          <w:iCs/>
        </w:rPr>
        <w:t>For example, CAISO states that “[t]he rationale for the CAISO’s existing approach to reactive power compensation is that the reactive power ranges called for in each interconnection agreement represent a reasonable range of what a generator is expected to provide the CAISO without additional compensation in accordance with good utility practice and as a condition of being part of the CAISO markets and CAISO grid.</w:t>
      </w:r>
      <w:r w:rsidR="00D0175E">
        <w:rPr>
          <w:iCs/>
        </w:rPr>
        <w:t>”</w:t>
      </w:r>
      <w:r w:rsidR="002776B6">
        <w:rPr>
          <w:iCs/>
        </w:rPr>
        <w:t xml:space="preserve">) (citing </w:t>
      </w:r>
      <w:r w:rsidRPr="00955694" w:rsidR="00955694">
        <w:rPr>
          <w:iCs/>
        </w:rPr>
        <w:t xml:space="preserve">CAISO Initial Comments </w:t>
      </w:r>
      <w:r w:rsidR="00D07390">
        <w:rPr>
          <w:iCs/>
        </w:rPr>
        <w:t xml:space="preserve">to the NOI </w:t>
      </w:r>
      <w:r w:rsidRPr="00955694" w:rsidR="00955694">
        <w:rPr>
          <w:iCs/>
        </w:rPr>
        <w:t>at 3</w:t>
      </w:r>
      <w:r w:rsidR="00B37930">
        <w:rPr>
          <w:iCs/>
        </w:rPr>
        <w:t>).</w:t>
      </w:r>
    </w:p>
  </w:footnote>
  <w:footnote w:id="307">
    <w:p w:rsidR="00F632E4" w:rsidP="00BC5971" w14:paraId="1C6A7E40" w14:textId="3CCD17BE">
      <w:pPr>
        <w:pStyle w:val="FootnoteText"/>
      </w:pPr>
      <w:r>
        <w:rPr>
          <w:rStyle w:val="FootnoteReference"/>
        </w:rPr>
        <w:footnoteRef/>
      </w:r>
      <w:r>
        <w:t xml:space="preserve"> </w:t>
      </w:r>
      <w:r w:rsidR="00C4143E">
        <w:rPr>
          <w:i/>
        </w:rPr>
        <w:t>SPP</w:t>
      </w:r>
      <w:r w:rsidRPr="00972611" w:rsidR="00972611">
        <w:t>, 119 FERC ¶ 61,199</w:t>
      </w:r>
      <w:r w:rsidR="002F3072">
        <w:t xml:space="preserve"> at </w:t>
      </w:r>
      <w:r w:rsidR="00852F7D">
        <w:t xml:space="preserve">P </w:t>
      </w:r>
      <w:r w:rsidR="002F3072">
        <w:t>28</w:t>
      </w:r>
      <w:r w:rsidR="0097040D">
        <w:t>.</w:t>
      </w:r>
      <w:r w:rsidR="0048038E">
        <w:t xml:space="preserve">  This has always been a physical </w:t>
      </w:r>
      <w:r w:rsidR="00B16F29">
        <w:t>reality</w:t>
      </w:r>
      <w:r w:rsidR="007C36D5">
        <w:t xml:space="preserve"> of the </w:t>
      </w:r>
      <w:r w:rsidR="00B8282F">
        <w:t>transmission system</w:t>
      </w:r>
      <w:r w:rsidR="00C66689">
        <w:t xml:space="preserve">, </w:t>
      </w:r>
      <w:r w:rsidR="00B16F29">
        <w:t xml:space="preserve">even for </w:t>
      </w:r>
      <w:r w:rsidR="00C129A7">
        <w:t xml:space="preserve">wind generating facilities </w:t>
      </w:r>
      <w:r w:rsidR="00C66689">
        <w:t>that were</w:t>
      </w:r>
      <w:r w:rsidR="00245E7F">
        <w:t xml:space="preserve"> </w:t>
      </w:r>
      <w:r w:rsidR="000463A0">
        <w:t>exempt</w:t>
      </w:r>
      <w:r w:rsidR="00C66689">
        <w:t>ed</w:t>
      </w:r>
      <w:r w:rsidR="00245E7F">
        <w:t xml:space="preserve"> f</w:t>
      </w:r>
      <w:r w:rsidR="00C66689">
        <w:t>rom</w:t>
      </w:r>
      <w:r w:rsidR="00245E7F">
        <w:t xml:space="preserve"> provid</w:t>
      </w:r>
      <w:r w:rsidR="00C66689">
        <w:t>ing</w:t>
      </w:r>
      <w:r w:rsidR="00245E7F">
        <w:t xml:space="preserve"> reactive service within the standard power factor range </w:t>
      </w:r>
      <w:r w:rsidR="00C66689">
        <w:t>prior to</w:t>
      </w:r>
      <w:r w:rsidR="00245E7F">
        <w:t xml:space="preserve"> Order No. 827.</w:t>
      </w:r>
      <w:r w:rsidR="009D279D">
        <w:t xml:space="preserve">  </w:t>
      </w:r>
      <w:r w:rsidR="00876F33">
        <w:t xml:space="preserve">Specifically, in </w:t>
      </w:r>
      <w:r w:rsidR="00544F3A">
        <w:t xml:space="preserve">Order No. 827, the Commission </w:t>
      </w:r>
      <w:r w:rsidR="00392E34">
        <w:t>“</w:t>
      </w:r>
      <w:r w:rsidRPr="00392E34" w:rsidR="00392E34">
        <w:t xml:space="preserve">exempted wind generators from the uniform reactive power requirement because, historically, the costs to design and build a wind generator that could provide reactive power were high and </w:t>
      </w:r>
      <w:r w:rsidRPr="00CC6424" w:rsidR="00392E34">
        <w:rPr>
          <w:i/>
          <w:iCs/>
        </w:rPr>
        <w:t>could have created an obstacle to the development of wind generation</w:t>
      </w:r>
      <w:r w:rsidRPr="00392E34" w:rsidR="00392E34">
        <w:t>.</w:t>
      </w:r>
      <w:r w:rsidR="00392E34">
        <w:t>”</w:t>
      </w:r>
      <w:r w:rsidR="00C66689">
        <w:t xml:space="preserve">  </w:t>
      </w:r>
      <w:r w:rsidR="00392E34">
        <w:t>Order No. 827</w:t>
      </w:r>
      <w:r w:rsidR="00B30480">
        <w:t>,</w:t>
      </w:r>
      <w:r w:rsidRPr="00B30480" w:rsidR="00B30480">
        <w:rPr>
          <w:rFonts w:asciiTheme="minorHAnsi" w:hAnsiTheme="minorHAnsi" w:cstheme="minorBidi"/>
          <w:sz w:val="22"/>
          <w:szCs w:val="22"/>
        </w:rPr>
        <w:t xml:space="preserve"> </w:t>
      </w:r>
      <w:r w:rsidRPr="00B30480" w:rsidR="00B30480">
        <w:t>155 FERC ¶ 61,277</w:t>
      </w:r>
      <w:r w:rsidR="00392E34">
        <w:t xml:space="preserve"> </w:t>
      </w:r>
      <w:r w:rsidR="00C16419">
        <w:t xml:space="preserve">    </w:t>
      </w:r>
      <w:r w:rsidR="00392E34">
        <w:t>at P 4</w:t>
      </w:r>
      <w:r w:rsidR="004C3668">
        <w:t xml:space="preserve"> (emphasis added)</w:t>
      </w:r>
      <w:r w:rsidR="00BF7889">
        <w:t>.</w:t>
      </w:r>
      <w:r w:rsidR="004C3668">
        <w:t xml:space="preserve">  </w:t>
      </w:r>
      <w:r w:rsidRPr="005252C5" w:rsidR="005252C5">
        <w:t xml:space="preserve">During this period of exemption, wind generating facilities would have had to rely on </w:t>
      </w:r>
      <w:r w:rsidR="004D63AB">
        <w:t xml:space="preserve">dynamic </w:t>
      </w:r>
      <w:r w:rsidRPr="005252C5" w:rsidR="005252C5">
        <w:t>reactive power service supplied by other generating facilities and equipment on the transmission system capable of providing reactive support to allow their real power to reliably flow onto the transmission system.  In essence, prior to Order No. 827, the Commission allowed the nascent wind industry to make up for these reactive power deficiencies by relying on transmission customers for reactive support because it determined that the costs of requiring them to provide their own reactive power could have been prohibitive.</w:t>
      </w:r>
      <w:r w:rsidR="005252C5">
        <w:t xml:space="preserve">  </w:t>
      </w:r>
      <w:r w:rsidR="000E59B3">
        <w:t>By the time of Order No. 827, that rationale for the exemption no longer existed, and the Commission, i</w:t>
      </w:r>
      <w:r w:rsidRPr="001668DD" w:rsidR="001668DD">
        <w:t>n removing this exemption for wind generating facilities in Order No. 827,</w:t>
      </w:r>
      <w:r w:rsidRPr="001668DD" w:rsidR="001668DD">
        <w:t xml:space="preserve"> </w:t>
      </w:r>
      <w:r w:rsidRPr="001668DD" w:rsidR="001668DD">
        <w:t>noted that “[d]ue to technological advancements, the cost of providing reactive power no longer presents an obstacle to the development of wind generation.”</w:t>
      </w:r>
      <w:r w:rsidR="00BC5971">
        <w:t xml:space="preserve">  </w:t>
      </w:r>
      <w:r w:rsidR="007E1E24">
        <w:rPr>
          <w:i/>
          <w:iCs/>
        </w:rPr>
        <w:t xml:space="preserve">Id.  </w:t>
      </w:r>
      <w:r w:rsidR="00841110">
        <w:t xml:space="preserve">Additionally, the </w:t>
      </w:r>
      <w:r w:rsidR="00565298">
        <w:t xml:space="preserve">Commission expressed its concern </w:t>
      </w:r>
      <w:r w:rsidR="00BF5A9D">
        <w:t>“that</w:t>
      </w:r>
      <w:r w:rsidRPr="005F16BB" w:rsidR="005F16BB">
        <w:t>, as the penetration of non-synchronous generators continues to grow, exempting a class of generators from providing reactive power could create reliability concerns, especially if those generators represent a substantial amount of total generation in a particular region, or if many of the resources that currently provide reactive power are retired from operation.</w:t>
      </w:r>
      <w:r w:rsidR="00D56969">
        <w:t xml:space="preserve">  </w:t>
      </w:r>
      <w:r w:rsidRPr="00D56969" w:rsidR="00D56969">
        <w:t>In addition, as noted above, maintaining the exemptions for wind generators places an undue burden on synchronous generators to supply reactive power without a reasonable technological or cost-based distinction between synchronous and non-synchronous generators.</w:t>
      </w:r>
      <w:r w:rsidR="005F16BB">
        <w:t xml:space="preserve">” </w:t>
      </w:r>
      <w:r w:rsidR="00241F7F">
        <w:t xml:space="preserve"> </w:t>
      </w:r>
      <w:r w:rsidR="005F16BB">
        <w:rPr>
          <w:i/>
          <w:iCs/>
        </w:rPr>
        <w:t xml:space="preserve">Id. </w:t>
      </w:r>
      <w:r w:rsidR="005F16BB">
        <w:t>P 25</w:t>
      </w:r>
      <w:r w:rsidR="004C7F93">
        <w:t>.</w:t>
      </w:r>
    </w:p>
  </w:footnote>
  <w:footnote w:id="308">
    <w:p w:rsidR="00B42828" w:rsidP="00B42828" w14:paraId="2E35AE59" w14:textId="425100A0">
      <w:pPr>
        <w:pStyle w:val="FootnoteText"/>
      </w:pPr>
      <w:r>
        <w:rPr>
          <w:rStyle w:val="FootnoteReference"/>
        </w:rPr>
        <w:footnoteRef/>
      </w:r>
      <w:r>
        <w:t xml:space="preserve"> </w:t>
      </w:r>
      <w:r>
        <w:rPr>
          <w:i/>
          <w:iCs/>
        </w:rPr>
        <w:t>See, e.g.</w:t>
      </w:r>
      <w:r>
        <w:t>, Indicated Trade Associations Initial Comments at 9 (“</w:t>
      </w:r>
      <w:r w:rsidRPr="00DF3478">
        <w:t>This assumption is at odds with Order No. 888, which expressly found that reactive service from generation facilities must be priced at cost</w:t>
      </w:r>
      <w:r>
        <w:t>”); NEI Initial Comments at 4 (“</w:t>
      </w:r>
      <w:r w:rsidRPr="0094397A">
        <w:t>Unsurprisingly, in Order No. 888 the Commission found that reactive power is one of six ancillary services necessary to provide basic transmission service within every control area.</w:t>
      </w:r>
      <w:r>
        <w:t xml:space="preserve"> </w:t>
      </w:r>
      <w:r w:rsidRPr="0094397A">
        <w:t xml:space="preserve"> Schedule 2 of the Open Access Transmission Tariff thus required that transmission providers provide—and transmission customers pay for—reactive power.</w:t>
      </w:r>
      <w:r>
        <w:t xml:space="preserve">”); </w:t>
      </w:r>
      <w:r w:rsidR="00A6442E">
        <w:t>PSEG</w:t>
      </w:r>
      <w:r>
        <w:t xml:space="preserve"> Initial Comments at 13 (“</w:t>
      </w:r>
      <w:r w:rsidRPr="00983881">
        <w:t>The NOPR, if adopted, would effectively eliminate reactive power as one of ancillary services that the Commission has recognized since Order No. 888.</w:t>
      </w:r>
      <w:r>
        <w:t>”)</w:t>
      </w:r>
      <w:r w:rsidR="00194EE8">
        <w:t>;</w:t>
      </w:r>
      <w:r w:rsidR="00F6111F">
        <w:t xml:space="preserve"> </w:t>
      </w:r>
      <w:r w:rsidRPr="003006F1" w:rsidR="00F6111F">
        <w:t>Middle River Power Initial Comments at 2-3 (</w:t>
      </w:r>
      <w:r w:rsidR="00E1724F">
        <w:t xml:space="preserve">citing </w:t>
      </w:r>
      <w:r w:rsidRPr="003006F1" w:rsidR="00F6111F">
        <w:t>Indicated Energy Trade Associations Initial Comments at 21; Order No. 888</w:t>
      </w:r>
      <w:r w:rsidR="00D06B7B">
        <w:t xml:space="preserve">, </w:t>
      </w:r>
      <w:r w:rsidRPr="00D06B7B" w:rsidR="00D06B7B">
        <w:t xml:space="preserve">FERC Stats. &amp; Regs. </w:t>
      </w:r>
      <w:r w:rsidRPr="00BD10A8" w:rsidR="000511DE">
        <w:t>¶ 31,036</w:t>
      </w:r>
      <w:r w:rsidR="000511DE">
        <w:t xml:space="preserve"> at 31,</w:t>
      </w:r>
      <w:r w:rsidR="00A7138B">
        <w:t>707</w:t>
      </w:r>
      <w:r w:rsidRPr="00D06B7B" w:rsidR="000511DE">
        <w:t xml:space="preserve"> </w:t>
      </w:r>
      <w:r w:rsidRPr="003006F1" w:rsidR="00F6111F">
        <w:t>(“</w:t>
      </w:r>
      <w:r w:rsidR="00944351">
        <w:t>[T]</w:t>
      </w:r>
      <w:r w:rsidRPr="003006F1" w:rsidR="00F6111F">
        <w:t xml:space="preserve">ransmission customer actions do not eliminate entirely the need for </w:t>
      </w:r>
      <w:r w:rsidR="00C16419">
        <w:t xml:space="preserve">             </w:t>
      </w:r>
      <w:r w:rsidRPr="003006F1" w:rsidR="00F6111F">
        <w:t>generator-supplied reactive power</w:t>
      </w:r>
      <w:r w:rsidR="00944351">
        <w:t>.</w:t>
      </w:r>
      <w:r w:rsidRPr="003006F1" w:rsidR="00F6111F">
        <w:t>”</w:t>
      </w:r>
      <w:r w:rsidR="00C16419">
        <w:t xml:space="preserve">  </w:t>
      </w:r>
      <w:r w:rsidRPr="003006F1" w:rsidR="00F6111F">
        <w:t>“</w:t>
      </w:r>
      <w:r w:rsidR="00944351">
        <w:t>T</w:t>
      </w:r>
      <w:r w:rsidRPr="003006F1" w:rsidR="00F6111F">
        <w:t>he transmission provider must provide at least some reactive power from generation sources.”)).</w:t>
      </w:r>
    </w:p>
  </w:footnote>
  <w:footnote w:id="309">
    <w:p w:rsidR="003A24BE" w:rsidRPr="00CD2C9F" w:rsidP="003A24BE" w14:paraId="29D80D67" w14:textId="05833092">
      <w:pPr>
        <w:pStyle w:val="FootnoteText"/>
        <w:widowControl/>
      </w:pPr>
      <w:r w:rsidRPr="00CD2C9F">
        <w:rPr>
          <w:rStyle w:val="FootnoteReference"/>
        </w:rPr>
        <w:footnoteRef/>
      </w:r>
      <w:r w:rsidRPr="00CD2C9F">
        <w:t xml:space="preserve"> </w:t>
      </w:r>
      <w:r>
        <w:t xml:space="preserve">NOPR, </w:t>
      </w:r>
      <w:r w:rsidRPr="004406A6">
        <w:t>186 FERC ¶ 61,203</w:t>
      </w:r>
      <w:r>
        <w:t xml:space="preserve"> at P</w:t>
      </w:r>
      <w:r w:rsidR="00C05B45">
        <w:t> </w:t>
      </w:r>
      <w:r>
        <w:t xml:space="preserve">12; </w:t>
      </w:r>
      <w:r w:rsidRPr="00CD2C9F">
        <w:t>Order No. 888, FERC Stats. &amp; Regs. ¶ 31,036 at 31,705-07 &amp; n.359</w:t>
      </w:r>
      <w:r>
        <w:t xml:space="preserve">; </w:t>
      </w:r>
      <w:r>
        <w:rPr>
          <w:i/>
          <w:iCs/>
        </w:rPr>
        <w:t>see also</w:t>
      </w:r>
      <w:r w:rsidRPr="00C05B45">
        <w:t xml:space="preserve"> </w:t>
      </w:r>
      <w:r>
        <w:t xml:space="preserve">BPA Rehearing Order, </w:t>
      </w:r>
      <w:r w:rsidRPr="009F15E3">
        <w:t>125 FERC ¶</w:t>
      </w:r>
      <w:r w:rsidR="00C05B45">
        <w:t> </w:t>
      </w:r>
      <w:r w:rsidRPr="009F15E3">
        <w:t xml:space="preserve">61,273 </w:t>
      </w:r>
      <w:r w:rsidR="00975A21">
        <w:t xml:space="preserve">      </w:t>
      </w:r>
      <w:r w:rsidRPr="009F15E3">
        <w:t>at P 18</w:t>
      </w:r>
      <w:r w:rsidRPr="00CD2C9F">
        <w:t>.</w:t>
      </w:r>
    </w:p>
  </w:footnote>
  <w:footnote w:id="310">
    <w:p w:rsidR="003A24BE" w:rsidRPr="00CD2C9F" w:rsidP="003A24BE" w14:paraId="6086E4CF" w14:textId="591E844A">
      <w:pPr>
        <w:pStyle w:val="FootnoteText"/>
      </w:pPr>
      <w:r w:rsidRPr="00CD2C9F">
        <w:rPr>
          <w:rStyle w:val="FootnoteReference"/>
        </w:rPr>
        <w:footnoteRef/>
      </w:r>
      <w:r w:rsidRPr="00CD2C9F">
        <w:t xml:space="preserve"> </w:t>
      </w:r>
      <w:r w:rsidRPr="008F306B">
        <w:t>Order No. 2003, 104 FERC ¶</w:t>
      </w:r>
      <w:r w:rsidR="00C05B45">
        <w:t> </w:t>
      </w:r>
      <w:r w:rsidRPr="008F306B">
        <w:t>61,103 at P 546.</w:t>
      </w:r>
    </w:p>
  </w:footnote>
  <w:footnote w:id="311">
    <w:p w:rsidR="003A24BE" w:rsidRPr="00CD2C9F" w:rsidP="003A24BE" w14:paraId="3204C27A" w14:textId="0C2DDAF8">
      <w:pPr>
        <w:pStyle w:val="FootnoteText"/>
      </w:pPr>
      <w:r w:rsidRPr="00CD2C9F">
        <w:rPr>
          <w:rStyle w:val="FootnoteReference"/>
        </w:rPr>
        <w:footnoteRef/>
      </w:r>
      <w:r w:rsidRPr="00CD2C9F">
        <w:t xml:space="preserve"> Order No. 2003-A, 106 FERC ¶ 61,220 at P 416</w:t>
      </w:r>
      <w:r>
        <w:t xml:space="preserve">; </w:t>
      </w:r>
      <w:r>
        <w:rPr>
          <w:i/>
          <w:iCs/>
        </w:rPr>
        <w:t>see also</w:t>
      </w:r>
      <w:r w:rsidRPr="00C05B45">
        <w:t xml:space="preserve"> </w:t>
      </w:r>
      <w:r>
        <w:t>MISO</w:t>
      </w:r>
      <w:r w:rsidRPr="008E2D5F">
        <w:t xml:space="preserve"> </w:t>
      </w:r>
      <w:r w:rsidRPr="004235AB">
        <w:t>Rehearing Order</w:t>
      </w:r>
      <w:r w:rsidRPr="004235AB">
        <w:t>, 184</w:t>
      </w:r>
      <w:r w:rsidR="00C05B45">
        <w:t xml:space="preserve"> </w:t>
      </w:r>
      <w:r w:rsidRPr="004235AB">
        <w:t>FERC ¶</w:t>
      </w:r>
      <w:r w:rsidRPr="004235AB">
        <w:t> </w:t>
      </w:r>
      <w:r w:rsidRPr="004235AB">
        <w:t>61,022 at</w:t>
      </w:r>
      <w:r>
        <w:t xml:space="preserve"> P</w:t>
      </w:r>
      <w:r w:rsidR="00C05B45">
        <w:t> </w:t>
      </w:r>
      <w:r>
        <w:t>24 (“Order No. 2003 reflects the distinction between these two different reactive power concepts.  When the transmission provider asks the interconnecting generator to operate its facility outside the established power factor range, the transmission provider is required to pay the interconnecting generator for the provision of such reactive power.  By contrast, compensation for reactive power when the generating facility is operating within the established power factor range is generally not required.  The sole exception the Commission identified was that ‘if the Transmission Provider pays its own or its affiliated generators for reactive power within the established range, it must also pay the Interconnection Customer.’” (internal citations omitted))</w:t>
      </w:r>
      <w:r w:rsidRPr="00CD2C9F">
        <w:t>.</w:t>
      </w:r>
    </w:p>
  </w:footnote>
  <w:footnote w:id="312">
    <w:p w:rsidR="00422B7F" w:rsidRPr="00CD2C9F" w:rsidP="00422B7F" w14:paraId="7CE013E0" w14:textId="3E83FCFD">
      <w:pPr>
        <w:pStyle w:val="FootnoteText"/>
      </w:pPr>
      <w:r w:rsidRPr="00CD2C9F">
        <w:rPr>
          <w:rStyle w:val="FootnoteReference"/>
        </w:rPr>
        <w:footnoteRef/>
      </w:r>
      <w:r w:rsidRPr="00CD2C9F">
        <w:t xml:space="preserve"> </w:t>
      </w:r>
      <w:r w:rsidRPr="006056E4" w:rsidR="00FD6E0A">
        <w:t>BPA</w:t>
      </w:r>
      <w:r w:rsidR="00FD6E0A">
        <w:t xml:space="preserve"> Rehearing Order</w:t>
      </w:r>
      <w:r w:rsidRPr="00CD2C9F">
        <w:t xml:space="preserve"> 125 FERC ¶ 61,273</w:t>
      </w:r>
      <w:r>
        <w:t xml:space="preserve"> </w:t>
      </w:r>
      <w:r w:rsidRPr="00CD2C9F">
        <w:t>at P 18.</w:t>
      </w:r>
    </w:p>
  </w:footnote>
  <w:footnote w:id="313">
    <w:p w:rsidR="003A24BE" w:rsidP="00C16419" w14:paraId="7BA57DA9" w14:textId="02C5E553">
      <w:pPr>
        <w:pStyle w:val="FootnoteText"/>
        <w:widowControl/>
      </w:pPr>
      <w:r>
        <w:rPr>
          <w:rStyle w:val="FootnoteReference"/>
        </w:rPr>
        <w:footnoteRef/>
      </w:r>
      <w:r>
        <w:t xml:space="preserve"> </w:t>
      </w:r>
      <w:r w:rsidRPr="004235AB">
        <w:rPr>
          <w:i/>
          <w:iCs/>
        </w:rPr>
        <w:t>See, e.g.</w:t>
      </w:r>
      <w:r w:rsidRPr="004235AB">
        <w:t>,</w:t>
      </w:r>
      <w:r w:rsidRPr="004235AB">
        <w:rPr>
          <w:i/>
          <w:iCs/>
        </w:rPr>
        <w:t xml:space="preserve"> M</w:t>
      </w:r>
      <w:r w:rsidRPr="004235AB">
        <w:rPr>
          <w:i/>
          <w:iCs/>
        </w:rPr>
        <w:t>ISO</w:t>
      </w:r>
      <w:r w:rsidRPr="004235AB">
        <w:t>, 182 FERC ¶</w:t>
      </w:r>
      <w:r w:rsidRPr="004235AB">
        <w:t> </w:t>
      </w:r>
      <w:r w:rsidRPr="004235AB">
        <w:t>61,033 at PP</w:t>
      </w:r>
      <w:r w:rsidRPr="004235AB">
        <w:t> </w:t>
      </w:r>
      <w:r w:rsidRPr="004235AB">
        <w:t>52-53</w:t>
      </w:r>
      <w:r w:rsidRPr="004235AB">
        <w:t>;</w:t>
      </w:r>
      <w:r w:rsidRPr="004235AB">
        <w:t xml:space="preserve"> </w:t>
      </w:r>
      <w:r w:rsidRPr="004235AB">
        <w:t>MISO Rehearing Order</w:t>
      </w:r>
      <w:r w:rsidRPr="004235AB">
        <w:t>, 184</w:t>
      </w:r>
      <w:r w:rsidR="00614793">
        <w:t> </w:t>
      </w:r>
      <w:r w:rsidRPr="004235AB">
        <w:t>FERC ¶</w:t>
      </w:r>
      <w:r w:rsidRPr="004235AB">
        <w:t> </w:t>
      </w:r>
      <w:r w:rsidRPr="004235AB">
        <w:t>61,022 at P</w:t>
      </w:r>
      <w:r>
        <w:t>P</w:t>
      </w:r>
      <w:r w:rsidRPr="004235AB">
        <w:t> </w:t>
      </w:r>
      <w:r w:rsidRPr="004235AB">
        <w:t>2</w:t>
      </w:r>
      <w:r>
        <w:t xml:space="preserve">3-25, 41; </w:t>
      </w:r>
      <w:r w:rsidRPr="004235AB">
        <w:rPr>
          <w:i/>
          <w:iCs/>
        </w:rPr>
        <w:t>PNM</w:t>
      </w:r>
      <w:r w:rsidRPr="004235AB">
        <w:t>, 178 FERC ¶</w:t>
      </w:r>
      <w:r w:rsidRPr="004235AB">
        <w:t> </w:t>
      </w:r>
      <w:r w:rsidRPr="004235AB">
        <w:t>61,088 at PP</w:t>
      </w:r>
      <w:r w:rsidRPr="004235AB">
        <w:t> </w:t>
      </w:r>
      <w:r w:rsidRPr="004235AB">
        <w:t xml:space="preserve">29-31; </w:t>
      </w:r>
      <w:r w:rsidRPr="004235AB">
        <w:rPr>
          <w:i/>
          <w:iCs/>
        </w:rPr>
        <w:t>Nev. Power Co.</w:t>
      </w:r>
      <w:r w:rsidRPr="004235AB">
        <w:t>, 179 FERC ¶</w:t>
      </w:r>
      <w:r w:rsidRPr="004235AB">
        <w:t> </w:t>
      </w:r>
      <w:r w:rsidRPr="004235AB">
        <w:t>61,103 at PP</w:t>
      </w:r>
      <w:r w:rsidRPr="004235AB">
        <w:t> </w:t>
      </w:r>
      <w:r w:rsidRPr="004235AB">
        <w:t>20-21;</w:t>
      </w:r>
      <w:r w:rsidRPr="004235AB">
        <w:rPr>
          <w:i/>
          <w:iCs/>
        </w:rPr>
        <w:t xml:space="preserve"> BPA</w:t>
      </w:r>
      <w:r w:rsidRPr="004235AB">
        <w:t>, 120</w:t>
      </w:r>
      <w:r w:rsidR="00C05B45">
        <w:t xml:space="preserve"> </w:t>
      </w:r>
      <w:r w:rsidRPr="004235AB">
        <w:t>FERC ¶</w:t>
      </w:r>
      <w:r w:rsidRPr="004235AB">
        <w:t> </w:t>
      </w:r>
      <w:r w:rsidRPr="004235AB">
        <w:t>61,211 at P</w:t>
      </w:r>
      <w:r w:rsidRPr="004235AB">
        <w:t> </w:t>
      </w:r>
      <w:r w:rsidRPr="004235AB">
        <w:t xml:space="preserve">20; </w:t>
      </w:r>
      <w:r w:rsidRPr="004235AB">
        <w:rPr>
          <w:i/>
          <w:iCs/>
        </w:rPr>
        <w:t>E.ON U.S. LLC</w:t>
      </w:r>
      <w:r w:rsidRPr="004235AB">
        <w:t>, 119 FERC ¶</w:t>
      </w:r>
      <w:r w:rsidRPr="004235AB">
        <w:t> </w:t>
      </w:r>
      <w:r w:rsidRPr="004235AB">
        <w:t>61,340 at P</w:t>
      </w:r>
      <w:r w:rsidRPr="004235AB">
        <w:t> </w:t>
      </w:r>
      <w:r w:rsidRPr="004235AB">
        <w:t xml:space="preserve">15; </w:t>
      </w:r>
      <w:r w:rsidRPr="004235AB">
        <w:rPr>
          <w:i/>
          <w:iCs/>
        </w:rPr>
        <w:t>Entergy Servs., Inc.</w:t>
      </w:r>
      <w:r w:rsidRPr="004235AB">
        <w:t>, 113 FERC ¶</w:t>
      </w:r>
      <w:r w:rsidRPr="004235AB">
        <w:t> </w:t>
      </w:r>
      <w:r w:rsidRPr="004235AB">
        <w:t>61,040 at P</w:t>
      </w:r>
      <w:r w:rsidRPr="004235AB">
        <w:t> </w:t>
      </w:r>
      <w:r w:rsidRPr="004235AB">
        <w:t>38.</w:t>
      </w:r>
    </w:p>
  </w:footnote>
  <w:footnote w:id="314">
    <w:p w:rsidR="00681759" w:rsidP="003428D4" w14:paraId="4D1FCB5F" w14:textId="72BD81DE">
      <w:pPr>
        <w:pStyle w:val="FootnoteText"/>
        <w:widowControl/>
      </w:pPr>
      <w:r>
        <w:rPr>
          <w:rStyle w:val="FootnoteReference"/>
        </w:rPr>
        <w:footnoteRef/>
      </w:r>
      <w:r>
        <w:t xml:space="preserve"> </w:t>
      </w:r>
      <w:r w:rsidRPr="00E5275F">
        <w:t>Elevate Initial Comments at 9-12; Elevate Reply Comments at 7-9</w:t>
      </w:r>
      <w:r w:rsidR="003428D4">
        <w:t>.</w:t>
      </w:r>
    </w:p>
  </w:footnote>
  <w:footnote w:id="315">
    <w:p w:rsidR="001C0FE7" w:rsidP="00975A21" w14:paraId="49942861" w14:textId="39706C50">
      <w:pPr>
        <w:pStyle w:val="FootnoteText"/>
        <w:widowControl/>
      </w:pPr>
      <w:r>
        <w:rPr>
          <w:rStyle w:val="FootnoteReference"/>
        </w:rPr>
        <w:footnoteRef/>
      </w:r>
      <w:r>
        <w:t xml:space="preserve"> PJM IMM Reply Comments at 4-5 (“</w:t>
      </w:r>
      <w:r w:rsidRPr="001C0FE7">
        <w:t>The NOPR does not require a finding that generators recover all of their cost in</w:t>
      </w:r>
      <w:r>
        <w:t xml:space="preserve"> </w:t>
      </w:r>
      <w:r w:rsidRPr="001C0FE7">
        <w:t xml:space="preserve">markets. </w:t>
      </w:r>
      <w:r w:rsidR="000002CD">
        <w:t xml:space="preserve"> </w:t>
      </w:r>
      <w:r w:rsidRPr="001C0FE7">
        <w:t>Markets do not include such guarantees. In competitive markets, generation owners</w:t>
      </w:r>
      <w:r>
        <w:t xml:space="preserve"> </w:t>
      </w:r>
      <w:r w:rsidRPr="001C0FE7">
        <w:t>may overrecover their costs in markets at times and generators may underrecover their costs</w:t>
      </w:r>
      <w:r>
        <w:t xml:space="preserve"> </w:t>
      </w:r>
      <w:r w:rsidRPr="001C0FE7">
        <w:t xml:space="preserve">at times. </w:t>
      </w:r>
      <w:r w:rsidR="000002CD">
        <w:t xml:space="preserve"> </w:t>
      </w:r>
      <w:r w:rsidRPr="001C0FE7">
        <w:t>The point is that when markets provide an opportunity to recover all costs, those</w:t>
      </w:r>
      <w:r>
        <w:t xml:space="preserve"> </w:t>
      </w:r>
      <w:r w:rsidRPr="001C0FE7">
        <w:t xml:space="preserve">same costs should not be recovered in a separate cost of service rate. </w:t>
      </w:r>
      <w:r w:rsidR="000002CD">
        <w:t xml:space="preserve"> </w:t>
      </w:r>
      <w:r w:rsidRPr="001C0FE7">
        <w:t>The same investment</w:t>
      </w:r>
      <w:r>
        <w:t xml:space="preserve"> </w:t>
      </w:r>
      <w:r w:rsidRPr="001C0FE7">
        <w:t xml:space="preserve">should not be recoverable and recovered in two parallel regulatory regimes. </w:t>
      </w:r>
      <w:r w:rsidR="000002CD">
        <w:t xml:space="preserve"> </w:t>
      </w:r>
      <w:r w:rsidRPr="001C0FE7">
        <w:t>That result is</w:t>
      </w:r>
      <w:r>
        <w:t xml:space="preserve"> </w:t>
      </w:r>
      <w:r w:rsidRPr="001C0FE7">
        <w:t>plainly unjust and unreasonable.</w:t>
      </w:r>
      <w:r>
        <w:t>”).</w:t>
      </w:r>
    </w:p>
  </w:footnote>
  <w:footnote w:id="316">
    <w:p w:rsidR="00011399" w:rsidP="00011399" w14:paraId="32E1AF4F" w14:textId="77777777">
      <w:pPr>
        <w:pStyle w:val="FootnoteText"/>
      </w:pPr>
      <w:r>
        <w:rPr>
          <w:rStyle w:val="FootnoteReference"/>
        </w:rPr>
        <w:footnoteRef/>
      </w:r>
      <w:r>
        <w:t xml:space="preserve"> </w:t>
      </w:r>
      <w:r w:rsidRPr="00504C1D">
        <w:rPr>
          <w:i/>
        </w:rPr>
        <w:t xml:space="preserve">See </w:t>
      </w:r>
      <w:r>
        <w:t xml:space="preserve">MISO Transmission Owners Initial Comments at 11-12 (citing </w:t>
      </w:r>
      <w:bookmarkStart w:id="33" w:name="_Hlk180041391"/>
      <w:r w:rsidRPr="00E20361">
        <w:rPr>
          <w:i/>
          <w:iCs/>
        </w:rPr>
        <w:t xml:space="preserve">VAR-002-3 </w:t>
      </w:r>
      <w:bookmarkEnd w:id="33"/>
      <w:r w:rsidRPr="00E20361">
        <w:rPr>
          <w:i/>
          <w:iCs/>
        </w:rPr>
        <w:t>— Generator Operation for Maintaining Network Voltage Schedules</w:t>
      </w:r>
      <w:r w:rsidRPr="00E20361">
        <w:t>, North American Electric Reliability Corporation, at 2 (Aug. 1, 2014),</w:t>
      </w:r>
      <w:r>
        <w:t xml:space="preserve"> </w:t>
      </w:r>
      <w:r w:rsidRPr="00E20361">
        <w:t>http://www.nerc.com/pa/Stand/Reliability%20Standards/VAR-002-3.pdf (“R2 . . . Generator Operator shall maintain the generator voltage or Reactive Power schedule (within each generating Facility’s capabilities)</w:t>
      </w:r>
      <w:r>
        <w:t>.”).</w:t>
      </w:r>
    </w:p>
  </w:footnote>
  <w:footnote w:id="317">
    <w:p w:rsidR="0033432D" w:rsidP="0033432D" w14:paraId="2063F964" w14:textId="77777777">
      <w:pPr>
        <w:pStyle w:val="FootnoteText"/>
      </w:pPr>
      <w:r w:rsidRPr="01D5E437">
        <w:rPr>
          <w:rStyle w:val="FootnoteReference"/>
        </w:rPr>
        <w:footnoteRef/>
      </w:r>
      <w:r>
        <w:t xml:space="preserve"> Clean Energy Associations Initial Comments at 7.</w:t>
      </w:r>
    </w:p>
  </w:footnote>
  <w:footnote w:id="318">
    <w:p w:rsidR="004263AC" w:rsidRPr="00D13551" w:rsidP="004263AC" w14:paraId="10908BC6" w14:textId="7F4B52F4">
      <w:pPr>
        <w:pStyle w:val="FootnoteText"/>
      </w:pPr>
      <w:r>
        <w:rPr>
          <w:rStyle w:val="FootnoteReference"/>
        </w:rPr>
        <w:footnoteRef/>
      </w:r>
      <w:r>
        <w:t xml:space="preserve"> </w:t>
      </w:r>
      <w:r>
        <w:rPr>
          <w:i/>
          <w:iCs/>
        </w:rPr>
        <w:t>See, e.g.</w:t>
      </w:r>
      <w:r w:rsidRPr="00D374EE">
        <w:t>,</w:t>
      </w:r>
      <w:r>
        <w:t xml:space="preserve"> PJM IMM Initial Comments at 4 (“The current rules create strong incentives for generators to attempt to maximize the allocation of capital costs to reactive in order to maximize guaranteed, nonmarket revenues. </w:t>
      </w:r>
      <w:r w:rsidR="000002CD">
        <w:t xml:space="preserve"> </w:t>
      </w:r>
      <w:r>
        <w:t xml:space="preserve">Those nonmarket revenues provide a nonmarket advantage to those generators who receive them. </w:t>
      </w:r>
      <w:r w:rsidR="000002CD">
        <w:t xml:space="preserve"> </w:t>
      </w:r>
      <w:r>
        <w:t xml:space="preserve">This is a return to using the regulatory process for advantage rather than competing in the market. </w:t>
      </w:r>
      <w:r w:rsidR="000002CD">
        <w:t xml:space="preserve"> </w:t>
      </w:r>
      <w:r>
        <w:t>That advantage is arbitrary, not market based and therefore distortionary.”).</w:t>
      </w:r>
    </w:p>
  </w:footnote>
  <w:footnote w:id="319">
    <w:p w:rsidR="004263AC" w:rsidP="004263AC" w14:paraId="144EF6AB" w14:textId="77777777">
      <w:pPr>
        <w:pStyle w:val="FootnoteText"/>
      </w:pPr>
      <w:r>
        <w:rPr>
          <w:rStyle w:val="FootnoteReference"/>
        </w:rPr>
        <w:footnoteRef/>
      </w:r>
      <w:r>
        <w:t xml:space="preserve"> Reactive Service Providers Initial Comments at 27.</w:t>
      </w:r>
    </w:p>
  </w:footnote>
  <w:footnote w:id="320">
    <w:p w:rsidR="004263AC" w:rsidP="004263AC" w14:paraId="6F185EA1" w14:textId="77777777">
      <w:pPr>
        <w:pStyle w:val="FootnoteText"/>
      </w:pPr>
      <w:r>
        <w:rPr>
          <w:rStyle w:val="FootnoteReference"/>
        </w:rPr>
        <w:footnoteRef/>
      </w:r>
      <w:r>
        <w:t xml:space="preserve"> Indicated Trade Associations Reply Comments at 9.</w:t>
      </w:r>
    </w:p>
  </w:footnote>
  <w:footnote w:id="321">
    <w:p w:rsidR="007F4CAF" w:rsidRPr="007F4CAF" w14:paraId="54D7E6E8" w14:textId="2EF46EDF">
      <w:pPr>
        <w:pStyle w:val="FootnoteText"/>
      </w:pPr>
      <w:r>
        <w:rPr>
          <w:rStyle w:val="FootnoteReference"/>
        </w:rPr>
        <w:footnoteRef/>
      </w:r>
      <w:r>
        <w:t xml:space="preserve"> </w:t>
      </w:r>
      <w:r>
        <w:rPr>
          <w:i/>
          <w:iCs/>
        </w:rPr>
        <w:t>See</w:t>
      </w:r>
      <w:r w:rsidR="00D06C9A">
        <w:rPr>
          <w:i/>
          <w:iCs/>
        </w:rPr>
        <w:t xml:space="preserve"> infra</w:t>
      </w:r>
      <w:r w:rsidRPr="00C05B45">
        <w:t xml:space="preserve"> </w:t>
      </w:r>
      <w:r w:rsidR="00975A21">
        <w:t>II.C.2</w:t>
      </w:r>
      <w:r w:rsidR="002A7401">
        <w:t xml:space="preserve">; </w:t>
      </w:r>
      <w:r w:rsidR="00851481">
        <w:rPr>
          <w:i/>
          <w:iCs/>
        </w:rPr>
        <w:t>s</w:t>
      </w:r>
      <w:r w:rsidR="002A7401">
        <w:rPr>
          <w:i/>
          <w:iCs/>
        </w:rPr>
        <w:t xml:space="preserve">ee also </w:t>
      </w:r>
      <w:r w:rsidR="002A7401">
        <w:t>Joint Customers Initial Comments at 16 (“</w:t>
      </w:r>
      <w:r w:rsidRPr="00A74616" w:rsidR="002A7401">
        <w:t>Finally, there is no reason to believe incremental costs of reactive power could not be</w:t>
      </w:r>
      <w:r w:rsidR="002A7401">
        <w:t xml:space="preserve"> </w:t>
      </w:r>
      <w:r w:rsidRPr="00A74616" w:rsidR="002A7401">
        <w:t>recovered in the same way other costs are recovered. This could be through capacity markets and</w:t>
      </w:r>
      <w:r w:rsidR="002A7401">
        <w:t xml:space="preserve"> </w:t>
      </w:r>
      <w:r w:rsidRPr="00A74616" w:rsidR="002A7401">
        <w:t>through power sales, depending on the regional characteristics of how generators cover other costs.</w:t>
      </w:r>
      <w:r w:rsidR="002A7401">
        <w:t>”)</w:t>
      </w:r>
      <w:r w:rsidR="00B052CF">
        <w:t>.</w:t>
      </w:r>
    </w:p>
  </w:footnote>
  <w:footnote w:id="322">
    <w:p w:rsidR="00081013" w:rsidP="00497B0D" w14:paraId="1527EE32" w14:textId="1E1E81A9">
      <w:pPr>
        <w:pStyle w:val="FootnoteText"/>
      </w:pPr>
      <w:r>
        <w:rPr>
          <w:rStyle w:val="FootnoteReference"/>
        </w:rPr>
        <w:footnoteRef/>
      </w:r>
      <w:r>
        <w:t xml:space="preserve"> </w:t>
      </w:r>
      <w:r w:rsidR="00133B4E">
        <w:t xml:space="preserve">NOPR, </w:t>
      </w:r>
      <w:r w:rsidRPr="00497B0D" w:rsidR="00497B0D">
        <w:t>186 FERC ¶</w:t>
      </w:r>
      <w:r w:rsidR="00D374EE">
        <w:t> </w:t>
      </w:r>
      <w:r w:rsidRPr="00497B0D" w:rsidR="00497B0D">
        <w:t>61,203</w:t>
      </w:r>
      <w:r w:rsidR="00497B0D">
        <w:t xml:space="preserve"> </w:t>
      </w:r>
      <w:r w:rsidR="00133B4E">
        <w:t>at P</w:t>
      </w:r>
      <w:r w:rsidR="00D374EE">
        <w:t> </w:t>
      </w:r>
      <w:r w:rsidR="00133B4E">
        <w:t>45.</w:t>
      </w:r>
    </w:p>
  </w:footnote>
  <w:footnote w:id="323">
    <w:p w:rsidR="00C6765E" w:rsidRPr="00CD2C9F" w:rsidP="00C16419" w14:paraId="0C619376" w14:textId="77777777">
      <w:pPr>
        <w:pStyle w:val="FootnoteText"/>
        <w:widowControl/>
      </w:pPr>
      <w:r w:rsidRPr="00CD2C9F">
        <w:rPr>
          <w:rStyle w:val="FootnoteReference"/>
        </w:rPr>
        <w:footnoteRef/>
      </w:r>
      <w:r w:rsidRPr="00CD2C9F">
        <w:t xml:space="preserve"> For example, as of February 21, 2024, there were 453 total generating facilities in the CAISO interconnection queue, 440 of which were non-synchronous generating facilities.  This corresponds to 122,885 MW of capacity, 120,043 MW of which comes from the non-synchronous generating facilities in the queue.  </w:t>
      </w:r>
      <w:r w:rsidRPr="00CD2C9F">
        <w:rPr>
          <w:i/>
          <w:iCs/>
        </w:rPr>
        <w:t>See</w:t>
      </w:r>
      <w:r w:rsidRPr="00CD2C9F">
        <w:t xml:space="preserve"> CAISO, </w:t>
      </w:r>
      <w:r w:rsidRPr="00CD2C9F">
        <w:rPr>
          <w:i/>
          <w:iCs/>
        </w:rPr>
        <w:t>Formatted Generator Interconnection Queue Report</w:t>
      </w:r>
      <w:r w:rsidRPr="00CD2C9F">
        <w:t xml:space="preserve">, https://rimspub.caiso.com/rimsui/logon.do (last visited Feb. 21, 2024).  Similarly, as of February 21, 2024, there were 947 total generating facilities in the SPP interconnection queue, 770 of which were </w:t>
      </w:r>
      <w:r>
        <w:t xml:space="preserve">                    </w:t>
      </w:r>
      <w:r w:rsidRPr="00CD2C9F">
        <w:t xml:space="preserve">non-synchronous generating facilities.  This corresponds to 175,243 MW of capacity, 141,879 MW of which comes from the non-synchronous generating facilities in the queue.  </w:t>
      </w:r>
      <w:r w:rsidRPr="00CD2C9F">
        <w:rPr>
          <w:i/>
          <w:iCs/>
        </w:rPr>
        <w:t>See</w:t>
      </w:r>
      <w:r w:rsidRPr="00CD2C9F">
        <w:t xml:space="preserve"> SPP, </w:t>
      </w:r>
      <w:r w:rsidRPr="00CD2C9F">
        <w:rPr>
          <w:i/>
          <w:iCs/>
        </w:rPr>
        <w:t>Generator Interconnection Active Requests</w:t>
      </w:r>
      <w:r w:rsidRPr="00CD2C9F">
        <w:t>, https://opsportal.spp.org/Studies/GIActive (last visited Feb. 21, 2024).</w:t>
      </w:r>
    </w:p>
  </w:footnote>
  <w:footnote w:id="324">
    <w:p w:rsidR="00675647" w:rsidP="00675647" w14:paraId="3895988F" w14:textId="6A4D6289">
      <w:pPr>
        <w:pStyle w:val="FootnoteText"/>
      </w:pPr>
      <w:r>
        <w:rPr>
          <w:rStyle w:val="FootnoteReference"/>
        </w:rPr>
        <w:footnoteRef/>
      </w:r>
      <w:r>
        <w:t xml:space="preserve"> NOPR, </w:t>
      </w:r>
      <w:r w:rsidRPr="00497B0D">
        <w:t>186 FERC ¶</w:t>
      </w:r>
      <w:r>
        <w:t> </w:t>
      </w:r>
      <w:r w:rsidRPr="00497B0D">
        <w:t>61,203</w:t>
      </w:r>
      <w:r>
        <w:t xml:space="preserve"> at P 45.</w:t>
      </w:r>
    </w:p>
  </w:footnote>
  <w:footnote w:id="325">
    <w:p w:rsidR="00BF512F" w14:paraId="42C140CB" w14:textId="7BB3B410">
      <w:pPr>
        <w:pStyle w:val="FootnoteText"/>
      </w:pPr>
      <w:r>
        <w:rPr>
          <w:rStyle w:val="FootnoteReference"/>
        </w:rPr>
        <w:footnoteRef/>
      </w:r>
      <w:r>
        <w:t xml:space="preserve"> </w:t>
      </w:r>
      <w:r w:rsidR="002E7453">
        <w:rPr>
          <w:i/>
          <w:iCs/>
        </w:rPr>
        <w:t>Id.</w:t>
      </w:r>
    </w:p>
  </w:footnote>
  <w:footnote w:id="326">
    <w:p w:rsidR="00675647" w:rsidRPr="00675647" w14:paraId="7D6A4CAE" w14:textId="0703ABFC">
      <w:pPr>
        <w:pStyle w:val="FootnoteText"/>
      </w:pPr>
      <w:r>
        <w:rPr>
          <w:rStyle w:val="FootnoteReference"/>
        </w:rPr>
        <w:footnoteRef/>
      </w:r>
      <w:r>
        <w:t xml:space="preserve"> </w:t>
      </w:r>
      <w:r w:rsidR="002E7453">
        <w:rPr>
          <w:i/>
          <w:iCs/>
        </w:rPr>
        <w:t>Id.</w:t>
      </w:r>
      <w:r>
        <w:t xml:space="preserve"> </w:t>
      </w:r>
      <w:r w:rsidRPr="00B614C1">
        <w:t>P 47 (</w:t>
      </w:r>
      <w:r w:rsidRPr="00C06B6B" w:rsidR="00201E9D">
        <w:t>cit</w:t>
      </w:r>
      <w:r w:rsidRPr="00C06B6B">
        <w:t>ing</w:t>
      </w:r>
      <w:r w:rsidRPr="00B614C1">
        <w:t xml:space="preserve"> </w:t>
      </w:r>
      <w:r w:rsidRPr="00B614C1">
        <w:rPr>
          <w:i/>
        </w:rPr>
        <w:t>BPA</w:t>
      </w:r>
      <w:r w:rsidRPr="00675647">
        <w:t>, 120 FERC ¶ 61,211 at P 21</w:t>
      </w:r>
      <w:r>
        <w:t>).</w:t>
      </w:r>
    </w:p>
  </w:footnote>
  <w:footnote w:id="327">
    <w:p w:rsidR="006F3D8D" w14:paraId="5E1C92E6" w14:textId="7F32A71A">
      <w:pPr>
        <w:pStyle w:val="FootnoteText"/>
      </w:pPr>
      <w:r>
        <w:rPr>
          <w:rStyle w:val="FootnoteReference"/>
        </w:rPr>
        <w:footnoteRef/>
      </w:r>
      <w:r>
        <w:t xml:space="preserve"> </w:t>
      </w:r>
      <w:r w:rsidR="002E7453">
        <w:rPr>
          <w:i/>
          <w:iCs/>
        </w:rPr>
        <w:t>Id.</w:t>
      </w:r>
    </w:p>
  </w:footnote>
  <w:footnote w:id="328">
    <w:p w:rsidR="00201E9D" w14:paraId="7D38330A" w14:textId="32E9A3F6">
      <w:pPr>
        <w:pStyle w:val="FootnoteText"/>
      </w:pPr>
      <w:r>
        <w:rPr>
          <w:rStyle w:val="FootnoteReference"/>
        </w:rPr>
        <w:footnoteRef/>
      </w:r>
      <w:r>
        <w:t xml:space="preserve"> </w:t>
      </w:r>
      <w:r w:rsidR="002E7453">
        <w:rPr>
          <w:i/>
          <w:iCs/>
        </w:rPr>
        <w:t>Id.</w:t>
      </w:r>
      <w:r>
        <w:t xml:space="preserve"> P 48.</w:t>
      </w:r>
    </w:p>
  </w:footnote>
  <w:footnote w:id="329">
    <w:p w:rsidR="00A05EEB" w14:paraId="7A21871A" w14:textId="4843DDCC">
      <w:pPr>
        <w:pStyle w:val="FootnoteText"/>
      </w:pPr>
      <w:r>
        <w:rPr>
          <w:rStyle w:val="FootnoteReference"/>
        </w:rPr>
        <w:footnoteRef/>
      </w:r>
      <w:r>
        <w:t xml:space="preserve"> </w:t>
      </w:r>
      <w:r w:rsidR="002E7453">
        <w:rPr>
          <w:i/>
          <w:iCs/>
        </w:rPr>
        <w:t>Id.</w:t>
      </w:r>
      <w:r>
        <w:t xml:space="preserve"> P</w:t>
      </w:r>
      <w:r w:rsidR="00D374EE">
        <w:t> </w:t>
      </w:r>
      <w:r>
        <w:t>49.</w:t>
      </w:r>
    </w:p>
  </w:footnote>
  <w:footnote w:id="330">
    <w:p w:rsidR="00342AF6" w:rsidP="00342AF6" w14:paraId="111FBCC0" w14:textId="6EA0B53F">
      <w:pPr>
        <w:pStyle w:val="FootnoteText"/>
      </w:pPr>
      <w:r>
        <w:rPr>
          <w:rStyle w:val="FootnoteReference"/>
        </w:rPr>
        <w:footnoteRef/>
      </w:r>
      <w:r>
        <w:t xml:space="preserve"> </w:t>
      </w:r>
      <w:r w:rsidRPr="00504C1D">
        <w:rPr>
          <w:i/>
          <w:iCs/>
        </w:rPr>
        <w:t>See</w:t>
      </w:r>
      <w:r>
        <w:t xml:space="preserve"> AEP Initial Comments at 4-6; Joint Consumer Advocates Initial Comments at 7-8 (“[Joint Consumer Advocates] </w:t>
      </w:r>
      <w:r w:rsidRPr="00370F19">
        <w:t>assert that PJM generators will still have a more than ample opportunity to recover the costs associated with their provision of reactive power</w:t>
      </w:r>
      <w:r>
        <w:t>”); Joint Customers Initial Comments at 15 (“Generators have other means of covering costs incurred to meet interconnection design requirements</w:t>
      </w:r>
      <w:r w:rsidR="00B338CA">
        <w:t>.</w:t>
      </w:r>
      <w:r>
        <w:t>”); Joint Customers Reply Comments at 15;</w:t>
      </w:r>
      <w:r w:rsidRPr="00A27C54">
        <w:t xml:space="preserve"> </w:t>
      </w:r>
      <w:r>
        <w:t>MISO Transmission Owners Initial Comments at 16-17; MISO Transmission Owners Initial Comments at 15 (“</w:t>
      </w:r>
      <w:r w:rsidRPr="002F3857">
        <w:t>Moreover, transmission providers have mechanisms for maintaining system</w:t>
      </w:r>
      <w:r>
        <w:t xml:space="preserve"> </w:t>
      </w:r>
      <w:r w:rsidRPr="002F3857">
        <w:t>reliability in the face of premature retirements</w:t>
      </w:r>
      <w:r>
        <w:t>, including identifying resources as</w:t>
      </w:r>
      <w:r w:rsidRPr="002F3857">
        <w:t xml:space="preserve"> “system support resources</w:t>
      </w:r>
      <w:r w:rsidR="00C37E43">
        <w:t>.</w:t>
      </w:r>
      <w:r w:rsidRPr="002F3857">
        <w:t>”</w:t>
      </w:r>
      <w:r>
        <w:t xml:space="preserve">) (citations omitted)); Ohio FEA Initial Comments at </w:t>
      </w:r>
      <w:r w:rsidRPr="0055451B">
        <w:t>5</w:t>
      </w:r>
      <w:r>
        <w:t xml:space="preserve"> (“</w:t>
      </w:r>
      <w:r w:rsidR="001A14D1">
        <w:t xml:space="preserve">Ohio . . . </w:t>
      </w:r>
      <w:r w:rsidRPr="0055451B">
        <w:t>supports competitive markets to induce efficiency and control costs</w:t>
      </w:r>
      <w:r>
        <w:t xml:space="preserve">”). </w:t>
      </w:r>
    </w:p>
  </w:footnote>
  <w:footnote w:id="331">
    <w:p w:rsidR="00CE71FF" w:rsidP="00CE71FF" w14:paraId="7CC5AFC4" w14:textId="46922F0A">
      <w:pPr>
        <w:pStyle w:val="FootnoteText"/>
      </w:pPr>
      <w:r>
        <w:rPr>
          <w:rStyle w:val="FootnoteReference"/>
        </w:rPr>
        <w:footnoteRef/>
      </w:r>
      <w:r>
        <w:t xml:space="preserve"> TAPS Initial Comments at 7 </w:t>
      </w:r>
      <w:r w:rsidR="00C37E43">
        <w:t xml:space="preserve">&amp; n.19 </w:t>
      </w:r>
      <w:r>
        <w:t xml:space="preserve">(citing </w:t>
      </w:r>
      <w:r w:rsidRPr="001D57F0">
        <w:rPr>
          <w:i/>
          <w:iCs/>
        </w:rPr>
        <w:t>CXA La Paloma, LLC v. CAISO</w:t>
      </w:r>
      <w:r w:rsidRPr="001D57F0">
        <w:t>, 165 FERC ¶</w:t>
      </w:r>
      <w:r w:rsidR="00D374EE">
        <w:t> </w:t>
      </w:r>
      <w:r w:rsidRPr="001D57F0">
        <w:t xml:space="preserve">61,148, </w:t>
      </w:r>
      <w:r w:rsidR="00322CBD">
        <w:t xml:space="preserve">at </w:t>
      </w:r>
      <w:r w:rsidRPr="001D57F0">
        <w:t>P</w:t>
      </w:r>
      <w:r w:rsidR="00D374EE">
        <w:t> </w:t>
      </w:r>
      <w:r w:rsidRPr="001D57F0">
        <w:t>71 (2018) (“The Commission has been clear that suppliers in competitive wholesale electricity markets are not guaranteed full cost recovery, but only the opportunity to recover their costs.”)</w:t>
      </w:r>
      <w:r>
        <w:t>).</w:t>
      </w:r>
    </w:p>
  </w:footnote>
  <w:footnote w:id="332">
    <w:p w:rsidR="00A251B4" w:rsidP="00A251B4" w14:paraId="2CF282FD" w14:textId="2DCDC1A9">
      <w:pPr>
        <w:pStyle w:val="FootnoteText"/>
      </w:pPr>
      <w:r>
        <w:rPr>
          <w:rStyle w:val="FootnoteReference"/>
        </w:rPr>
        <w:footnoteRef/>
      </w:r>
      <w:r>
        <w:t xml:space="preserve"> </w:t>
      </w:r>
      <w:r w:rsidR="00C37E43">
        <w:rPr>
          <w:i/>
          <w:iCs/>
        </w:rPr>
        <w:t>Id.</w:t>
      </w:r>
      <w:r>
        <w:t xml:space="preserve"> at 6-7 </w:t>
      </w:r>
      <w:r w:rsidR="00C37E43">
        <w:t>&amp; n.18</w:t>
      </w:r>
      <w:r>
        <w:t xml:space="preserve"> (</w:t>
      </w:r>
      <w:r w:rsidR="00D07390">
        <w:t xml:space="preserve">citing </w:t>
      </w:r>
      <w:r w:rsidRPr="00774D63">
        <w:rPr>
          <w:i/>
          <w:iCs/>
        </w:rPr>
        <w:t>MISO</w:t>
      </w:r>
      <w:r w:rsidRPr="00774D63">
        <w:t>, 182 FERC ¶</w:t>
      </w:r>
      <w:r>
        <w:t> </w:t>
      </w:r>
      <w:r w:rsidRPr="00774D63">
        <w:t>61,033</w:t>
      </w:r>
      <w:r w:rsidR="002B30F9">
        <w:t xml:space="preserve"> at</w:t>
      </w:r>
      <w:r w:rsidRPr="00774D63">
        <w:t xml:space="preserve"> P</w:t>
      </w:r>
      <w:r>
        <w:t> </w:t>
      </w:r>
      <w:r w:rsidRPr="00774D63">
        <w:t xml:space="preserve">53 (“MISO [Transmission Owners] do not have an obligation to continue to compensate an independent generator for reactive power within the standard power factor range when its own or affiliated generators are no longer being compensated.”); </w:t>
      </w:r>
      <w:r w:rsidRPr="00774D63">
        <w:rPr>
          <w:i/>
          <w:iCs/>
        </w:rPr>
        <w:t>Id.</w:t>
      </w:r>
      <w:r w:rsidRPr="00774D63">
        <w:t xml:space="preserve"> </w:t>
      </w:r>
      <w:r w:rsidRPr="00474B5F" w:rsidR="00474B5F">
        <w:t xml:space="preserve">(citing </w:t>
      </w:r>
      <w:r w:rsidRPr="00474B5F" w:rsidR="00474B5F">
        <w:rPr>
          <w:i/>
          <w:iCs/>
        </w:rPr>
        <w:t>PNM</w:t>
      </w:r>
      <w:r w:rsidRPr="00474B5F" w:rsidR="00474B5F">
        <w:t xml:space="preserve">, 178 FERC ¶ 61,088 at P 29; </w:t>
      </w:r>
      <w:r w:rsidRPr="00474B5F" w:rsidR="00474B5F">
        <w:rPr>
          <w:i/>
          <w:iCs/>
        </w:rPr>
        <w:t>Nev. Power Co.</w:t>
      </w:r>
      <w:r w:rsidRPr="00474B5F" w:rsidR="00474B5F">
        <w:t xml:space="preserve">, 179 FERC ¶ 61,103, P 20 (2022); </w:t>
      </w:r>
      <w:r w:rsidRPr="00474B5F" w:rsidR="00474B5F">
        <w:rPr>
          <w:i/>
          <w:iCs/>
        </w:rPr>
        <w:t>BPA</w:t>
      </w:r>
      <w:r w:rsidRPr="00474B5F" w:rsidR="00474B5F">
        <w:t xml:space="preserve">, 120 FERC ¶ 61,211 at P 20; </w:t>
      </w:r>
      <w:r w:rsidRPr="00474B5F" w:rsidR="00474B5F">
        <w:rPr>
          <w:i/>
          <w:iCs/>
        </w:rPr>
        <w:t>E.ON U.S. LLC</w:t>
      </w:r>
      <w:r w:rsidRPr="00474B5F" w:rsidR="00474B5F">
        <w:t xml:space="preserve">, 119 FERC ¶ 61,340 at P 15; </w:t>
      </w:r>
      <w:r w:rsidRPr="00474B5F" w:rsidR="00474B5F">
        <w:rPr>
          <w:i/>
        </w:rPr>
        <w:t>Entergy Servs., Inc.</w:t>
      </w:r>
      <w:r w:rsidRPr="00474B5F" w:rsidR="00474B5F">
        <w:t xml:space="preserve">, 113 FERC ¶ 61,040 at P 38) </w:t>
      </w:r>
      <w:r w:rsidRPr="00774D63">
        <w:t>(“Commission’s precedent allows transmission providers to eliminate compensation for reactive power within the standard power factor range for all generators, regardless of whether the generator is owned by or otherwise affiliated with a transmission owner or is independent.”)</w:t>
      </w:r>
      <w:r w:rsidR="002D3C5F">
        <w:t>)</w:t>
      </w:r>
      <w:r>
        <w:t>.</w:t>
      </w:r>
    </w:p>
  </w:footnote>
  <w:footnote w:id="333">
    <w:p w:rsidR="00600494" w:rsidP="00600494" w14:paraId="5E9C2677" w14:textId="40C0F7EA">
      <w:pPr>
        <w:pStyle w:val="FootnoteText"/>
      </w:pPr>
      <w:r>
        <w:rPr>
          <w:rStyle w:val="FootnoteReference"/>
        </w:rPr>
        <w:footnoteRef/>
      </w:r>
      <w:r>
        <w:t xml:space="preserve"> New England Consumer Advocates Initial Comments at 4-6.</w:t>
      </w:r>
      <w:r w:rsidR="00057B88">
        <w:t xml:space="preserve">  </w:t>
      </w:r>
      <w:r w:rsidR="00057B88">
        <w:rPr>
          <w:i/>
          <w:iCs/>
        </w:rPr>
        <w:t xml:space="preserve">See also id. </w:t>
      </w:r>
      <w:r w:rsidR="00057B88">
        <w:t>at 5 (“</w:t>
      </w:r>
      <w:r w:rsidRPr="00747FF7" w:rsidR="00057B88">
        <w:t xml:space="preserve">To the extent </w:t>
      </w:r>
      <w:r w:rsidR="00057B88">
        <w:t>. . .</w:t>
      </w:r>
      <w:r w:rsidRPr="00747FF7" w:rsidR="00057B88">
        <w:t xml:space="preserve"> benefits are achieved by compliance with a generating facility’s interconnection agreement and / or as </w:t>
      </w:r>
      <w:r w:rsidR="00057B88">
        <w:t>‘</w:t>
      </w:r>
      <w:r w:rsidRPr="00747FF7" w:rsidR="00057B88">
        <w:t>good utility practice</w:t>
      </w:r>
      <w:r w:rsidR="00057B88">
        <w:t>,’ [New England Consumer Advocates]</w:t>
      </w:r>
      <w:r w:rsidRPr="00747FF7" w:rsidR="00057B88">
        <w:t xml:space="preserve"> agree</w:t>
      </w:r>
      <w:r w:rsidR="00057B88">
        <w:t>[]</w:t>
      </w:r>
      <w:r w:rsidRPr="00747FF7" w:rsidR="00057B88">
        <w:t xml:space="preserve"> with the Commission that ratepayers should not be paying separately for the costs to produce a joint reactive power product.</w:t>
      </w:r>
      <w:r w:rsidR="00057B88">
        <w:t>”).</w:t>
      </w:r>
    </w:p>
  </w:footnote>
  <w:footnote w:id="334">
    <w:p w:rsidR="00556789" w:rsidP="00556789" w14:paraId="71F97679" w14:textId="77777777">
      <w:pPr>
        <w:pStyle w:val="FootnoteText"/>
      </w:pPr>
      <w:r>
        <w:rPr>
          <w:rStyle w:val="FootnoteReference"/>
        </w:rPr>
        <w:footnoteRef/>
      </w:r>
      <w:r>
        <w:t xml:space="preserve"> Ohio FEA Initial Comments at 5.</w:t>
      </w:r>
    </w:p>
  </w:footnote>
  <w:footnote w:id="335">
    <w:p w:rsidR="00D27EFF" w:rsidP="00D27EFF" w14:paraId="27FC71C1" w14:textId="498B2D16">
      <w:pPr>
        <w:pStyle w:val="FootnoteText"/>
      </w:pPr>
      <w:r>
        <w:rPr>
          <w:rStyle w:val="FootnoteReference"/>
        </w:rPr>
        <w:footnoteRef/>
      </w:r>
      <w:r>
        <w:t xml:space="preserve"> Ameren Initial Comments at 3; Joint Customers Initial Comments at 12-13; TAPS Initial Comments at 4-5; MISO Transmission Owners</w:t>
      </w:r>
      <w:r w:rsidRPr="00F626F9">
        <w:t xml:space="preserve"> Reply Comments at </w:t>
      </w:r>
      <w:r>
        <w:t>11-12; MISO Transmission Owners Initial Comments at 5; PGE Initial Comments at 3-4.</w:t>
      </w:r>
    </w:p>
  </w:footnote>
  <w:footnote w:id="336">
    <w:p w:rsidR="00054878" w:rsidP="00054878" w14:paraId="128467F6" w14:textId="67C53A83">
      <w:pPr>
        <w:pStyle w:val="FootnoteText"/>
      </w:pPr>
      <w:r>
        <w:rPr>
          <w:rStyle w:val="FootnoteReference"/>
        </w:rPr>
        <w:footnoteRef/>
      </w:r>
      <w:r>
        <w:t xml:space="preserve"> </w:t>
      </w:r>
      <w:r w:rsidRPr="00A23785">
        <w:t>Joint Customers</w:t>
      </w:r>
      <w:r>
        <w:t xml:space="preserve"> Initial Comments at 12-13;</w:t>
      </w:r>
      <w:r w:rsidRPr="00A23785">
        <w:t xml:space="preserve"> Ameren</w:t>
      </w:r>
      <w:r>
        <w:t xml:space="preserve"> Initial Comments at 3; </w:t>
      </w:r>
      <w:r w:rsidR="00F83EE8">
        <w:t xml:space="preserve">TAPS </w:t>
      </w:r>
      <w:r>
        <w:t>Initial Comments at 4-5; MISO Transmission Owners</w:t>
      </w:r>
      <w:r w:rsidRPr="00A04C3A">
        <w:t xml:space="preserve"> Reply Comments at 11</w:t>
      </w:r>
      <w:r>
        <w:t>-13.</w:t>
      </w:r>
      <w:r w:rsidR="00337AAA">
        <w:t xml:space="preserve">  </w:t>
      </w:r>
      <w:r w:rsidR="00337AAA">
        <w:rPr>
          <w:i/>
          <w:iCs/>
        </w:rPr>
        <w:t>See also</w:t>
      </w:r>
      <w:r w:rsidR="00337AAA">
        <w:t xml:space="preserve"> Joint Customers Initial Comments at 5-6 (“</w:t>
      </w:r>
      <w:r w:rsidRPr="0039667A" w:rsidR="00337AAA">
        <w:t>The Commission’s policy of looking strictly to capability for</w:t>
      </w:r>
      <w:r w:rsidR="00337AAA">
        <w:t xml:space="preserve"> </w:t>
      </w:r>
      <w:r w:rsidRPr="0039667A" w:rsidR="00337AAA">
        <w:t>determining cost recovery for Reactive Service incentivized overbuilding of capability beyond</w:t>
      </w:r>
      <w:r w:rsidR="00337AAA">
        <w:t xml:space="preserve"> </w:t>
      </w:r>
      <w:r w:rsidRPr="0039667A" w:rsidR="00337AAA">
        <w:t xml:space="preserve">what was required based on interconnection requirements. </w:t>
      </w:r>
      <w:r w:rsidR="004B7BEF">
        <w:t xml:space="preserve"> </w:t>
      </w:r>
      <w:r w:rsidRPr="0039667A" w:rsidR="00337AAA">
        <w:t>This policy of not considering need or</w:t>
      </w:r>
      <w:r w:rsidR="00337AAA">
        <w:t xml:space="preserve"> </w:t>
      </w:r>
      <w:r w:rsidRPr="0039667A" w:rsidR="00337AAA">
        <w:t>requiring a demonstration of need by the transmission owner has resulted in compensation for</w:t>
      </w:r>
      <w:r w:rsidR="00337AAA">
        <w:t xml:space="preserve"> </w:t>
      </w:r>
      <w:r w:rsidRPr="0039667A" w:rsidR="00337AAA">
        <w:t>reactive capability without an actual demonstrated benefit to transmission system customers.</w:t>
      </w:r>
      <w:r w:rsidR="00337AAA">
        <w:t xml:space="preserve"> </w:t>
      </w:r>
      <w:r w:rsidR="004B7BEF">
        <w:t xml:space="preserve"> </w:t>
      </w:r>
      <w:r w:rsidRPr="0039667A" w:rsidR="00337AAA">
        <w:t>This disconnect between capability and any actual demonstrated benefit highlights serious</w:t>
      </w:r>
      <w:r w:rsidR="00337AAA">
        <w:t xml:space="preserve"> </w:t>
      </w:r>
      <w:r w:rsidRPr="0039667A" w:rsidR="00337AAA">
        <w:t>concerns that charges to customers are not related to any benefits received.</w:t>
      </w:r>
      <w:r w:rsidR="00337AAA">
        <w:t>” (citations omitted)).</w:t>
      </w:r>
    </w:p>
  </w:footnote>
  <w:footnote w:id="337">
    <w:p w:rsidR="00054878" w:rsidP="003428D4" w14:paraId="7C94F83E" w14:textId="6B3813F2">
      <w:pPr>
        <w:pStyle w:val="FootnoteText"/>
        <w:widowControl/>
      </w:pPr>
      <w:r>
        <w:rPr>
          <w:rStyle w:val="FootnoteReference"/>
        </w:rPr>
        <w:footnoteRef/>
      </w:r>
      <w:r>
        <w:t xml:space="preserve"> </w:t>
      </w:r>
      <w:r w:rsidRPr="00A23785">
        <w:t>Joint Customers</w:t>
      </w:r>
      <w:r>
        <w:t xml:space="preserve"> Initial Comments at 12-13;</w:t>
      </w:r>
      <w:r w:rsidRPr="00A23785">
        <w:t xml:space="preserve"> Ameren</w:t>
      </w:r>
      <w:r>
        <w:t xml:space="preserve"> Initial Comments at 3; </w:t>
      </w:r>
      <w:r w:rsidR="00F83EE8">
        <w:t xml:space="preserve">TAPS </w:t>
      </w:r>
      <w:r>
        <w:t>Initial Comments at 4-5; MISO Transmission Owners Reply Comments at 11-13.</w:t>
      </w:r>
      <w:r w:rsidR="00A62DCE">
        <w:t xml:space="preserve">  </w:t>
      </w:r>
      <w:r w:rsidR="00A62DCE">
        <w:rPr>
          <w:i/>
          <w:iCs/>
        </w:rPr>
        <w:t>See</w:t>
      </w:r>
      <w:r w:rsidR="00A62DCE">
        <w:t xml:space="preserve"> </w:t>
      </w:r>
      <w:r w:rsidRPr="00504C1D" w:rsidR="00A62DCE">
        <w:rPr>
          <w:i/>
        </w:rPr>
        <w:t>also</w:t>
      </w:r>
      <w:r w:rsidR="00A62DCE">
        <w:t xml:space="preserve"> MISO Transmission Owners Initial Comments at 15 (“</w:t>
      </w:r>
      <w:r w:rsidRPr="002F3857" w:rsidR="00A62DCE">
        <w:t>Moreover, transmission providers have mechanisms for maintaining system</w:t>
      </w:r>
      <w:r w:rsidR="00A62DCE">
        <w:t xml:space="preserve"> </w:t>
      </w:r>
      <w:r w:rsidRPr="002F3857" w:rsidR="00A62DCE">
        <w:t>reliability in the face of premature retirements. When generators advise MISO of a planned</w:t>
      </w:r>
      <w:r w:rsidR="00A62DCE">
        <w:t xml:space="preserve"> </w:t>
      </w:r>
      <w:r w:rsidRPr="002F3857" w:rsidR="00A62DCE">
        <w:t>retirement via Attachment Y of the MISO Tariff, MISO completes a review to determine</w:t>
      </w:r>
      <w:r w:rsidR="00A62DCE">
        <w:t xml:space="preserve"> </w:t>
      </w:r>
      <w:r w:rsidRPr="002F3857" w:rsidR="00A62DCE">
        <w:t xml:space="preserve">whether any Transmission System reliability concerns are caused by the retirement. </w:t>
      </w:r>
      <w:r w:rsidR="004B7BEF">
        <w:t xml:space="preserve"> </w:t>
      </w:r>
      <w:r w:rsidRPr="002F3857" w:rsidR="00A62DCE">
        <w:t>If</w:t>
      </w:r>
      <w:r w:rsidR="00A62DCE">
        <w:t xml:space="preserve"> </w:t>
      </w:r>
      <w:r w:rsidRPr="002F3857" w:rsidR="00A62DCE">
        <w:t>voltage concerns arise in the Attachment Y study, options to address the voltage concerns</w:t>
      </w:r>
      <w:r w:rsidR="00A62DCE">
        <w:t xml:space="preserve"> </w:t>
      </w:r>
      <w:r w:rsidRPr="002F3857" w:rsidR="00A62DCE">
        <w:t xml:space="preserve">are reviewed and ultimately a permanent solution is identified. </w:t>
      </w:r>
      <w:r w:rsidR="004B7BEF">
        <w:t xml:space="preserve"> </w:t>
      </w:r>
      <w:r w:rsidRPr="002F3857" w:rsidR="00A62DCE">
        <w:t>If the permanent solution</w:t>
      </w:r>
      <w:r w:rsidR="00A62DCE">
        <w:t xml:space="preserve"> </w:t>
      </w:r>
      <w:r w:rsidRPr="002F3857" w:rsidR="00A62DCE">
        <w:t>cannot be implemented before the planned retirement date, then the MISO Tariff has a</w:t>
      </w:r>
      <w:r w:rsidR="00A62DCE">
        <w:t xml:space="preserve"> </w:t>
      </w:r>
      <w:r w:rsidRPr="002F3857" w:rsidR="00A62DCE">
        <w:t>designation for “system support resources,” under which generators are eligible to receive</w:t>
      </w:r>
      <w:r w:rsidR="00A62DCE">
        <w:t xml:space="preserve"> </w:t>
      </w:r>
      <w:r w:rsidRPr="002F3857" w:rsidR="00A62DCE">
        <w:t>cost-based compensation to support their continued operation until an alternative solution</w:t>
      </w:r>
      <w:r w:rsidR="00A62DCE">
        <w:t xml:space="preserve"> </w:t>
      </w:r>
      <w:r w:rsidRPr="002F3857" w:rsidR="00A62DCE">
        <w:t>to the reliability problem posed by the resources’ retirement is developed.</w:t>
      </w:r>
      <w:r w:rsidR="00A62DCE">
        <w:t>” (citations omitted)).</w:t>
      </w:r>
    </w:p>
  </w:footnote>
  <w:footnote w:id="338">
    <w:p w:rsidR="00054878" w:rsidP="00054878" w14:paraId="7A046558" w14:textId="4AE751A2">
      <w:pPr>
        <w:pStyle w:val="FootnoteText"/>
      </w:pPr>
      <w:r>
        <w:rPr>
          <w:rStyle w:val="FootnoteReference"/>
        </w:rPr>
        <w:footnoteRef/>
      </w:r>
      <w:r>
        <w:t xml:space="preserve"> MISO Transmission Owners Reply Comments at 11.</w:t>
      </w:r>
    </w:p>
  </w:footnote>
  <w:footnote w:id="339">
    <w:p w:rsidR="00054878" w:rsidP="00054878" w14:paraId="15B0E6DE" w14:textId="5B6902EB">
      <w:pPr>
        <w:pStyle w:val="FootnoteText"/>
      </w:pPr>
      <w:r>
        <w:rPr>
          <w:rStyle w:val="FootnoteReference"/>
        </w:rPr>
        <w:footnoteRef/>
      </w:r>
      <w:r>
        <w:t xml:space="preserve"> </w:t>
      </w:r>
      <w:r w:rsidR="004B7BEF">
        <w:rPr>
          <w:i/>
          <w:iCs/>
        </w:rPr>
        <w:t>Id.</w:t>
      </w:r>
      <w:r>
        <w:t xml:space="preserve"> at 12</w:t>
      </w:r>
      <w:r w:rsidR="009E15D7">
        <w:t xml:space="preserve"> (citing </w:t>
      </w:r>
      <w:r w:rsidRPr="009E15D7" w:rsidR="009E15D7">
        <w:rPr>
          <w:i/>
          <w:iCs/>
        </w:rPr>
        <w:t>K N Energy, Inc. v. FERC</w:t>
      </w:r>
      <w:r w:rsidRPr="009E15D7" w:rsidR="009E15D7">
        <w:t>, 968 F.2d 1295, 1300 (D.C. Cir. 1992) (“</w:t>
      </w:r>
      <w:r w:rsidR="004B0241">
        <w:t>[A]</w:t>
      </w:r>
      <w:r w:rsidRPr="009E15D7" w:rsidR="009E15D7">
        <w:t>ll approved rates [must] reflect to some degree the costs actually caused by the customer who must pay them</w:t>
      </w:r>
      <w:r w:rsidR="004B0241">
        <w:t>.</w:t>
      </w:r>
      <w:r w:rsidRPr="009E15D7" w:rsidR="009E15D7">
        <w:t xml:space="preserve">”); </w:t>
      </w:r>
      <w:r w:rsidRPr="009E15D7" w:rsidR="009E15D7">
        <w:rPr>
          <w:i/>
          <w:iCs/>
        </w:rPr>
        <w:t>Entergy Ark., LLC v. FERC</w:t>
      </w:r>
      <w:r w:rsidRPr="009E15D7" w:rsidR="009E15D7">
        <w:t xml:space="preserve">, 40 F.4th 689, 692 </w:t>
      </w:r>
      <w:r w:rsidR="000129FB">
        <w:t xml:space="preserve">   </w:t>
      </w:r>
      <w:r w:rsidRPr="009E15D7" w:rsidR="009E15D7">
        <w:t xml:space="preserve">(D.C. Cir. 2022) (“In assessing whether a rate is ‘just and reasonable,’ FERC and the courts determine, among other things, whether the rate comports with the ‘cost-causation principle’ which requires that the rates charged for electricity reflect the costs of providing it.” (citing </w:t>
      </w:r>
      <w:r w:rsidRPr="009E15D7" w:rsidR="009E15D7">
        <w:rPr>
          <w:i/>
          <w:iCs/>
        </w:rPr>
        <w:t>Old Dominion Elec. Coop. v. FERC</w:t>
      </w:r>
      <w:r w:rsidRPr="009E15D7" w:rsidR="009E15D7">
        <w:t>, 898 F.3d 1254, 1255 (D.C. Cir. 2018)))</w:t>
      </w:r>
      <w:r w:rsidR="005E332B">
        <w:t>.</w:t>
      </w:r>
    </w:p>
  </w:footnote>
  <w:footnote w:id="340">
    <w:p w:rsidR="00054878" w:rsidP="00054878" w14:paraId="3E959CE7" w14:textId="576248D3">
      <w:pPr>
        <w:pStyle w:val="FootnoteText"/>
      </w:pPr>
      <w:r>
        <w:rPr>
          <w:rStyle w:val="FootnoteReference"/>
        </w:rPr>
        <w:footnoteRef/>
      </w:r>
      <w:r w:rsidR="007C0B0D">
        <w:t xml:space="preserve"> </w:t>
      </w:r>
      <w:r w:rsidR="007C0B0D">
        <w:rPr>
          <w:i/>
          <w:iCs/>
        </w:rPr>
        <w:t>Id.</w:t>
      </w:r>
      <w:r>
        <w:t xml:space="preserve"> at 11-13.</w:t>
      </w:r>
      <w:r w:rsidR="00FA293B">
        <w:t xml:space="preserve">  </w:t>
      </w:r>
      <w:r w:rsidRPr="005D418A" w:rsidR="00FA293B">
        <w:rPr>
          <w:i/>
          <w:iCs/>
        </w:rPr>
        <w:t>See</w:t>
      </w:r>
      <w:r w:rsidR="00FA293B">
        <w:rPr>
          <w:i/>
          <w:iCs/>
        </w:rPr>
        <w:t xml:space="preserve"> also</w:t>
      </w:r>
      <w:r w:rsidRPr="005D418A" w:rsidR="00FA293B">
        <w:t xml:space="preserve"> MISO Transmission Owners Initial Comments at 16 (“As the Commission explains, compensation for providing reactive power within the deadband is unnecessary, as resources are otherwise able to recover their costs. </w:t>
      </w:r>
      <w:r w:rsidR="007C0B0D">
        <w:t xml:space="preserve"> </w:t>
      </w:r>
      <w:r w:rsidRPr="005D418A" w:rsidR="00FA293B">
        <w:t xml:space="preserve">The Commission is correct in finding that there are many other mechanisms through which generators may recover the costs of reactive power service, if they need to. </w:t>
      </w:r>
      <w:r w:rsidR="007C0B0D">
        <w:t xml:space="preserve"> </w:t>
      </w:r>
      <w:r w:rsidRPr="005D418A" w:rsidR="00FA293B">
        <w:t xml:space="preserve">This is consistent with Commission precedent that has repeatedly highlighted how generators have the opportunity to recover any legitimate costs through other means. </w:t>
      </w:r>
      <w:r w:rsidR="007C0B0D">
        <w:t xml:space="preserve"> </w:t>
      </w:r>
      <w:r w:rsidRPr="005D418A" w:rsidR="00FA293B">
        <w:t xml:space="preserve">The Commission has found generators may recover such costs through power purchase agreements or capacity and energy market offers. </w:t>
      </w:r>
      <w:r w:rsidR="007C0B0D">
        <w:t xml:space="preserve"> </w:t>
      </w:r>
      <w:r w:rsidRPr="005D418A" w:rsidR="00FA293B">
        <w:t>As the Commission found when accepting the elimination of reactive power compensation in MISO, generators can still include the costs of reactive service in energy offers or capacity offers, even if subject to market power mitigation.” (citations omitted))</w:t>
      </w:r>
      <w:r w:rsidR="00FA293B">
        <w:t>.</w:t>
      </w:r>
    </w:p>
  </w:footnote>
  <w:footnote w:id="341">
    <w:p w:rsidR="00054878" w:rsidP="00054878" w14:paraId="0CB123FC" w14:textId="77777777">
      <w:pPr>
        <w:pStyle w:val="FootnoteText"/>
      </w:pPr>
      <w:r>
        <w:rPr>
          <w:rStyle w:val="FootnoteReference"/>
        </w:rPr>
        <w:footnoteRef/>
      </w:r>
      <w:r>
        <w:t xml:space="preserve"> MISO Transmission Owners Reply Comments at 12-13.</w:t>
      </w:r>
    </w:p>
  </w:footnote>
  <w:footnote w:id="342">
    <w:p w:rsidR="00054878" w:rsidP="00054878" w14:paraId="02BE3AC4" w14:textId="28ED4C1F">
      <w:pPr>
        <w:pStyle w:val="FootnoteText"/>
      </w:pPr>
      <w:r>
        <w:rPr>
          <w:rStyle w:val="FootnoteReference"/>
        </w:rPr>
        <w:footnoteRef/>
      </w:r>
      <w:r>
        <w:t xml:space="preserve"> Ohio FEA Initial Comments at 4</w:t>
      </w:r>
      <w:r w:rsidRPr="00D61CE3">
        <w:t>; New England Consumer Advocates Initial Comments</w:t>
      </w:r>
      <w:r w:rsidR="00F91AC9">
        <w:t xml:space="preserve"> at </w:t>
      </w:r>
      <w:r w:rsidR="00567CCC">
        <w:t>3-4</w:t>
      </w:r>
      <w:r w:rsidRPr="00D61CE3">
        <w:t>.</w:t>
      </w:r>
    </w:p>
  </w:footnote>
  <w:footnote w:id="343">
    <w:p w:rsidR="00CE71FF" w:rsidP="00CE71FF" w14:paraId="15FE368D" w14:textId="77777777">
      <w:pPr>
        <w:pStyle w:val="FootnoteText"/>
      </w:pPr>
      <w:r>
        <w:rPr>
          <w:rStyle w:val="FootnoteReference"/>
        </w:rPr>
        <w:footnoteRef/>
      </w:r>
      <w:r>
        <w:t xml:space="preserve"> Joint Customers Reply Comments at 14-15.</w:t>
      </w:r>
    </w:p>
  </w:footnote>
  <w:footnote w:id="344">
    <w:p w:rsidR="00237D3A" w14:paraId="313B2036" w14:textId="7090B7DE">
      <w:pPr>
        <w:pStyle w:val="FootnoteText"/>
      </w:pPr>
      <w:r>
        <w:rPr>
          <w:rStyle w:val="FootnoteReference"/>
        </w:rPr>
        <w:footnoteRef/>
      </w:r>
      <w:r>
        <w:t xml:space="preserve"> </w:t>
      </w:r>
      <w:r w:rsidR="007C0B0D">
        <w:rPr>
          <w:i/>
          <w:iCs/>
        </w:rPr>
        <w:t>Id.</w:t>
      </w:r>
      <w:r>
        <w:t xml:space="preserve"> at 15.</w:t>
      </w:r>
    </w:p>
  </w:footnote>
  <w:footnote w:id="345">
    <w:p w:rsidR="003674D1" w:rsidP="000129FB" w14:paraId="691557A8" w14:textId="17B2A3D8">
      <w:pPr>
        <w:pStyle w:val="FootnoteText"/>
        <w:widowControl/>
      </w:pPr>
      <w:r>
        <w:rPr>
          <w:rStyle w:val="FootnoteReference"/>
        </w:rPr>
        <w:footnoteRef/>
      </w:r>
      <w:r>
        <w:t xml:space="preserve"> </w:t>
      </w:r>
      <w:r>
        <w:rPr>
          <w:i/>
          <w:iCs/>
        </w:rPr>
        <w:t>See, e.g.</w:t>
      </w:r>
      <w:r w:rsidRPr="00D374EE">
        <w:t>,</w:t>
      </w:r>
      <w:r>
        <w:t xml:space="preserve"> Joint Customers Initial Comments, Affidavit of Dr. Albert W. Bremser at </w:t>
      </w:r>
      <w:r w:rsidR="004F13AF">
        <w:t>6:3-7</w:t>
      </w:r>
      <w:r>
        <w:t xml:space="preserve"> (“</w:t>
      </w:r>
      <w:r w:rsidRPr="00676AB5">
        <w:t>When a generating facility is operating within the standard power factor range, the generating facility is meeting its responsibility to maintain appropriate operational voltage levels for real power moving onto the transmission system</w:t>
      </w:r>
      <w:r>
        <w:t xml:space="preserve">. </w:t>
      </w:r>
      <w:r w:rsidR="004F13AF">
        <w:t xml:space="preserve"> </w:t>
      </w:r>
      <w:r w:rsidRPr="00FD1373">
        <w:t>It is only when a generating facility is called upon to</w:t>
      </w:r>
      <w:r>
        <w:t xml:space="preserve"> </w:t>
      </w:r>
      <w:r w:rsidRPr="00FD1373">
        <w:t>operate outside the standard power factor range that it is providing an ancillary service.</w:t>
      </w:r>
      <w:r>
        <w:t>” (citations omitted)).</w:t>
      </w:r>
    </w:p>
  </w:footnote>
  <w:footnote w:id="346">
    <w:p w:rsidR="00E528A4" w14:paraId="202A1FDE" w14:textId="45D6A1C8">
      <w:pPr>
        <w:pStyle w:val="FootnoteText"/>
      </w:pPr>
      <w:r>
        <w:rPr>
          <w:rStyle w:val="FootnoteReference"/>
        </w:rPr>
        <w:footnoteRef/>
      </w:r>
      <w:r>
        <w:t xml:space="preserve"> </w:t>
      </w:r>
      <w:r w:rsidRPr="00504C1D" w:rsidR="00B55F8D">
        <w:rPr>
          <w:i/>
        </w:rPr>
        <w:t>See</w:t>
      </w:r>
      <w:r w:rsidR="00B55F8D">
        <w:t xml:space="preserve">, </w:t>
      </w:r>
      <w:r w:rsidRPr="00504C1D" w:rsidR="00B55F8D">
        <w:rPr>
          <w:i/>
        </w:rPr>
        <w:t>e.g.</w:t>
      </w:r>
      <w:r w:rsidR="00B55F8D">
        <w:t xml:space="preserve">, </w:t>
      </w:r>
      <w:r w:rsidR="00426C3F">
        <w:t xml:space="preserve">Clean Energy Associations Initial Comments at </w:t>
      </w:r>
      <w:r w:rsidR="006A096F">
        <w:t>8-9</w:t>
      </w:r>
      <w:r w:rsidR="00426C3F">
        <w:t>;</w:t>
      </w:r>
      <w:r w:rsidR="00B55F8D">
        <w:t xml:space="preserve"> </w:t>
      </w:r>
      <w:r w:rsidR="00DF0FBA">
        <w:t xml:space="preserve">EDPR Initial Comments at </w:t>
      </w:r>
      <w:r w:rsidR="00AE4E41">
        <w:t>4-5</w:t>
      </w:r>
      <w:r w:rsidR="00DF0FBA">
        <w:t xml:space="preserve">; </w:t>
      </w:r>
      <w:r w:rsidR="00B552A2">
        <w:t xml:space="preserve">Elevate Initial Comments at </w:t>
      </w:r>
      <w:r w:rsidR="00AB7195">
        <w:t>8-9</w:t>
      </w:r>
      <w:r w:rsidR="00B552A2">
        <w:t>;</w:t>
      </w:r>
      <w:r w:rsidR="00B55F8D">
        <w:t xml:space="preserve"> </w:t>
      </w:r>
      <w:r w:rsidRPr="00AE3B35" w:rsidR="001741BE">
        <w:rPr>
          <w:szCs w:val="26"/>
        </w:rPr>
        <w:t xml:space="preserve">Generation Developers </w:t>
      </w:r>
      <w:r w:rsidR="001741BE">
        <w:rPr>
          <w:szCs w:val="26"/>
        </w:rPr>
        <w:t xml:space="preserve">Initial Comments at </w:t>
      </w:r>
      <w:r w:rsidRPr="009F4059" w:rsidR="001741BE">
        <w:rPr>
          <w:szCs w:val="26"/>
        </w:rPr>
        <w:t>18</w:t>
      </w:r>
      <w:r w:rsidR="001741BE">
        <w:rPr>
          <w:szCs w:val="26"/>
        </w:rPr>
        <w:t xml:space="preserve">-19; </w:t>
      </w:r>
      <w:r w:rsidR="009A6DF8">
        <w:rPr>
          <w:szCs w:val="26"/>
        </w:rPr>
        <w:t xml:space="preserve">Glenvale Initial Comments at </w:t>
      </w:r>
      <w:r w:rsidR="0070253E">
        <w:rPr>
          <w:szCs w:val="26"/>
        </w:rPr>
        <w:t>5-6, 8-9</w:t>
      </w:r>
      <w:r w:rsidR="009A6DF8">
        <w:rPr>
          <w:szCs w:val="26"/>
        </w:rPr>
        <w:t xml:space="preserve">; </w:t>
      </w:r>
      <w:r w:rsidRPr="004C1D1E" w:rsidR="002C234E">
        <w:rPr>
          <w:szCs w:val="26"/>
        </w:rPr>
        <w:t xml:space="preserve">Indicated </w:t>
      </w:r>
      <w:r w:rsidR="00D36F29">
        <w:rPr>
          <w:szCs w:val="26"/>
        </w:rPr>
        <w:t xml:space="preserve">Reactive Power Suppliers Initial Comments at </w:t>
      </w:r>
      <w:r w:rsidR="00A60F8D">
        <w:rPr>
          <w:szCs w:val="26"/>
        </w:rPr>
        <w:t>14</w:t>
      </w:r>
      <w:r w:rsidR="00D36F29">
        <w:rPr>
          <w:szCs w:val="26"/>
        </w:rPr>
        <w:t xml:space="preserve">; </w:t>
      </w:r>
      <w:r w:rsidRPr="004C1D1E" w:rsidR="002C234E">
        <w:rPr>
          <w:szCs w:val="26"/>
        </w:rPr>
        <w:t xml:space="preserve">Indicated Trade Associations Initial Comments at </w:t>
      </w:r>
      <w:r w:rsidR="007C1EA8">
        <w:rPr>
          <w:szCs w:val="26"/>
        </w:rPr>
        <w:t xml:space="preserve">3, </w:t>
      </w:r>
      <w:r w:rsidRPr="004C1D1E" w:rsidR="002C234E">
        <w:rPr>
          <w:szCs w:val="26"/>
        </w:rPr>
        <w:t>15</w:t>
      </w:r>
      <w:r w:rsidR="002C234E">
        <w:rPr>
          <w:szCs w:val="26"/>
        </w:rPr>
        <w:t xml:space="preserve">; </w:t>
      </w:r>
      <w:r w:rsidRPr="00EA0C2A" w:rsidR="00BF191A">
        <w:rPr>
          <w:szCs w:val="26"/>
        </w:rPr>
        <w:t>ISO-NE Initial Comment</w:t>
      </w:r>
      <w:r w:rsidR="00BF191A">
        <w:rPr>
          <w:szCs w:val="26"/>
        </w:rPr>
        <w:t>s</w:t>
      </w:r>
      <w:r w:rsidRPr="00EA0C2A" w:rsidR="00BF191A">
        <w:rPr>
          <w:szCs w:val="26"/>
        </w:rPr>
        <w:t xml:space="preserve"> at 1-2</w:t>
      </w:r>
      <w:r w:rsidR="00BF191A">
        <w:rPr>
          <w:szCs w:val="26"/>
        </w:rPr>
        <w:t xml:space="preserve">; </w:t>
      </w:r>
      <w:r w:rsidR="00B1711B">
        <w:rPr>
          <w:szCs w:val="26"/>
        </w:rPr>
        <w:t xml:space="preserve">NAGF Initial Comments at </w:t>
      </w:r>
      <w:r w:rsidR="000B46E0">
        <w:rPr>
          <w:szCs w:val="26"/>
        </w:rPr>
        <w:t>1</w:t>
      </w:r>
      <w:r w:rsidR="00B1711B">
        <w:rPr>
          <w:szCs w:val="26"/>
        </w:rPr>
        <w:t xml:space="preserve">; </w:t>
      </w:r>
      <w:r w:rsidR="00764243">
        <w:t>NEI Initial Comments at 12-13;</w:t>
      </w:r>
      <w:r w:rsidRPr="00764243" w:rsidR="00764243">
        <w:t xml:space="preserve"> </w:t>
      </w:r>
      <w:r w:rsidR="00E672C2">
        <w:t xml:space="preserve">NEPGA Reply Comments at </w:t>
      </w:r>
      <w:r w:rsidR="00994AA8">
        <w:t>1, 4-6</w:t>
      </w:r>
      <w:r w:rsidR="00E672C2">
        <w:t xml:space="preserve">; </w:t>
      </w:r>
      <w:r w:rsidR="00181F8D">
        <w:t xml:space="preserve">NHA Initial Comments at </w:t>
      </w:r>
      <w:r w:rsidR="00E14B97">
        <w:t>6-7</w:t>
      </w:r>
      <w:r w:rsidR="00181F8D">
        <w:t xml:space="preserve">; </w:t>
      </w:r>
      <w:r w:rsidR="00A6442E">
        <w:t>PSEG</w:t>
      </w:r>
      <w:r w:rsidR="00446F22">
        <w:t xml:space="preserve"> Initial Comments at </w:t>
      </w:r>
      <w:r w:rsidR="0082391A">
        <w:t xml:space="preserve">2-3, 6, </w:t>
      </w:r>
      <w:r w:rsidR="00660670">
        <w:t>14-15</w:t>
      </w:r>
      <w:r w:rsidR="00446F22">
        <w:t xml:space="preserve">; </w:t>
      </w:r>
      <w:r w:rsidR="00A4023E">
        <w:t xml:space="preserve">Reactive Service Providers Initial Comments </w:t>
      </w:r>
      <w:r w:rsidR="000129FB">
        <w:t xml:space="preserve">    </w:t>
      </w:r>
      <w:r w:rsidR="00A4023E">
        <w:t>at 56-62, 77</w:t>
      </w:r>
      <w:r w:rsidR="00764243">
        <w:t>.</w:t>
      </w:r>
    </w:p>
  </w:footnote>
  <w:footnote w:id="347">
    <w:p w:rsidR="00971490" w:rsidP="00971490" w14:paraId="2DEB423B" w14:textId="77777777">
      <w:pPr>
        <w:pStyle w:val="FootnoteText"/>
      </w:pPr>
      <w:r>
        <w:rPr>
          <w:rStyle w:val="FootnoteReference"/>
        </w:rPr>
        <w:footnoteRef/>
      </w:r>
      <w:r>
        <w:t xml:space="preserve"> </w:t>
      </w:r>
      <w:r w:rsidRPr="00E004FC">
        <w:rPr>
          <w:szCs w:val="26"/>
        </w:rPr>
        <w:t>Glenvale Initial Comment</w:t>
      </w:r>
      <w:r>
        <w:rPr>
          <w:szCs w:val="26"/>
        </w:rPr>
        <w:t>s</w:t>
      </w:r>
      <w:r w:rsidRPr="00E004FC">
        <w:rPr>
          <w:szCs w:val="26"/>
        </w:rPr>
        <w:t xml:space="preserve"> at 6</w:t>
      </w:r>
      <w:r>
        <w:rPr>
          <w:szCs w:val="26"/>
        </w:rPr>
        <w:t>.</w:t>
      </w:r>
    </w:p>
  </w:footnote>
  <w:footnote w:id="348">
    <w:p w:rsidR="00971490" w:rsidP="00971490" w14:paraId="3558A67A" w14:textId="77777777">
      <w:pPr>
        <w:pStyle w:val="FootnoteText"/>
      </w:pPr>
      <w:r>
        <w:rPr>
          <w:rStyle w:val="FootnoteReference"/>
        </w:rPr>
        <w:footnoteRef/>
      </w:r>
      <w:r>
        <w:t xml:space="preserve"> </w:t>
      </w:r>
      <w:r w:rsidRPr="006D0BE1">
        <w:rPr>
          <w:szCs w:val="26"/>
        </w:rPr>
        <w:t>Indicated Reactive Power Suppliers Initial Comment</w:t>
      </w:r>
      <w:r>
        <w:rPr>
          <w:szCs w:val="26"/>
        </w:rPr>
        <w:t>s</w:t>
      </w:r>
      <w:r w:rsidRPr="006D0BE1">
        <w:rPr>
          <w:szCs w:val="26"/>
        </w:rPr>
        <w:t xml:space="preserve"> at</w:t>
      </w:r>
      <w:r>
        <w:rPr>
          <w:szCs w:val="26"/>
        </w:rPr>
        <w:t xml:space="preserve"> 11-12.</w:t>
      </w:r>
    </w:p>
  </w:footnote>
  <w:footnote w:id="349">
    <w:p w:rsidR="00DC71C8" w:rsidRPr="004C1D1E" w:rsidP="00DC71C8" w14:paraId="47A209F9" w14:textId="40BC8FF8">
      <w:pPr>
        <w:pStyle w:val="FootnoteText"/>
        <w:rPr>
          <w:szCs w:val="26"/>
        </w:rPr>
      </w:pPr>
      <w:r w:rsidRPr="004C1D1E">
        <w:rPr>
          <w:rStyle w:val="FootnoteReference"/>
          <w:szCs w:val="26"/>
        </w:rPr>
        <w:footnoteRef/>
      </w:r>
      <w:r w:rsidRPr="004C1D1E">
        <w:rPr>
          <w:szCs w:val="26"/>
        </w:rPr>
        <w:t xml:space="preserve"> Indicated Trade Associations Initial Comments at 15 (citing PJM </w:t>
      </w:r>
      <w:r w:rsidR="00A40692">
        <w:rPr>
          <w:szCs w:val="26"/>
        </w:rPr>
        <w:t>OATT</w:t>
      </w:r>
      <w:r w:rsidRPr="004C1D1E">
        <w:rPr>
          <w:szCs w:val="26"/>
        </w:rPr>
        <w:t>, Attachment DD, §</w:t>
      </w:r>
      <w:r w:rsidR="00D374EE">
        <w:rPr>
          <w:szCs w:val="26"/>
        </w:rPr>
        <w:t> </w:t>
      </w:r>
      <w:r w:rsidRPr="004C1D1E">
        <w:rPr>
          <w:szCs w:val="26"/>
        </w:rPr>
        <w:t>6.6A(c) (</w:t>
      </w:r>
      <w:r w:rsidR="000129FB">
        <w:rPr>
          <w:szCs w:val="26"/>
        </w:rPr>
        <w:t>0</w:t>
      </w:r>
      <w:r w:rsidR="00217CBB">
        <w:rPr>
          <w:szCs w:val="26"/>
        </w:rPr>
        <w:t>.0.0)</w:t>
      </w:r>
      <w:r w:rsidR="00335FDE">
        <w:rPr>
          <w:szCs w:val="26"/>
        </w:rPr>
        <w:t xml:space="preserve"> </w:t>
      </w:r>
      <w:r w:rsidRPr="004C1D1E">
        <w:rPr>
          <w:szCs w:val="26"/>
        </w:rPr>
        <w:t>(providing a categorical exception from the capacity must-offer obligation for certain types of resources)).</w:t>
      </w:r>
    </w:p>
  </w:footnote>
  <w:footnote w:id="350">
    <w:p w:rsidR="00156D89" w:rsidRPr="00EE1571" w:rsidP="00156D89" w14:paraId="51168961" w14:textId="77777777">
      <w:pPr>
        <w:pStyle w:val="FootnoteText"/>
        <w:rPr>
          <w:szCs w:val="26"/>
        </w:rPr>
      </w:pPr>
      <w:r>
        <w:rPr>
          <w:rStyle w:val="FootnoteReference"/>
        </w:rPr>
        <w:footnoteRef/>
      </w:r>
      <w:r>
        <w:t xml:space="preserve"> EDPR Initial Comments at 4-5; </w:t>
      </w:r>
      <w:r w:rsidRPr="00AE3B35">
        <w:rPr>
          <w:szCs w:val="26"/>
        </w:rPr>
        <w:t xml:space="preserve">Generation Developers </w:t>
      </w:r>
      <w:r>
        <w:rPr>
          <w:szCs w:val="26"/>
        </w:rPr>
        <w:t xml:space="preserve">Initial Comments at </w:t>
      </w:r>
      <w:r w:rsidRPr="009F4059">
        <w:rPr>
          <w:szCs w:val="26"/>
        </w:rPr>
        <w:t>19</w:t>
      </w:r>
      <w:r>
        <w:rPr>
          <w:szCs w:val="26"/>
        </w:rPr>
        <w:t xml:space="preserve">; </w:t>
      </w:r>
      <w:r w:rsidRPr="007C2B93">
        <w:rPr>
          <w:szCs w:val="26"/>
        </w:rPr>
        <w:t>Indicated Trade Associations Initial Comments at</w:t>
      </w:r>
      <w:r>
        <w:rPr>
          <w:szCs w:val="26"/>
        </w:rPr>
        <w:t xml:space="preserve"> </w:t>
      </w:r>
      <w:r w:rsidRPr="004C1D1E">
        <w:rPr>
          <w:szCs w:val="26"/>
        </w:rPr>
        <w:t>18</w:t>
      </w:r>
      <w:r>
        <w:rPr>
          <w:szCs w:val="26"/>
        </w:rPr>
        <w:t xml:space="preserve">; </w:t>
      </w:r>
      <w:r>
        <w:t>Reactive Service Providers Initial Comments at 59-62.</w:t>
      </w:r>
    </w:p>
  </w:footnote>
  <w:footnote w:id="351">
    <w:p w:rsidR="005109B8" w:rsidRPr="004C1D1E" w:rsidP="005109B8" w14:paraId="775E6844" w14:textId="77777777">
      <w:pPr>
        <w:pStyle w:val="FootnoteText"/>
        <w:rPr>
          <w:szCs w:val="26"/>
        </w:rPr>
      </w:pPr>
      <w:r w:rsidRPr="004C1D1E">
        <w:rPr>
          <w:rStyle w:val="FootnoteReference"/>
          <w:szCs w:val="26"/>
        </w:rPr>
        <w:footnoteRef/>
      </w:r>
      <w:r w:rsidRPr="004C1D1E">
        <w:rPr>
          <w:szCs w:val="26"/>
        </w:rPr>
        <w:t xml:space="preserve"> </w:t>
      </w:r>
      <w:r w:rsidRPr="007C2B93">
        <w:rPr>
          <w:szCs w:val="26"/>
        </w:rPr>
        <w:t xml:space="preserve">Indicated Trade Associations Initial Comments at </w:t>
      </w:r>
      <w:r w:rsidRPr="004C1D1E">
        <w:rPr>
          <w:szCs w:val="26"/>
        </w:rPr>
        <w:t>17-18.</w:t>
      </w:r>
    </w:p>
  </w:footnote>
  <w:footnote w:id="352">
    <w:p w:rsidR="005109B8" w:rsidRPr="004C1D1E" w:rsidP="005109B8" w14:paraId="7BD2FB13" w14:textId="0E41A6C3">
      <w:pPr>
        <w:pStyle w:val="FootnoteText"/>
        <w:rPr>
          <w:szCs w:val="26"/>
        </w:rPr>
      </w:pPr>
      <w:r w:rsidRPr="004C1D1E">
        <w:rPr>
          <w:rStyle w:val="FootnoteReference"/>
          <w:szCs w:val="26"/>
        </w:rPr>
        <w:footnoteRef/>
      </w:r>
      <w:r w:rsidRPr="004C1D1E">
        <w:rPr>
          <w:szCs w:val="26"/>
        </w:rPr>
        <w:t xml:space="preserve"> </w:t>
      </w:r>
      <w:r w:rsidR="0066639A">
        <w:rPr>
          <w:i/>
          <w:iCs/>
          <w:szCs w:val="26"/>
        </w:rPr>
        <w:t>Id.</w:t>
      </w:r>
    </w:p>
  </w:footnote>
  <w:footnote w:id="353">
    <w:p w:rsidR="005109B8" w:rsidRPr="009F4059" w:rsidP="005109B8" w14:paraId="67F70A33" w14:textId="77777777">
      <w:pPr>
        <w:pStyle w:val="FootnoteText"/>
        <w:rPr>
          <w:szCs w:val="26"/>
        </w:rPr>
      </w:pPr>
      <w:r w:rsidRPr="009F4059">
        <w:rPr>
          <w:rStyle w:val="FootnoteReference"/>
          <w:szCs w:val="26"/>
        </w:rPr>
        <w:footnoteRef/>
      </w:r>
      <w:r w:rsidRPr="009F4059">
        <w:rPr>
          <w:szCs w:val="26"/>
        </w:rPr>
        <w:t xml:space="preserve"> </w:t>
      </w:r>
      <w:r w:rsidRPr="00AE3B35">
        <w:rPr>
          <w:szCs w:val="26"/>
        </w:rPr>
        <w:t xml:space="preserve">Generation Developers </w:t>
      </w:r>
      <w:r>
        <w:rPr>
          <w:szCs w:val="26"/>
        </w:rPr>
        <w:t xml:space="preserve">Initial Comments at </w:t>
      </w:r>
      <w:r w:rsidRPr="009F4059">
        <w:rPr>
          <w:szCs w:val="26"/>
        </w:rPr>
        <w:t>19.</w:t>
      </w:r>
    </w:p>
  </w:footnote>
  <w:footnote w:id="354">
    <w:p w:rsidR="00BE191C" w:rsidP="000129FB" w14:paraId="46B1AB88" w14:textId="682BAD29">
      <w:pPr>
        <w:pStyle w:val="FootnoteText"/>
        <w:widowControl/>
      </w:pPr>
      <w:r>
        <w:rPr>
          <w:rStyle w:val="FootnoteReference"/>
        </w:rPr>
        <w:footnoteRef/>
      </w:r>
      <w:r>
        <w:t xml:space="preserve"> </w:t>
      </w:r>
      <w:r w:rsidR="0066639A">
        <w:rPr>
          <w:i/>
          <w:iCs/>
        </w:rPr>
        <w:t>Id.</w:t>
      </w:r>
      <w:r w:rsidR="00446C36">
        <w:t xml:space="preserve"> at 18-19, 34-35; </w:t>
      </w:r>
      <w:r w:rsidRPr="00E004FC" w:rsidR="00446C36">
        <w:rPr>
          <w:szCs w:val="26"/>
        </w:rPr>
        <w:t>Glenvale Initial Comment</w:t>
      </w:r>
      <w:r w:rsidR="00446C36">
        <w:rPr>
          <w:szCs w:val="26"/>
        </w:rPr>
        <w:t>s</w:t>
      </w:r>
      <w:r w:rsidRPr="00E004FC" w:rsidR="00446C36">
        <w:rPr>
          <w:szCs w:val="26"/>
        </w:rPr>
        <w:t xml:space="preserve"> at 6</w:t>
      </w:r>
      <w:r w:rsidR="00446C36">
        <w:rPr>
          <w:szCs w:val="26"/>
        </w:rPr>
        <w:t>;</w:t>
      </w:r>
      <w:r>
        <w:rPr>
          <w:szCs w:val="26"/>
        </w:rPr>
        <w:t xml:space="preserve"> </w:t>
      </w:r>
      <w:r w:rsidRPr="007C2B93">
        <w:rPr>
          <w:szCs w:val="26"/>
        </w:rPr>
        <w:t>Indicated Trade Associations Initial Comments at 12-1</w:t>
      </w:r>
      <w:r>
        <w:rPr>
          <w:szCs w:val="26"/>
        </w:rPr>
        <w:t xml:space="preserve">5; </w:t>
      </w:r>
      <w:r>
        <w:t xml:space="preserve">Reactive Service Providers Initial Comments </w:t>
      </w:r>
      <w:r w:rsidR="000129FB">
        <w:t xml:space="preserve">    </w:t>
      </w:r>
      <w:r>
        <w:t>at 77.</w:t>
      </w:r>
    </w:p>
  </w:footnote>
  <w:footnote w:id="355">
    <w:p w:rsidR="00A61D51" w:rsidRPr="007C2B93" w:rsidP="00940656" w14:paraId="26590BB0" w14:textId="2FE65325">
      <w:pPr>
        <w:pStyle w:val="FootnoteText"/>
        <w:rPr>
          <w:szCs w:val="26"/>
        </w:rPr>
      </w:pPr>
      <w:r w:rsidRPr="007C2B93">
        <w:rPr>
          <w:rStyle w:val="FootnoteReference"/>
          <w:szCs w:val="26"/>
        </w:rPr>
        <w:footnoteRef/>
      </w:r>
      <w:r w:rsidRPr="007C2B93">
        <w:rPr>
          <w:szCs w:val="26"/>
        </w:rPr>
        <w:t xml:space="preserve"> Indicated Trade Associations Initial Comments at 12-13 (citing </w:t>
      </w:r>
      <w:r w:rsidRPr="007C2B93">
        <w:rPr>
          <w:i/>
          <w:iCs/>
          <w:szCs w:val="26"/>
        </w:rPr>
        <w:t>Offer Caps in Mkts. Operated by Reg’l Transmission Orgs. and Indep. Sys. Operators</w:t>
      </w:r>
      <w:r w:rsidRPr="007C2B93">
        <w:rPr>
          <w:szCs w:val="26"/>
        </w:rPr>
        <w:t>,</w:t>
      </w:r>
      <w:r w:rsidR="00940656">
        <w:rPr>
          <w:szCs w:val="26"/>
        </w:rPr>
        <w:t xml:space="preserve"> </w:t>
      </w:r>
      <w:r w:rsidRPr="0032625C">
        <w:rPr>
          <w:szCs w:val="26"/>
        </w:rPr>
        <w:t>Order No. 831,</w:t>
      </w:r>
      <w:r w:rsidR="000129FB">
        <w:rPr>
          <w:szCs w:val="26"/>
        </w:rPr>
        <w:t xml:space="preserve"> 81 FR 87770 (Dec. 5, 2016),</w:t>
      </w:r>
      <w:r w:rsidRPr="0032625C">
        <w:rPr>
          <w:szCs w:val="26"/>
        </w:rPr>
        <w:t xml:space="preserve"> 157 FERC ¶</w:t>
      </w:r>
      <w:r w:rsidR="00D374EE">
        <w:rPr>
          <w:szCs w:val="26"/>
        </w:rPr>
        <w:t> </w:t>
      </w:r>
      <w:r w:rsidRPr="0032625C">
        <w:rPr>
          <w:szCs w:val="26"/>
        </w:rPr>
        <w:t>61,115</w:t>
      </w:r>
      <w:r w:rsidR="00D374EE">
        <w:rPr>
          <w:szCs w:val="26"/>
        </w:rPr>
        <w:t>,</w:t>
      </w:r>
      <w:r w:rsidRPr="0032625C">
        <w:rPr>
          <w:szCs w:val="26"/>
        </w:rPr>
        <w:t xml:space="preserve"> at P</w:t>
      </w:r>
      <w:r w:rsidRPr="007C2B93">
        <w:rPr>
          <w:szCs w:val="26"/>
        </w:rPr>
        <w:t>P</w:t>
      </w:r>
      <w:r w:rsidR="00D374EE">
        <w:rPr>
          <w:szCs w:val="26"/>
        </w:rPr>
        <w:t> </w:t>
      </w:r>
      <w:r w:rsidRPr="007C2B93">
        <w:rPr>
          <w:szCs w:val="26"/>
        </w:rPr>
        <w:t xml:space="preserve">5, </w:t>
      </w:r>
      <w:r w:rsidRPr="0032625C">
        <w:rPr>
          <w:szCs w:val="26"/>
        </w:rPr>
        <w:t xml:space="preserve">7 (2016), </w:t>
      </w:r>
      <w:r w:rsidRPr="0032625C">
        <w:rPr>
          <w:i/>
          <w:iCs/>
          <w:szCs w:val="26"/>
        </w:rPr>
        <w:t>on reh’g</w:t>
      </w:r>
      <w:r w:rsidRPr="0032625C">
        <w:rPr>
          <w:szCs w:val="26"/>
        </w:rPr>
        <w:t>,</w:t>
      </w:r>
      <w:r>
        <w:rPr>
          <w:szCs w:val="26"/>
        </w:rPr>
        <w:t xml:space="preserve"> </w:t>
      </w:r>
      <w:r w:rsidRPr="007C2B93">
        <w:rPr>
          <w:szCs w:val="26"/>
        </w:rPr>
        <w:t xml:space="preserve">Order </w:t>
      </w:r>
      <w:r w:rsidR="000129FB">
        <w:rPr>
          <w:szCs w:val="26"/>
        </w:rPr>
        <w:t xml:space="preserve">    </w:t>
      </w:r>
      <w:r w:rsidRPr="007C2B93">
        <w:rPr>
          <w:szCs w:val="26"/>
        </w:rPr>
        <w:t xml:space="preserve">No. 831-A, </w:t>
      </w:r>
      <w:r w:rsidR="000129FB">
        <w:rPr>
          <w:szCs w:val="26"/>
        </w:rPr>
        <w:t xml:space="preserve">82 FR 53403 (Nov. 16, 2017), </w:t>
      </w:r>
      <w:r w:rsidRPr="007C2B93">
        <w:rPr>
          <w:szCs w:val="26"/>
        </w:rPr>
        <w:t>161 FERC ¶</w:t>
      </w:r>
      <w:r w:rsidR="00D374EE">
        <w:rPr>
          <w:szCs w:val="26"/>
        </w:rPr>
        <w:t> </w:t>
      </w:r>
      <w:r w:rsidRPr="007C2B93">
        <w:rPr>
          <w:szCs w:val="26"/>
        </w:rPr>
        <w:t>61,156 (2017)).</w:t>
      </w:r>
    </w:p>
  </w:footnote>
  <w:footnote w:id="356">
    <w:p w:rsidR="00BD1477" w:rsidP="00BD1477" w14:paraId="58B55F46" w14:textId="1F635DDC">
      <w:pPr>
        <w:pStyle w:val="FootnoteText"/>
      </w:pPr>
      <w:r>
        <w:rPr>
          <w:rStyle w:val="FootnoteReference"/>
        </w:rPr>
        <w:footnoteRef/>
      </w:r>
      <w:r>
        <w:t xml:space="preserve"> Generation Developers Initial Comments at 34-35. </w:t>
      </w:r>
    </w:p>
  </w:footnote>
  <w:footnote w:id="357">
    <w:p w:rsidR="00A86D69" w:rsidRPr="009F4059" w:rsidP="00A86D69" w14:paraId="4DFC0F9A" w14:textId="6F7AAAF3">
      <w:pPr>
        <w:pStyle w:val="FootnoteText"/>
        <w:rPr>
          <w:szCs w:val="26"/>
        </w:rPr>
      </w:pPr>
      <w:r w:rsidRPr="009F4059">
        <w:rPr>
          <w:rStyle w:val="FootnoteReference"/>
          <w:szCs w:val="26"/>
        </w:rPr>
        <w:footnoteRef/>
      </w:r>
      <w:r w:rsidRPr="009F4059">
        <w:rPr>
          <w:szCs w:val="26"/>
        </w:rPr>
        <w:t xml:space="preserve"> </w:t>
      </w:r>
      <w:r w:rsidR="00132ACD">
        <w:rPr>
          <w:i/>
          <w:iCs/>
          <w:szCs w:val="26"/>
        </w:rPr>
        <w:t>Id.</w:t>
      </w:r>
      <w:r>
        <w:rPr>
          <w:szCs w:val="26"/>
        </w:rPr>
        <w:t xml:space="preserve"> at </w:t>
      </w:r>
      <w:r w:rsidRPr="009F4059">
        <w:rPr>
          <w:szCs w:val="26"/>
        </w:rPr>
        <w:t>18.</w:t>
      </w:r>
    </w:p>
  </w:footnote>
  <w:footnote w:id="358">
    <w:p w:rsidR="00A86D69" w:rsidRPr="009F4059" w:rsidP="00A86D69" w14:paraId="59EF6009" w14:textId="403667FC">
      <w:pPr>
        <w:pStyle w:val="FootnoteText"/>
        <w:rPr>
          <w:szCs w:val="26"/>
        </w:rPr>
      </w:pPr>
      <w:r w:rsidRPr="009F4059">
        <w:rPr>
          <w:rStyle w:val="FootnoteReference"/>
          <w:szCs w:val="26"/>
        </w:rPr>
        <w:footnoteRef/>
      </w:r>
      <w:r w:rsidRPr="009F4059">
        <w:rPr>
          <w:szCs w:val="26"/>
        </w:rPr>
        <w:t xml:space="preserve"> </w:t>
      </w:r>
      <w:r w:rsidRPr="00132ACD" w:rsidR="00132ACD">
        <w:rPr>
          <w:i/>
          <w:iCs/>
          <w:szCs w:val="26"/>
        </w:rPr>
        <w:t xml:space="preserve"> </w:t>
      </w:r>
      <w:r w:rsidR="00132ACD">
        <w:rPr>
          <w:i/>
          <w:iCs/>
          <w:szCs w:val="26"/>
        </w:rPr>
        <w:t>Id.</w:t>
      </w:r>
    </w:p>
  </w:footnote>
  <w:footnote w:id="359">
    <w:p w:rsidR="00A86D69" w:rsidRPr="009F4059" w:rsidP="00A86D69" w14:paraId="4F4411FC" w14:textId="6E606632">
      <w:pPr>
        <w:pStyle w:val="FootnoteText"/>
        <w:rPr>
          <w:szCs w:val="26"/>
        </w:rPr>
      </w:pPr>
      <w:r w:rsidRPr="009F4059">
        <w:rPr>
          <w:rStyle w:val="FootnoteReference"/>
          <w:szCs w:val="26"/>
        </w:rPr>
        <w:footnoteRef/>
      </w:r>
      <w:r w:rsidRPr="009F4059">
        <w:rPr>
          <w:szCs w:val="26"/>
        </w:rPr>
        <w:t xml:space="preserve"> </w:t>
      </w:r>
      <w:r w:rsidR="00132ACD">
        <w:rPr>
          <w:i/>
          <w:iCs/>
          <w:szCs w:val="26"/>
        </w:rPr>
        <w:t>Id.</w:t>
      </w:r>
      <w:r w:rsidRPr="006056E4" w:rsidR="00132ACD">
        <w:rPr>
          <w:i/>
        </w:rPr>
        <w:t xml:space="preserve"> </w:t>
      </w:r>
      <w:r>
        <w:rPr>
          <w:szCs w:val="26"/>
        </w:rPr>
        <w:t xml:space="preserve">at </w:t>
      </w:r>
      <w:r w:rsidRPr="009F4059">
        <w:rPr>
          <w:szCs w:val="26"/>
        </w:rPr>
        <w:t>19.</w:t>
      </w:r>
    </w:p>
  </w:footnote>
  <w:footnote w:id="360">
    <w:p w:rsidR="00A86D69" w:rsidRPr="009F4059" w:rsidP="00A86D69" w14:paraId="0172CCCA" w14:textId="20F6FE28">
      <w:pPr>
        <w:pStyle w:val="FootnoteText"/>
        <w:rPr>
          <w:szCs w:val="26"/>
        </w:rPr>
      </w:pPr>
      <w:r w:rsidRPr="009F4059">
        <w:rPr>
          <w:rStyle w:val="FootnoteReference"/>
          <w:szCs w:val="26"/>
        </w:rPr>
        <w:footnoteRef/>
      </w:r>
      <w:r w:rsidRPr="009F4059">
        <w:rPr>
          <w:szCs w:val="26"/>
        </w:rPr>
        <w:t xml:space="preserve"> </w:t>
      </w:r>
      <w:r w:rsidR="00132ACD">
        <w:rPr>
          <w:i/>
          <w:iCs/>
          <w:szCs w:val="26"/>
        </w:rPr>
        <w:t>Id.</w:t>
      </w:r>
    </w:p>
  </w:footnote>
  <w:footnote w:id="361">
    <w:p w:rsidR="00EC5444" w:rsidP="00EC5444" w14:paraId="2CE4CE50" w14:textId="3E810BF0">
      <w:pPr>
        <w:pStyle w:val="FootnoteText"/>
      </w:pPr>
      <w:r>
        <w:rPr>
          <w:rStyle w:val="FootnoteReference"/>
        </w:rPr>
        <w:footnoteRef/>
      </w:r>
      <w:r>
        <w:t xml:space="preserve"> </w:t>
      </w:r>
      <w:r w:rsidR="00132ACD">
        <w:rPr>
          <w:i/>
          <w:iCs/>
          <w:szCs w:val="26"/>
        </w:rPr>
        <w:t>Id.</w:t>
      </w:r>
      <w:r>
        <w:t xml:space="preserve"> at 6.</w:t>
      </w:r>
    </w:p>
  </w:footnote>
  <w:footnote w:id="362">
    <w:p w:rsidR="00973660" w:rsidRPr="007C2B93" w:rsidP="00973660" w14:paraId="7E0F7CEE" w14:textId="77777777">
      <w:pPr>
        <w:pStyle w:val="FootnoteText"/>
        <w:rPr>
          <w:szCs w:val="26"/>
        </w:rPr>
      </w:pPr>
      <w:r w:rsidRPr="007C2B93">
        <w:rPr>
          <w:rStyle w:val="FootnoteReference"/>
          <w:szCs w:val="26"/>
        </w:rPr>
        <w:footnoteRef/>
      </w:r>
      <w:r w:rsidRPr="007C2B93">
        <w:rPr>
          <w:szCs w:val="26"/>
        </w:rPr>
        <w:t xml:space="preserve"> Indicated Trade Associations Initial Comments at 14.</w:t>
      </w:r>
    </w:p>
  </w:footnote>
  <w:footnote w:id="363">
    <w:p w:rsidR="00BE191C" w:rsidP="00BE191C" w14:paraId="29BEE706" w14:textId="1D676A77">
      <w:pPr>
        <w:pStyle w:val="FootnoteText"/>
      </w:pPr>
      <w:r>
        <w:rPr>
          <w:rStyle w:val="FootnoteReference"/>
        </w:rPr>
        <w:footnoteRef/>
      </w:r>
      <w:r>
        <w:t xml:space="preserve"> Indicated Reactive Power Suppliers Initial Comments at 9; Generation Developers Initial Comments at 4, 9-12; Reactive Service Providers Initial Comments </w:t>
      </w:r>
      <w:r w:rsidR="003428D4">
        <w:t xml:space="preserve">    </w:t>
      </w:r>
      <w:r>
        <w:t>at 62-63.</w:t>
      </w:r>
    </w:p>
  </w:footnote>
  <w:footnote w:id="364">
    <w:p w:rsidR="00D23696" w:rsidP="00D23696" w14:paraId="4E83AC7F" w14:textId="437F29FC">
      <w:pPr>
        <w:pStyle w:val="FootnoteText"/>
      </w:pPr>
      <w:r>
        <w:rPr>
          <w:rStyle w:val="FootnoteReference"/>
        </w:rPr>
        <w:footnoteRef/>
      </w:r>
      <w:r>
        <w:t xml:space="preserve"> Indicated Reactive Power Suppliers Initial Comments at 9; Generation Developers Initial Comments at 4, 9-12; Reactive Service Providers Initial Comments </w:t>
      </w:r>
      <w:r w:rsidR="003428D4">
        <w:t xml:space="preserve">     </w:t>
      </w:r>
      <w:r>
        <w:t>at 62-63.</w:t>
      </w:r>
    </w:p>
  </w:footnote>
  <w:footnote w:id="365">
    <w:p w:rsidR="00D23696" w:rsidP="00D23696" w14:paraId="2C7D50DD" w14:textId="3DAC484F">
      <w:pPr>
        <w:pStyle w:val="FootnoteText"/>
      </w:pPr>
      <w:r>
        <w:rPr>
          <w:rStyle w:val="FootnoteReference"/>
        </w:rPr>
        <w:footnoteRef/>
      </w:r>
      <w:r>
        <w:t xml:space="preserve"> Generation Developers Initial Comments at 9-10 (citing </w:t>
      </w:r>
      <w:r w:rsidRPr="00C32AC4">
        <w:rPr>
          <w:i/>
          <w:iCs/>
        </w:rPr>
        <w:t>Sithe/Indep</w:t>
      </w:r>
      <w:r w:rsidR="000129FB">
        <w:rPr>
          <w:i/>
          <w:iCs/>
        </w:rPr>
        <w:t>.</w:t>
      </w:r>
      <w:r w:rsidRPr="00C32AC4">
        <w:rPr>
          <w:i/>
          <w:iCs/>
        </w:rPr>
        <w:t xml:space="preserve"> Power Partners, L.P. v. FERC</w:t>
      </w:r>
      <w:r w:rsidRPr="00C32AC4">
        <w:t>, 285 F.3d 1, 5 (D.C. Cir. 2002)</w:t>
      </w:r>
      <w:r>
        <w:t>).</w:t>
      </w:r>
      <w:r w:rsidRPr="00C32AC4">
        <w:t xml:space="preserve">  </w:t>
      </w:r>
    </w:p>
  </w:footnote>
  <w:footnote w:id="366">
    <w:p w:rsidR="00D23696" w:rsidP="00D23696" w14:paraId="626C8797" w14:textId="3BD854EA">
      <w:pPr>
        <w:pStyle w:val="FootnoteText"/>
      </w:pPr>
      <w:r>
        <w:rPr>
          <w:rStyle w:val="FootnoteReference"/>
        </w:rPr>
        <w:footnoteRef/>
      </w:r>
      <w:r>
        <w:t xml:space="preserve"> </w:t>
      </w:r>
      <w:r>
        <w:rPr>
          <w:i/>
          <w:iCs/>
        </w:rPr>
        <w:t>Id.</w:t>
      </w:r>
      <w:r>
        <w:t xml:space="preserve"> at 10; Reactive Service Providers Initial Comments at 62-63.</w:t>
      </w:r>
    </w:p>
  </w:footnote>
  <w:footnote w:id="367">
    <w:p w:rsidR="00D23696" w:rsidP="00D23696" w14:paraId="2DB00AAE" w14:textId="32C9D1EA">
      <w:pPr>
        <w:pStyle w:val="FootnoteText"/>
      </w:pPr>
      <w:r>
        <w:rPr>
          <w:rStyle w:val="FootnoteReference"/>
        </w:rPr>
        <w:footnoteRef/>
      </w:r>
      <w:r>
        <w:t xml:space="preserve"> Generation Developers Initial Comments at 10-13.</w:t>
      </w:r>
    </w:p>
  </w:footnote>
  <w:footnote w:id="368">
    <w:p w:rsidR="00BE191C" w:rsidP="00BE191C" w14:paraId="580D1E09" w14:textId="5A1AE733">
      <w:pPr>
        <w:pStyle w:val="FootnoteText"/>
      </w:pPr>
      <w:r>
        <w:rPr>
          <w:rStyle w:val="FootnoteReference"/>
        </w:rPr>
        <w:footnoteRef/>
      </w:r>
      <w:r>
        <w:t xml:space="preserve"> ACORE Initial Comments at 3; Generation Developers Initial Comments </w:t>
      </w:r>
      <w:r w:rsidR="000129FB">
        <w:t xml:space="preserve">        </w:t>
      </w:r>
      <w:r>
        <w:t xml:space="preserve">at 8-9; Indicated Trade Associations Initial Comments at 27; NEI Initial Comments at 2, 16; </w:t>
      </w:r>
      <w:r w:rsidR="00A6442E">
        <w:t>PSEG</w:t>
      </w:r>
      <w:r>
        <w:t xml:space="preserve"> Initial Comments at 1-3, 17; Reactive Service Providers Initial Comments </w:t>
      </w:r>
      <w:r w:rsidR="000129FB">
        <w:t xml:space="preserve">     </w:t>
      </w:r>
      <w:r>
        <w:t>at 63-64.</w:t>
      </w:r>
    </w:p>
  </w:footnote>
  <w:footnote w:id="369">
    <w:p w:rsidR="00061E20" w:rsidP="00061E20" w14:paraId="46EB0C96" w14:textId="15EB3520">
      <w:pPr>
        <w:pStyle w:val="FootnoteText"/>
      </w:pPr>
      <w:r>
        <w:rPr>
          <w:rStyle w:val="FootnoteReference"/>
        </w:rPr>
        <w:footnoteRef/>
      </w:r>
      <w:r>
        <w:t xml:space="preserve"> Indicated Trade Associations Initial Comments at </w:t>
      </w:r>
      <w:r w:rsidR="009D7988">
        <w:t>25-</w:t>
      </w:r>
      <w:r>
        <w:t xml:space="preserve">27; Reactive Service Providers Initial Comments at 64; </w:t>
      </w:r>
      <w:r w:rsidR="00A6442E">
        <w:t>PSEG</w:t>
      </w:r>
      <w:r>
        <w:t xml:space="preserve"> Initial Comments at 17; ACORE Initial Comments at 3.</w:t>
      </w:r>
    </w:p>
  </w:footnote>
  <w:footnote w:id="370">
    <w:p w:rsidR="00061E20" w:rsidP="00061E20" w14:paraId="424EBF8B" w14:textId="77777777">
      <w:pPr>
        <w:pStyle w:val="FootnoteText"/>
      </w:pPr>
      <w:r>
        <w:rPr>
          <w:rStyle w:val="FootnoteReference"/>
        </w:rPr>
        <w:footnoteRef/>
      </w:r>
      <w:r>
        <w:t xml:space="preserve"> ACORE Initial Comments at 3.</w:t>
      </w:r>
    </w:p>
  </w:footnote>
  <w:footnote w:id="371">
    <w:p w:rsidR="00061E20" w:rsidP="00061E20" w14:paraId="6217044C" w14:textId="3A4804AF">
      <w:pPr>
        <w:pStyle w:val="FootnoteText"/>
      </w:pPr>
      <w:r>
        <w:rPr>
          <w:rStyle w:val="FootnoteReference"/>
        </w:rPr>
        <w:footnoteRef/>
      </w:r>
      <w:r>
        <w:t xml:space="preserve"> NEI Initial Comments at 16 (citing</w:t>
      </w:r>
      <w:r w:rsidRPr="004C0CCD">
        <w:rPr>
          <w:color w:val="000000"/>
        </w:rPr>
        <w:t xml:space="preserve"> </w:t>
      </w:r>
      <w:r>
        <w:t xml:space="preserve">2005 </w:t>
      </w:r>
      <w:r w:rsidRPr="004C0CCD">
        <w:t xml:space="preserve">Staff Report at </w:t>
      </w:r>
      <w:r>
        <w:t xml:space="preserve">4); </w:t>
      </w:r>
      <w:r w:rsidR="00A6442E">
        <w:t>PSEG</w:t>
      </w:r>
      <w:r>
        <w:t xml:space="preserve"> Initial Comments at 17 (citing same).</w:t>
      </w:r>
    </w:p>
  </w:footnote>
  <w:footnote w:id="372">
    <w:p w:rsidR="00061E20" w:rsidP="00061E20" w14:paraId="280CB86B" w14:textId="77777777">
      <w:pPr>
        <w:pStyle w:val="FootnoteText"/>
      </w:pPr>
      <w:r>
        <w:rPr>
          <w:rStyle w:val="FootnoteReference"/>
        </w:rPr>
        <w:footnoteRef/>
      </w:r>
      <w:r>
        <w:t xml:space="preserve"> Reactive Service Providers Initial Comments at 64.</w:t>
      </w:r>
    </w:p>
  </w:footnote>
  <w:footnote w:id="373">
    <w:p w:rsidR="00061E20" w:rsidRPr="004C1D1E" w:rsidP="00061E20" w14:paraId="0B0BAE6D" w14:textId="77777777">
      <w:pPr>
        <w:pStyle w:val="FootnoteText"/>
        <w:rPr>
          <w:szCs w:val="26"/>
        </w:rPr>
      </w:pPr>
      <w:r w:rsidRPr="004C1D1E">
        <w:rPr>
          <w:rStyle w:val="FootnoteReference"/>
          <w:szCs w:val="26"/>
        </w:rPr>
        <w:footnoteRef/>
      </w:r>
      <w:r w:rsidRPr="004C1D1E">
        <w:rPr>
          <w:szCs w:val="26"/>
        </w:rPr>
        <w:t xml:space="preserve"> </w:t>
      </w:r>
      <w:r w:rsidRPr="007C2B93">
        <w:rPr>
          <w:szCs w:val="26"/>
        </w:rPr>
        <w:t xml:space="preserve">Indicated Trade Associations Initial Comments at </w:t>
      </w:r>
      <w:r w:rsidRPr="004C1D1E">
        <w:rPr>
          <w:szCs w:val="26"/>
        </w:rPr>
        <w:t>24-26</w:t>
      </w:r>
      <w:r>
        <w:rPr>
          <w:szCs w:val="26"/>
        </w:rPr>
        <w:t>; Indicated Trade Associations Reply Comments at 16; NEI Initial Comments at 17</w:t>
      </w:r>
      <w:r w:rsidRPr="004C1D1E">
        <w:rPr>
          <w:szCs w:val="26"/>
        </w:rPr>
        <w:t>.</w:t>
      </w:r>
    </w:p>
  </w:footnote>
  <w:footnote w:id="374">
    <w:p w:rsidR="000D26A8" w14:paraId="15165449" w14:textId="5E60BD34">
      <w:pPr>
        <w:pStyle w:val="FootnoteText"/>
      </w:pPr>
      <w:r>
        <w:rPr>
          <w:rStyle w:val="FootnoteReference"/>
        </w:rPr>
        <w:footnoteRef/>
      </w:r>
      <w:r>
        <w:t xml:space="preserve"> </w:t>
      </w:r>
      <w:r w:rsidR="00B97C6F">
        <w:t xml:space="preserve">Indicated Trade Associations Initial Comments at 14; Reactive Service Providers Initial Comments at </w:t>
      </w:r>
      <w:r w:rsidR="006C538A">
        <w:t>45-46</w:t>
      </w:r>
    </w:p>
  </w:footnote>
  <w:footnote w:id="375">
    <w:p w:rsidR="002E74F8" w:rsidP="000129FB" w14:paraId="2B6CF387" w14:textId="6C414399">
      <w:pPr>
        <w:pStyle w:val="FootnoteText"/>
        <w:widowControl/>
      </w:pPr>
      <w:r>
        <w:rPr>
          <w:rStyle w:val="FootnoteReference"/>
        </w:rPr>
        <w:footnoteRef/>
      </w:r>
      <w:r>
        <w:t xml:space="preserve"> Reactive Service Providers Initial Comments at 45-46</w:t>
      </w:r>
      <w:r w:rsidR="003E463D">
        <w:t>.</w:t>
      </w:r>
      <w:r w:rsidR="006F1F79">
        <w:t>; Indicated Trade As</w:t>
      </w:r>
      <w:r w:rsidR="00AC2F64">
        <w:t xml:space="preserve">sociations </w:t>
      </w:r>
      <w:r w:rsidR="006B186E">
        <w:t xml:space="preserve">Initial </w:t>
      </w:r>
      <w:r w:rsidR="00061F90">
        <w:t xml:space="preserve">Comments </w:t>
      </w:r>
      <w:r w:rsidR="00DB75F9">
        <w:t xml:space="preserve">at </w:t>
      </w:r>
      <w:r w:rsidR="002676E6">
        <w:t>14 (</w:t>
      </w:r>
      <w:r w:rsidR="004F04C9">
        <w:t>arguing</w:t>
      </w:r>
      <w:r w:rsidRPr="00AC2F64" w:rsidR="004F04C9">
        <w:t xml:space="preserve"> </w:t>
      </w:r>
      <w:r w:rsidRPr="00AC2F64" w:rsidR="00AC2F64">
        <w:t xml:space="preserve">that including reactive power costs in energy offers would increase a generating facility’s risk of not clearing in the energy market, and </w:t>
      </w:r>
      <w:r w:rsidR="00FF7DCB">
        <w:t xml:space="preserve">that </w:t>
      </w:r>
      <w:r w:rsidRPr="00AC2F64" w:rsidR="00AC2F64">
        <w:t>this risk is “particularly acute in jurisdictions where independent power producers compete with vertically integrated utilities whose generators recover costs through state-jurisdictional retail rates.”</w:t>
      </w:r>
      <w:r w:rsidR="00FF7DCB">
        <w:t xml:space="preserve"> (citations omitted)</w:t>
      </w:r>
      <w:r w:rsidR="004F04C9">
        <w:t>)</w:t>
      </w:r>
      <w:r w:rsidR="005F2BA1">
        <w:t>.</w:t>
      </w:r>
    </w:p>
  </w:footnote>
  <w:footnote w:id="376">
    <w:p w:rsidR="009F0396" w14:paraId="7826CD0A" w14:textId="11495304">
      <w:pPr>
        <w:pStyle w:val="FootnoteText"/>
      </w:pPr>
      <w:r>
        <w:rPr>
          <w:rStyle w:val="FootnoteReference"/>
        </w:rPr>
        <w:footnoteRef/>
      </w:r>
      <w:r>
        <w:t xml:space="preserve"> Reactive Service Providers Initial Comments at 46.</w:t>
      </w:r>
    </w:p>
  </w:footnote>
  <w:footnote w:id="377">
    <w:p w:rsidR="00A54686" w14:paraId="607A91F1" w14:textId="7C672A97">
      <w:pPr>
        <w:pStyle w:val="FootnoteText"/>
      </w:pPr>
      <w:r>
        <w:rPr>
          <w:rStyle w:val="FootnoteReference"/>
        </w:rPr>
        <w:footnoteRef/>
      </w:r>
      <w:r>
        <w:t xml:space="preserve"> </w:t>
      </w:r>
      <w:r w:rsidR="006506B1">
        <w:rPr>
          <w:i/>
          <w:iCs/>
        </w:rPr>
        <w:t>Id.</w:t>
      </w:r>
    </w:p>
  </w:footnote>
  <w:footnote w:id="378">
    <w:p w:rsidR="00455B58" w14:paraId="70585009" w14:textId="619E69D0">
      <w:pPr>
        <w:pStyle w:val="FootnoteText"/>
      </w:pPr>
      <w:r>
        <w:rPr>
          <w:rStyle w:val="FootnoteReference"/>
        </w:rPr>
        <w:footnoteRef/>
      </w:r>
      <w:r>
        <w:t xml:space="preserve"> NEI Initial Comments at 16.</w:t>
      </w:r>
    </w:p>
  </w:footnote>
  <w:footnote w:id="379">
    <w:p w:rsidR="004E198B" w:rsidRPr="00883E45" w:rsidP="003428D4" w14:paraId="5C84C42A" w14:textId="6BF45EB2">
      <w:pPr>
        <w:pStyle w:val="FootnoteText"/>
        <w:widowControl/>
      </w:pPr>
      <w:r>
        <w:rPr>
          <w:rStyle w:val="FootnoteReference"/>
        </w:rPr>
        <w:footnoteRef/>
      </w:r>
      <w:r>
        <w:t xml:space="preserve"> </w:t>
      </w:r>
      <w:r w:rsidR="006506B1">
        <w:rPr>
          <w:i/>
          <w:iCs/>
        </w:rPr>
        <w:t>Id.</w:t>
      </w:r>
      <w:r>
        <w:t xml:space="preserve"> at 16-17</w:t>
      </w:r>
      <w:r w:rsidR="00812F27">
        <w:t xml:space="preserve"> &amp; n.47</w:t>
      </w:r>
      <w:r w:rsidR="007D033F">
        <w:t xml:space="preserve">.  NEI asserts that the “Commission still </w:t>
      </w:r>
      <w:r w:rsidRPr="0019701E" w:rsidR="0019701E">
        <w:t>has an obligation to consider whether wholesale rates (or as here, proposed</w:t>
      </w:r>
      <w:r w:rsidR="00E47F97">
        <w:t xml:space="preserve"> </w:t>
      </w:r>
      <w:r w:rsidRPr="00E47F97" w:rsidR="00E47F97">
        <w:t>rates) are unduly discriminatory when considered in relation to retail rates, even though the latter is not subject to Commission jurisdiction</w:t>
      </w:r>
      <w:r w:rsidR="00E47F97">
        <w:t xml:space="preserve">.” </w:t>
      </w:r>
      <w:r w:rsidR="00E47F97">
        <w:rPr>
          <w:i/>
          <w:iCs/>
        </w:rPr>
        <w:t>Id.</w:t>
      </w:r>
      <w:r w:rsidR="00883E45">
        <w:rPr>
          <w:i/>
          <w:iCs/>
        </w:rPr>
        <w:t xml:space="preserve"> </w:t>
      </w:r>
      <w:r w:rsidR="00883E45">
        <w:t xml:space="preserve">(citing </w:t>
      </w:r>
      <w:r w:rsidRPr="00717F55" w:rsidR="00717F55">
        <w:rPr>
          <w:i/>
          <w:iCs/>
        </w:rPr>
        <w:t>Fed. Power Comm’n v. Conway Corp.</w:t>
      </w:r>
      <w:r w:rsidRPr="00717F55" w:rsidR="00717F55">
        <w:t xml:space="preserve">, 426 U.S. 271 (1976); </w:t>
      </w:r>
      <w:r w:rsidRPr="00717F55" w:rsidR="00717F55">
        <w:rPr>
          <w:i/>
          <w:iCs/>
        </w:rPr>
        <w:t>Commonwealth Edison Co.</w:t>
      </w:r>
      <w:r w:rsidRPr="00717F55" w:rsidR="00717F55">
        <w:t>, 8 FERC ¶ 61,277, at 61,848 (1979)</w:t>
      </w:r>
      <w:r w:rsidR="00DF2C9B">
        <w:t xml:space="preserve">; </w:t>
      </w:r>
      <w:r w:rsidRPr="00DF2C9B" w:rsidR="00DF2C9B">
        <w:rPr>
          <w:i/>
          <w:iCs/>
        </w:rPr>
        <w:t>Sunoco, Inc. (R&amp;M) v. Transcontinental Gas Pipe Line Corp.</w:t>
      </w:r>
      <w:r w:rsidRPr="00DF2C9B" w:rsidR="00DF2C9B">
        <w:t xml:space="preserve">, 114 FERC ¶ 61,180 at P 28 </w:t>
      </w:r>
      <w:r w:rsidR="006506B1">
        <w:t>&amp;</w:t>
      </w:r>
      <w:r w:rsidRPr="00DF2C9B" w:rsidR="006506B1">
        <w:t xml:space="preserve"> </w:t>
      </w:r>
      <w:r w:rsidRPr="00DF2C9B" w:rsidR="00DF2C9B">
        <w:t>n.20 (2006)</w:t>
      </w:r>
      <w:r w:rsidR="00883E45">
        <w:t>).</w:t>
      </w:r>
    </w:p>
  </w:footnote>
  <w:footnote w:id="380">
    <w:p w:rsidR="00061E20" w:rsidP="00061E20" w14:paraId="5A2F3EFF" w14:textId="18E1CD8D">
      <w:pPr>
        <w:pStyle w:val="FootnoteText"/>
      </w:pPr>
      <w:r>
        <w:rPr>
          <w:rStyle w:val="FootnoteReference"/>
        </w:rPr>
        <w:footnoteRef/>
      </w:r>
      <w:r>
        <w:t xml:space="preserve"> </w:t>
      </w:r>
      <w:r w:rsidR="005F73ED">
        <w:rPr>
          <w:i/>
          <w:iCs/>
        </w:rPr>
        <w:t>Id.</w:t>
      </w:r>
      <w:r>
        <w:t xml:space="preserve"> at 2.</w:t>
      </w:r>
    </w:p>
  </w:footnote>
  <w:footnote w:id="381">
    <w:p w:rsidR="00061E20" w:rsidP="00061E20" w14:paraId="0664AFE8" w14:textId="48D8C75C">
      <w:pPr>
        <w:pStyle w:val="FootnoteText"/>
      </w:pPr>
      <w:r>
        <w:rPr>
          <w:rStyle w:val="FootnoteReference"/>
        </w:rPr>
        <w:footnoteRef/>
      </w:r>
      <w:r>
        <w:t xml:space="preserve"> </w:t>
      </w:r>
      <w:r w:rsidR="00976E6E">
        <w:rPr>
          <w:i/>
          <w:iCs/>
        </w:rPr>
        <w:t>Id.</w:t>
      </w:r>
      <w:r>
        <w:t xml:space="preserve"> at 16-17.</w:t>
      </w:r>
    </w:p>
  </w:footnote>
  <w:footnote w:id="382">
    <w:p w:rsidR="000917DB" w:rsidP="008D5372" w14:paraId="55CD4FFB" w14:textId="23ADD101">
      <w:pPr>
        <w:pStyle w:val="FootnoteText"/>
      </w:pPr>
      <w:r>
        <w:rPr>
          <w:rStyle w:val="FootnoteReference"/>
        </w:rPr>
        <w:footnoteRef/>
      </w:r>
      <w:r>
        <w:t xml:space="preserve"> Elevate Initial Comments at 12-13 (citing </w:t>
      </w:r>
      <w:r w:rsidRPr="00CC6424" w:rsidR="008D5372">
        <w:rPr>
          <w:i/>
          <w:iCs/>
        </w:rPr>
        <w:t>Elec</w:t>
      </w:r>
      <w:r w:rsidR="00E3460E">
        <w:rPr>
          <w:i/>
          <w:iCs/>
        </w:rPr>
        <w:t>.</w:t>
      </w:r>
      <w:r w:rsidRPr="00CC6424" w:rsidR="008D5372">
        <w:rPr>
          <w:i/>
          <w:iCs/>
        </w:rPr>
        <w:t xml:space="preserve"> Storage Participation in Mkts</w:t>
      </w:r>
      <w:r w:rsidR="00E3460E">
        <w:rPr>
          <w:i/>
          <w:iCs/>
        </w:rPr>
        <w:t>.</w:t>
      </w:r>
      <w:r w:rsidRPr="00CC6424" w:rsidR="008D5372">
        <w:rPr>
          <w:i/>
          <w:iCs/>
        </w:rPr>
        <w:t xml:space="preserve"> Operated by Reg</w:t>
      </w:r>
      <w:r w:rsidR="00E3460E">
        <w:rPr>
          <w:i/>
          <w:iCs/>
        </w:rPr>
        <w:t>’</w:t>
      </w:r>
      <w:r w:rsidRPr="00CC6424" w:rsidR="008D5372">
        <w:rPr>
          <w:i/>
          <w:iCs/>
        </w:rPr>
        <w:t>l Transmission Orgs</w:t>
      </w:r>
      <w:r w:rsidR="00E3460E">
        <w:rPr>
          <w:i/>
          <w:iCs/>
        </w:rPr>
        <w:t>.</w:t>
      </w:r>
      <w:r w:rsidRPr="00CC6424" w:rsidR="008D5372">
        <w:rPr>
          <w:i/>
          <w:iCs/>
        </w:rPr>
        <w:t xml:space="preserve"> </w:t>
      </w:r>
      <w:r w:rsidR="00E3460E">
        <w:rPr>
          <w:i/>
          <w:iCs/>
        </w:rPr>
        <w:t>&amp;</w:t>
      </w:r>
      <w:r w:rsidRPr="00CC6424" w:rsidR="00E3460E">
        <w:rPr>
          <w:i/>
          <w:iCs/>
        </w:rPr>
        <w:t xml:space="preserve"> </w:t>
      </w:r>
      <w:r w:rsidRPr="00CC6424" w:rsidR="008D5372">
        <w:rPr>
          <w:i/>
          <w:iCs/>
        </w:rPr>
        <w:t>Indep</w:t>
      </w:r>
      <w:r w:rsidR="00E3460E">
        <w:rPr>
          <w:i/>
          <w:iCs/>
        </w:rPr>
        <w:t>.</w:t>
      </w:r>
      <w:r w:rsidRPr="00CC6424" w:rsidR="008D5372">
        <w:rPr>
          <w:i/>
          <w:iCs/>
        </w:rPr>
        <w:t xml:space="preserve"> Sys</w:t>
      </w:r>
      <w:r w:rsidR="00E3460E">
        <w:rPr>
          <w:i/>
          <w:iCs/>
        </w:rPr>
        <w:t>.</w:t>
      </w:r>
      <w:r w:rsidRPr="00CC6424" w:rsidR="008D5372">
        <w:rPr>
          <w:i/>
          <w:iCs/>
        </w:rPr>
        <w:t xml:space="preserve"> Operators</w:t>
      </w:r>
      <w:r w:rsidRPr="008D5372" w:rsidR="008D5372">
        <w:t>, Order No. 841,</w:t>
      </w:r>
      <w:r w:rsidR="000129FB">
        <w:t xml:space="preserve"> 83 FR 9580 (Mar. 6, 2018), </w:t>
      </w:r>
      <w:r w:rsidRPr="008D5372" w:rsidR="008D5372">
        <w:t>162</w:t>
      </w:r>
      <w:r w:rsidR="00E3460E">
        <w:t> </w:t>
      </w:r>
      <w:r w:rsidRPr="008D5372" w:rsidR="008D5372">
        <w:t>FERC ¶ 61,127</w:t>
      </w:r>
      <w:r w:rsidR="008D5372">
        <w:t>, at P 79</w:t>
      </w:r>
      <w:r w:rsidRPr="008D5372" w:rsidR="008D5372">
        <w:t xml:space="preserve"> (2018), order on reh</w:t>
      </w:r>
      <w:r w:rsidR="00E3460E">
        <w:t>’</w:t>
      </w:r>
      <w:r w:rsidRPr="008D5372" w:rsidR="008D5372">
        <w:t xml:space="preserve">g, Order </w:t>
      </w:r>
      <w:r w:rsidR="000129FB">
        <w:t xml:space="preserve">          </w:t>
      </w:r>
      <w:r w:rsidRPr="008D5372" w:rsidR="008D5372">
        <w:t>No. 841-A, 167 FERC</w:t>
      </w:r>
      <w:r w:rsidR="00E3460E">
        <w:t> </w:t>
      </w:r>
      <w:r w:rsidRPr="008D5372" w:rsidR="008D5372">
        <w:t>¶ 61,154 (2019)</w:t>
      </w:r>
      <w:r w:rsidR="00E3460E">
        <w:t>)</w:t>
      </w:r>
      <w:r w:rsidR="008D5372">
        <w:t>.</w:t>
      </w:r>
    </w:p>
  </w:footnote>
  <w:footnote w:id="383">
    <w:p w:rsidR="005E6CA6" w:rsidRPr="004C1D1E" w:rsidP="005E6CA6" w14:paraId="76138CCC" w14:textId="77777777">
      <w:pPr>
        <w:pStyle w:val="FootnoteText"/>
        <w:rPr>
          <w:szCs w:val="26"/>
        </w:rPr>
      </w:pPr>
      <w:r w:rsidRPr="004C1D1E">
        <w:rPr>
          <w:rStyle w:val="FootnoteReference"/>
          <w:szCs w:val="26"/>
        </w:rPr>
        <w:footnoteRef/>
      </w:r>
      <w:r w:rsidRPr="004C1D1E">
        <w:rPr>
          <w:szCs w:val="26"/>
        </w:rPr>
        <w:t xml:space="preserve"> </w:t>
      </w:r>
      <w:r w:rsidRPr="007C2B93">
        <w:rPr>
          <w:szCs w:val="26"/>
        </w:rPr>
        <w:t xml:space="preserve">Indicated Trade Associations Initial Comments at </w:t>
      </w:r>
      <w:r w:rsidRPr="004C1D1E">
        <w:rPr>
          <w:szCs w:val="26"/>
        </w:rPr>
        <w:t>30.</w:t>
      </w:r>
    </w:p>
  </w:footnote>
  <w:footnote w:id="384">
    <w:p w:rsidR="001A5AEB" w14:paraId="5C542394" w14:textId="1FCA3E5B">
      <w:pPr>
        <w:pStyle w:val="FootnoteText"/>
      </w:pPr>
      <w:r>
        <w:rPr>
          <w:rStyle w:val="FootnoteReference"/>
        </w:rPr>
        <w:footnoteRef/>
      </w:r>
      <w:r>
        <w:t xml:space="preserve"> </w:t>
      </w:r>
      <w:r w:rsidR="008D5372">
        <w:rPr>
          <w:i/>
          <w:iCs/>
        </w:rPr>
        <w:t>Id.</w:t>
      </w:r>
      <w:r>
        <w:t xml:space="preserve"> at 31-32.</w:t>
      </w:r>
    </w:p>
  </w:footnote>
  <w:footnote w:id="385">
    <w:p w:rsidR="005E6CA6" w:rsidP="005E6CA6" w14:paraId="07C3F69B" w14:textId="6023D87C">
      <w:pPr>
        <w:pStyle w:val="FootnoteText"/>
      </w:pPr>
      <w:r>
        <w:rPr>
          <w:rStyle w:val="FootnoteReference"/>
        </w:rPr>
        <w:footnoteRef/>
      </w:r>
      <w:r>
        <w:t xml:space="preserve"> </w:t>
      </w:r>
      <w:r w:rsidRPr="0080648E">
        <w:t xml:space="preserve">NHA Initial Comments at </w:t>
      </w:r>
      <w:r>
        <w:t>5-</w:t>
      </w:r>
      <w:r w:rsidR="00A62DCE">
        <w:t>7</w:t>
      </w:r>
      <w:r>
        <w:t>.</w:t>
      </w:r>
    </w:p>
  </w:footnote>
  <w:footnote w:id="386">
    <w:p w:rsidR="00435DC9" w:rsidP="00435DC9" w14:paraId="596D1087" w14:textId="77777777">
      <w:pPr>
        <w:pStyle w:val="FootnoteText"/>
      </w:pPr>
      <w:r>
        <w:rPr>
          <w:rStyle w:val="FootnoteReference"/>
        </w:rPr>
        <w:footnoteRef/>
      </w:r>
      <w:r>
        <w:t xml:space="preserve"> Reactive Service Providers Initial Comments at 31-34.</w:t>
      </w:r>
    </w:p>
  </w:footnote>
  <w:footnote w:id="387">
    <w:p w:rsidR="001D1779" w:rsidP="001D1779" w14:paraId="6F4946B1" w14:textId="50405D87">
      <w:pPr>
        <w:pStyle w:val="FootnoteText"/>
      </w:pPr>
      <w:r>
        <w:rPr>
          <w:rStyle w:val="FootnoteReference"/>
        </w:rPr>
        <w:footnoteRef/>
      </w:r>
      <w:r>
        <w:t xml:space="preserve"> </w:t>
      </w:r>
      <w:r w:rsidRPr="00EA0C2A" w:rsidR="00FE4F45">
        <w:rPr>
          <w:szCs w:val="26"/>
        </w:rPr>
        <w:t>ISO-NE Initial Comment</w:t>
      </w:r>
      <w:r w:rsidR="00FE4F45">
        <w:rPr>
          <w:szCs w:val="26"/>
        </w:rPr>
        <w:t>s</w:t>
      </w:r>
      <w:r w:rsidRPr="00EA0C2A" w:rsidR="00FE4F45">
        <w:rPr>
          <w:szCs w:val="26"/>
        </w:rPr>
        <w:t xml:space="preserve"> at 1-2</w:t>
      </w:r>
      <w:r w:rsidR="00777005">
        <w:t>;</w:t>
      </w:r>
      <w:r w:rsidR="00817403">
        <w:t xml:space="preserve"> </w:t>
      </w:r>
      <w:r>
        <w:t>NESCOE Reply Comments at 2; NEPGA Reply Comments at 6-7; NEPOOL Reply Comments at 6-7.</w:t>
      </w:r>
    </w:p>
  </w:footnote>
  <w:footnote w:id="388">
    <w:p w:rsidR="001D1779" w14:paraId="6A855A44" w14:textId="7E7FF9D2">
      <w:pPr>
        <w:pStyle w:val="FootnoteText"/>
      </w:pPr>
      <w:r>
        <w:rPr>
          <w:rStyle w:val="FootnoteReference"/>
        </w:rPr>
        <w:footnoteRef/>
      </w:r>
      <w:r>
        <w:t xml:space="preserve"> </w:t>
      </w:r>
      <w:r w:rsidRPr="00EA0C2A">
        <w:rPr>
          <w:szCs w:val="26"/>
        </w:rPr>
        <w:t>ISO-NE Initial Comment</w:t>
      </w:r>
      <w:r>
        <w:rPr>
          <w:szCs w:val="26"/>
        </w:rPr>
        <w:t>s</w:t>
      </w:r>
      <w:r w:rsidRPr="00EA0C2A">
        <w:rPr>
          <w:szCs w:val="26"/>
        </w:rPr>
        <w:t xml:space="preserve"> at </w:t>
      </w:r>
      <w:r w:rsidR="00DE25B1">
        <w:rPr>
          <w:szCs w:val="26"/>
        </w:rPr>
        <w:t>9-</w:t>
      </w:r>
      <w:r w:rsidRPr="00EA0C2A">
        <w:rPr>
          <w:szCs w:val="26"/>
        </w:rPr>
        <w:t>10</w:t>
      </w:r>
      <w:r w:rsidRPr="00972850" w:rsidR="00972850">
        <w:rPr>
          <w:szCs w:val="26"/>
        </w:rPr>
        <w:t xml:space="preserve"> (citing </w:t>
      </w:r>
      <w:r w:rsidRPr="00972850" w:rsidR="00972850">
        <w:rPr>
          <w:i/>
          <w:iCs/>
          <w:szCs w:val="26"/>
        </w:rPr>
        <w:t>Me. Pub. Util. Comm’n v. ISO New England Inc.</w:t>
      </w:r>
      <w:r w:rsidRPr="00972850" w:rsidR="00972850">
        <w:rPr>
          <w:szCs w:val="26"/>
        </w:rPr>
        <w:t>, 126 FERC ¶ 61,090 (2009))</w:t>
      </w:r>
      <w:r>
        <w:rPr>
          <w:szCs w:val="26"/>
        </w:rPr>
        <w:t>.</w:t>
      </w:r>
    </w:p>
  </w:footnote>
  <w:footnote w:id="389">
    <w:p w:rsidR="00BC4910" w14:paraId="1571410C" w14:textId="217C1C41">
      <w:pPr>
        <w:pStyle w:val="FootnoteText"/>
      </w:pPr>
      <w:r>
        <w:rPr>
          <w:rStyle w:val="FootnoteReference"/>
        </w:rPr>
        <w:footnoteRef/>
      </w:r>
      <w:r>
        <w:t xml:space="preserve"> In ISO-NE</w:t>
      </w:r>
      <w:r w:rsidR="00230B44">
        <w:t xml:space="preserve">, </w:t>
      </w:r>
      <w:r w:rsidR="0085343D">
        <w:t xml:space="preserve">a generating facility may </w:t>
      </w:r>
      <w:r w:rsidR="00221013">
        <w:t xml:space="preserve">submit a request, including documentation, to ISO-NE </w:t>
      </w:r>
      <w:r w:rsidR="005A451A">
        <w:t xml:space="preserve">to receive additional compensation based on </w:t>
      </w:r>
      <w:r w:rsidRPr="00DB29C1" w:rsidR="00DB29C1">
        <w:t>their verified leading and lagging reactive capability</w:t>
      </w:r>
      <w:r w:rsidR="00DB29C1">
        <w:t xml:space="preserve">.  </w:t>
      </w:r>
      <w:r w:rsidRPr="00504C1D" w:rsidR="00DB29C1">
        <w:rPr>
          <w:i/>
        </w:rPr>
        <w:t>See</w:t>
      </w:r>
      <w:r w:rsidR="00DB29C1">
        <w:t xml:space="preserve"> ISO-NE Schedule 2, </w:t>
      </w:r>
      <w:r w:rsidR="00ED72B4">
        <w:t>§</w:t>
      </w:r>
      <w:r w:rsidR="00031BAD">
        <w:t xml:space="preserve"> </w:t>
      </w:r>
      <w:r w:rsidR="00DE311C">
        <w:t>3.1</w:t>
      </w:r>
      <w:r w:rsidR="00415E63">
        <w:t xml:space="preserve"> (10.0.0)</w:t>
      </w:r>
      <w:r w:rsidR="00DE311C">
        <w:t>.</w:t>
      </w:r>
    </w:p>
  </w:footnote>
  <w:footnote w:id="390">
    <w:p w:rsidR="00B04966" w:rsidP="00B04966" w14:paraId="4A77D8B1" w14:textId="77777777">
      <w:pPr>
        <w:pStyle w:val="FootnoteText"/>
      </w:pPr>
      <w:r>
        <w:rPr>
          <w:rStyle w:val="FootnoteReference"/>
        </w:rPr>
        <w:footnoteRef/>
      </w:r>
      <w:r>
        <w:t xml:space="preserve"> NEPOOL Reply Comments at 9-11.</w:t>
      </w:r>
    </w:p>
  </w:footnote>
  <w:footnote w:id="391">
    <w:p w:rsidR="00771C51" w:rsidP="00771C51" w14:paraId="05A6EEF5" w14:textId="77777777">
      <w:pPr>
        <w:pStyle w:val="FootnoteText"/>
      </w:pPr>
      <w:r>
        <w:rPr>
          <w:rStyle w:val="FootnoteReference"/>
        </w:rPr>
        <w:footnoteRef/>
      </w:r>
      <w:r>
        <w:t xml:space="preserve"> NEPGA Reply Comments at 4-6.</w:t>
      </w:r>
    </w:p>
  </w:footnote>
  <w:footnote w:id="392">
    <w:p w:rsidR="001D1779" w:rsidRPr="008E4AEA" w:rsidP="001D1779" w14:paraId="49B0B7A6" w14:textId="77777777">
      <w:pPr>
        <w:pStyle w:val="FootnoteText"/>
      </w:pPr>
      <w:r w:rsidRPr="008E4AEA">
        <w:rPr>
          <w:rStyle w:val="FootnoteReference"/>
        </w:rPr>
        <w:footnoteRef/>
      </w:r>
      <w:r w:rsidRPr="008E4AEA">
        <w:t xml:space="preserve"> NYISO Initial Comments at 1.</w:t>
      </w:r>
    </w:p>
  </w:footnote>
  <w:footnote w:id="393">
    <w:p w:rsidR="001D1779" w:rsidRPr="008E4AEA" w:rsidP="001D1779" w14:paraId="1B824A6D" w14:textId="2CC6F5DD">
      <w:pPr>
        <w:pStyle w:val="FootnoteText"/>
      </w:pPr>
      <w:r w:rsidRPr="008E4AEA">
        <w:rPr>
          <w:rStyle w:val="FootnoteReference"/>
        </w:rPr>
        <w:footnoteRef/>
      </w:r>
      <w:r w:rsidRPr="008E4AEA">
        <w:t xml:space="preserve"> </w:t>
      </w:r>
      <w:r w:rsidR="00E52B1E">
        <w:rPr>
          <w:i/>
          <w:iCs/>
        </w:rPr>
        <w:t>Id.</w:t>
      </w:r>
      <w:r w:rsidRPr="008E4AEA">
        <w:t xml:space="preserve"> at 2</w:t>
      </w:r>
      <w:r>
        <w:t>; IPPNY Reply Comments at 1-2.</w:t>
      </w:r>
    </w:p>
  </w:footnote>
  <w:footnote w:id="394">
    <w:p w:rsidR="001D1779" w:rsidRPr="008E4AEA" w:rsidP="001D1779" w14:paraId="706DF962" w14:textId="77777777">
      <w:pPr>
        <w:pStyle w:val="FootnoteText"/>
      </w:pPr>
      <w:r w:rsidRPr="008E4AEA">
        <w:rPr>
          <w:rStyle w:val="FootnoteReference"/>
        </w:rPr>
        <w:footnoteRef/>
      </w:r>
      <w:r w:rsidRPr="008E4AEA">
        <w:t xml:space="preserve"> NYISO Initial Comments at 2</w:t>
      </w:r>
      <w:r>
        <w:t>; IPPNY Reply Comments at 1-2.</w:t>
      </w:r>
    </w:p>
  </w:footnote>
  <w:footnote w:id="395">
    <w:p w:rsidR="001D1779" w:rsidRPr="008E4AEA" w:rsidP="001D1779" w14:paraId="460510DF" w14:textId="77777777">
      <w:pPr>
        <w:pStyle w:val="FootnoteText"/>
      </w:pPr>
      <w:r w:rsidRPr="008E4AEA">
        <w:rPr>
          <w:rStyle w:val="FootnoteReference"/>
        </w:rPr>
        <w:footnoteRef/>
      </w:r>
      <w:r w:rsidRPr="008E4AEA">
        <w:t xml:space="preserve"> NYISO Initial Comments at 2-5.</w:t>
      </w:r>
    </w:p>
  </w:footnote>
  <w:footnote w:id="396">
    <w:p w:rsidR="001D1779" w:rsidRPr="008E4AEA" w:rsidP="001D1779" w14:paraId="4B6526FC" w14:textId="67D2D9BA">
      <w:pPr>
        <w:pStyle w:val="FootnoteText"/>
      </w:pPr>
      <w:r w:rsidRPr="008E4AEA">
        <w:rPr>
          <w:rStyle w:val="FootnoteReference"/>
        </w:rPr>
        <w:footnoteRef/>
      </w:r>
      <w:r w:rsidRPr="008E4AEA">
        <w:t xml:space="preserve"> </w:t>
      </w:r>
      <w:r w:rsidR="00E52B1E">
        <w:rPr>
          <w:i/>
          <w:iCs/>
        </w:rPr>
        <w:t>Id.</w:t>
      </w:r>
    </w:p>
  </w:footnote>
  <w:footnote w:id="397">
    <w:p w:rsidR="001D1779" w:rsidRPr="008E4AEA" w:rsidP="001D1779" w14:paraId="02956193" w14:textId="1EF7A87D">
      <w:pPr>
        <w:pStyle w:val="FootnoteText"/>
      </w:pPr>
      <w:r w:rsidRPr="008E4AEA">
        <w:rPr>
          <w:rStyle w:val="FootnoteReference"/>
        </w:rPr>
        <w:footnoteRef/>
      </w:r>
      <w:r w:rsidRPr="008E4AEA">
        <w:t xml:space="preserve"> </w:t>
      </w:r>
      <w:r w:rsidR="00E52B1E">
        <w:rPr>
          <w:i/>
          <w:iCs/>
        </w:rPr>
        <w:t>Id.</w:t>
      </w:r>
      <w:r w:rsidRPr="008E4AEA">
        <w:t xml:space="preserve"> at 7-8.</w:t>
      </w:r>
    </w:p>
  </w:footnote>
  <w:footnote w:id="398">
    <w:p w:rsidR="001D1779" w:rsidRPr="008E4AEA" w:rsidP="001D1779" w14:paraId="37CCF794" w14:textId="1E0776D0">
      <w:pPr>
        <w:pStyle w:val="FootnoteText"/>
      </w:pPr>
      <w:r w:rsidRPr="008E4AEA">
        <w:rPr>
          <w:rStyle w:val="FootnoteReference"/>
        </w:rPr>
        <w:footnoteRef/>
      </w:r>
      <w:r w:rsidRPr="008E4AEA">
        <w:t xml:space="preserve"> </w:t>
      </w:r>
      <w:r w:rsidR="00E52B1E">
        <w:rPr>
          <w:i/>
          <w:iCs/>
        </w:rPr>
        <w:t>Id.</w:t>
      </w:r>
    </w:p>
  </w:footnote>
  <w:footnote w:id="399">
    <w:p w:rsidR="001D1779" w:rsidRPr="008E4AEA" w:rsidP="001D1779" w14:paraId="1589B8FA" w14:textId="1F65D445">
      <w:pPr>
        <w:pStyle w:val="FootnoteText"/>
      </w:pPr>
      <w:r w:rsidRPr="008E4AEA">
        <w:rPr>
          <w:rStyle w:val="FootnoteReference"/>
        </w:rPr>
        <w:footnoteRef/>
      </w:r>
      <w:r w:rsidRPr="008E4AEA">
        <w:t xml:space="preserve"> </w:t>
      </w:r>
      <w:r w:rsidR="00E52B1E">
        <w:rPr>
          <w:i/>
          <w:iCs/>
        </w:rPr>
        <w:t>Id.</w:t>
      </w:r>
      <w:r w:rsidRPr="008E4AEA">
        <w:t xml:space="preserve"> at 8-11.</w:t>
      </w:r>
    </w:p>
  </w:footnote>
  <w:footnote w:id="400">
    <w:p w:rsidR="001D1779" w:rsidRPr="008E4AEA" w:rsidP="001D1779" w14:paraId="5F8A127B" w14:textId="208D1237">
      <w:pPr>
        <w:pStyle w:val="FootnoteText"/>
      </w:pPr>
      <w:r w:rsidRPr="008E4AEA">
        <w:rPr>
          <w:rStyle w:val="FootnoteReference"/>
        </w:rPr>
        <w:footnoteRef/>
      </w:r>
      <w:r w:rsidRPr="008E4AEA">
        <w:t xml:space="preserve"> </w:t>
      </w:r>
      <w:r w:rsidR="00E52B1E">
        <w:rPr>
          <w:i/>
          <w:iCs/>
        </w:rPr>
        <w:t>Id.</w:t>
      </w:r>
      <w:r w:rsidRPr="008E4AEA">
        <w:t xml:space="preserve"> at 11-13.</w:t>
      </w:r>
    </w:p>
  </w:footnote>
  <w:footnote w:id="401">
    <w:p w:rsidR="001D1779" w:rsidRPr="008E4AEA" w:rsidP="001D1779" w14:paraId="4EF3D359" w14:textId="5F0095D4">
      <w:pPr>
        <w:pStyle w:val="FootnoteText"/>
      </w:pPr>
      <w:r w:rsidRPr="008E4AEA">
        <w:rPr>
          <w:rStyle w:val="FootnoteReference"/>
        </w:rPr>
        <w:footnoteRef/>
      </w:r>
      <w:r w:rsidRPr="008E4AEA">
        <w:t xml:space="preserve"> </w:t>
      </w:r>
      <w:r w:rsidR="00E52B1E">
        <w:rPr>
          <w:i/>
          <w:iCs/>
        </w:rPr>
        <w:t>Id.</w:t>
      </w:r>
      <w:r w:rsidRPr="008E4AEA">
        <w:t xml:space="preserve"> at 13-14</w:t>
      </w:r>
      <w:r>
        <w:t>; IPPNY Reply Comments at 2.</w:t>
      </w:r>
    </w:p>
  </w:footnote>
  <w:footnote w:id="402">
    <w:p w:rsidR="001D1779" w:rsidP="001D1779" w14:paraId="7AFFCEED" w14:textId="77777777">
      <w:pPr>
        <w:pStyle w:val="FootnoteText"/>
      </w:pPr>
      <w:r w:rsidRPr="008E4AEA">
        <w:rPr>
          <w:rStyle w:val="FootnoteReference"/>
        </w:rPr>
        <w:footnoteRef/>
      </w:r>
      <w:r w:rsidRPr="008E4AEA">
        <w:t xml:space="preserve"> NYISO Initial Comments at 14.</w:t>
      </w:r>
    </w:p>
  </w:footnote>
  <w:footnote w:id="403">
    <w:p w:rsidR="001D1779" w:rsidP="001D1779" w14:paraId="42B252E2" w14:textId="77777777">
      <w:pPr>
        <w:pStyle w:val="FootnoteText"/>
      </w:pPr>
      <w:r>
        <w:rPr>
          <w:rStyle w:val="FootnoteReference"/>
        </w:rPr>
        <w:footnoteRef/>
      </w:r>
      <w:r>
        <w:t xml:space="preserve"> PJM Initial Comments at 3-4.</w:t>
      </w:r>
    </w:p>
  </w:footnote>
  <w:footnote w:id="404">
    <w:p w:rsidR="00A62DCE" w14:paraId="698733AE" w14:textId="3480DBA7">
      <w:pPr>
        <w:pStyle w:val="FootnoteText"/>
      </w:pPr>
      <w:r>
        <w:rPr>
          <w:rStyle w:val="FootnoteReference"/>
        </w:rPr>
        <w:footnoteRef/>
      </w:r>
      <w:r>
        <w:t xml:space="preserve"> </w:t>
      </w:r>
      <w:r w:rsidR="00E52B1E">
        <w:rPr>
          <w:i/>
          <w:iCs/>
        </w:rPr>
        <w:t>Id.</w:t>
      </w:r>
      <w:r>
        <w:t xml:space="preserve"> at 6-7.</w:t>
      </w:r>
    </w:p>
  </w:footnote>
  <w:footnote w:id="405">
    <w:p w:rsidR="001D1779" w:rsidP="001D1779" w14:paraId="4E227A72" w14:textId="674DBE74">
      <w:pPr>
        <w:pStyle w:val="FootnoteText"/>
      </w:pPr>
      <w:r>
        <w:rPr>
          <w:rStyle w:val="FootnoteReference"/>
        </w:rPr>
        <w:footnoteRef/>
      </w:r>
      <w:r>
        <w:t xml:space="preserve"> </w:t>
      </w:r>
      <w:r w:rsidR="0047518F">
        <w:t xml:space="preserve">PJM IMM Initial Comments </w:t>
      </w:r>
      <w:r>
        <w:t>at 1-2.</w:t>
      </w:r>
      <w:r w:rsidR="00A52A22">
        <w:t xml:space="preserve">  </w:t>
      </w:r>
      <w:r w:rsidR="00A52A22">
        <w:rPr>
          <w:i/>
          <w:iCs/>
        </w:rPr>
        <w:t>See also</w:t>
      </w:r>
      <w:r w:rsidR="00A52A22">
        <w:t xml:space="preserve"> </w:t>
      </w:r>
      <w:r w:rsidR="00A1235A">
        <w:rPr>
          <w:i/>
          <w:iCs/>
        </w:rPr>
        <w:t>id</w:t>
      </w:r>
      <w:r w:rsidR="0021563D">
        <w:rPr>
          <w:i/>
          <w:iCs/>
        </w:rPr>
        <w:t>.</w:t>
      </w:r>
      <w:r w:rsidR="00A52A22">
        <w:t>at 4 (“</w:t>
      </w:r>
      <w:r w:rsidR="00953083">
        <w:rPr>
          <w:bCs/>
        </w:rPr>
        <w:t>[T]</w:t>
      </w:r>
      <w:r w:rsidRPr="00C44AF7" w:rsidR="00953083">
        <w:rPr>
          <w:bCs/>
        </w:rPr>
        <w:t xml:space="preserve">here </w:t>
      </w:r>
      <w:r w:rsidRPr="00C44AF7" w:rsidR="00A52A22">
        <w:rPr>
          <w:bCs/>
        </w:rPr>
        <w:t xml:space="preserve">is no reason that part of those </w:t>
      </w:r>
      <w:r w:rsidRPr="00C44AF7" w:rsidR="00A52A22">
        <w:t>capital costs should be paid directly in a nonmarket, guaranteed, riskless revenue stream rather than in the market.”</w:t>
      </w:r>
      <w:r w:rsidR="00A52A22">
        <w:t>)</w:t>
      </w:r>
      <w:r w:rsidR="007C1EA8">
        <w:t xml:space="preserve">; </w:t>
      </w:r>
      <w:r w:rsidR="007C1EA8">
        <w:rPr>
          <w:i/>
          <w:iCs/>
        </w:rPr>
        <w:t>id.</w:t>
      </w:r>
      <w:r w:rsidR="007C1EA8">
        <w:t xml:space="preserve"> at 6 (“</w:t>
      </w:r>
      <w:r w:rsidRPr="00542288" w:rsidR="007C1EA8">
        <w:t>Elimination of the reactive revenue requirement and the reactive revenue offset would</w:t>
      </w:r>
      <w:r w:rsidR="007C1EA8">
        <w:t xml:space="preserve"> </w:t>
      </w:r>
      <w:r w:rsidRPr="00542288" w:rsidR="007C1EA8">
        <w:t xml:space="preserve">increase prices in the capacity market. </w:t>
      </w:r>
      <w:r w:rsidR="00E52B1E">
        <w:t xml:space="preserve"> </w:t>
      </w:r>
      <w:r w:rsidRPr="00542288" w:rsidR="007C1EA8">
        <w:t>The VRR curve, or demand curve, would shift to the</w:t>
      </w:r>
      <w:r w:rsidR="007C1EA8">
        <w:t xml:space="preserve"> </w:t>
      </w:r>
      <w:r w:rsidRPr="00542288" w:rsidR="007C1EA8">
        <w:t>right, the maximum VRR price would increase and offer caps in the capacity market would</w:t>
      </w:r>
      <w:r w:rsidR="007C1EA8">
        <w:t xml:space="preserve"> </w:t>
      </w:r>
      <w:r w:rsidRPr="00542288" w:rsidR="007C1EA8">
        <w:t>increase</w:t>
      </w:r>
      <w:r w:rsidRPr="00C44AF7" w:rsidR="00A52A22">
        <w:t>.”</w:t>
      </w:r>
      <w:r w:rsidR="00A52A22">
        <w:t>).</w:t>
      </w:r>
    </w:p>
  </w:footnote>
  <w:footnote w:id="406">
    <w:p w:rsidR="009F7E5A" w14:paraId="1A7E7F57" w14:textId="121F3879">
      <w:pPr>
        <w:pStyle w:val="FootnoteText"/>
      </w:pPr>
      <w:r>
        <w:rPr>
          <w:rStyle w:val="FootnoteReference"/>
        </w:rPr>
        <w:footnoteRef/>
      </w:r>
      <w:r>
        <w:t xml:space="preserve"> PJM IMM Reply Comments at 5 (“</w:t>
      </w:r>
      <w:r w:rsidRPr="00336587">
        <w:t>When buyers and sellers</w:t>
      </w:r>
      <w:r>
        <w:t xml:space="preserve"> </w:t>
      </w:r>
      <w:r w:rsidRPr="00336587">
        <w:t>enter into power purchase agreements, the contracting parties define and assign regulatory</w:t>
      </w:r>
      <w:r>
        <w:t xml:space="preserve"> </w:t>
      </w:r>
      <w:r w:rsidRPr="00336587">
        <w:t xml:space="preserve">risk. </w:t>
      </w:r>
      <w:r w:rsidR="00E52B1E">
        <w:t xml:space="preserve"> </w:t>
      </w:r>
      <w:r w:rsidRPr="00336587">
        <w:t>Customers are not responsible to manage or pay for suppliers’ risks</w:t>
      </w:r>
      <w:r>
        <w:t>.”).</w:t>
      </w:r>
    </w:p>
  </w:footnote>
  <w:footnote w:id="407">
    <w:p w:rsidR="00337AAA" w:rsidP="003428D4" w14:paraId="20F94B87" w14:textId="737F5D0A">
      <w:pPr>
        <w:pStyle w:val="FootnoteText"/>
        <w:widowControl/>
      </w:pPr>
      <w:r>
        <w:rPr>
          <w:rStyle w:val="FootnoteReference"/>
        </w:rPr>
        <w:footnoteRef/>
      </w:r>
      <w:r>
        <w:t xml:space="preserve"> PJM IMM Initial Comments at 8 (“</w:t>
      </w:r>
      <w:r w:rsidRPr="00885C07">
        <w:t>Reactive power is not the only design obligation that generation interconnection</w:t>
      </w:r>
      <w:r>
        <w:t xml:space="preserve"> </w:t>
      </w:r>
      <w:r w:rsidRPr="00885C07">
        <w:t>customers assume. Generators are also obligated to provide primary frequency response</w:t>
      </w:r>
      <w:r>
        <w:t xml:space="preserve"> </w:t>
      </w:r>
      <w:r w:rsidRPr="00885C07">
        <w:t>capability “by installing, maintaining, and operating a functioning governor or equivalent</w:t>
      </w:r>
      <w:r>
        <w:t xml:space="preserve"> </w:t>
      </w:r>
      <w:r w:rsidRPr="00885C07">
        <w:t>controls</w:t>
      </w:r>
      <w:r w:rsidR="00E52B1E">
        <w:t xml:space="preserve"> . . .</w:t>
      </w:r>
      <w:r w:rsidRPr="00885C07">
        <w:t>” Primary frequency response capability is required for the reliable operation of</w:t>
      </w:r>
      <w:r>
        <w:t xml:space="preserve"> </w:t>
      </w:r>
      <w:r w:rsidRPr="00885C07">
        <w:t xml:space="preserve">the system. </w:t>
      </w:r>
      <w:r w:rsidR="00E52B1E">
        <w:t xml:space="preserve"> </w:t>
      </w:r>
      <w:r w:rsidRPr="00885C07">
        <w:t>The PJM OATT does not, however, provide for an out of market payment for</w:t>
      </w:r>
      <w:r>
        <w:t xml:space="preserve"> </w:t>
      </w:r>
      <w:r w:rsidRPr="00885C07">
        <w:t xml:space="preserve">such capability. </w:t>
      </w:r>
      <w:r w:rsidR="00E52B1E">
        <w:t xml:space="preserve"> </w:t>
      </w:r>
      <w:r w:rsidRPr="00885C07">
        <w:t>The provision of primary frequency capability is treated as an obligation</w:t>
      </w:r>
      <w:r>
        <w:t xml:space="preserve"> </w:t>
      </w:r>
      <w:r w:rsidRPr="00885C07">
        <w:t>assumed by generation interconnection customers for receiving interconnection service.</w:t>
      </w:r>
      <w:r>
        <w:t>”</w:t>
      </w:r>
      <w:r w:rsidR="007C3C31">
        <w:t>)</w:t>
      </w:r>
      <w:r>
        <w:t xml:space="preserve"> (citations omitted)); </w:t>
      </w:r>
      <w:r>
        <w:rPr>
          <w:i/>
          <w:iCs/>
        </w:rPr>
        <w:t>Id</w:t>
      </w:r>
      <w:r>
        <w:t>. at 9 (“The PJM OATT includes a number of other obligations on generation interconnection customers, many of which are important and impose costs, but does so without including any special provisions for out of market compensation.”); PJM IMM Reply Comments at 6 (“</w:t>
      </w:r>
      <w:r w:rsidRPr="00553368">
        <w:t>The fundamental logic of the obligation to provide reactive service, frequency control</w:t>
      </w:r>
      <w:r>
        <w:t xml:space="preserve"> </w:t>
      </w:r>
      <w:r w:rsidRPr="00553368">
        <w:t>service and other essential elements of interconnecting to the power grid is that the grid is a</w:t>
      </w:r>
      <w:r>
        <w:t xml:space="preserve"> </w:t>
      </w:r>
      <w:r w:rsidRPr="00553368">
        <w:t xml:space="preserve">network. </w:t>
      </w:r>
      <w:r w:rsidR="00366A51">
        <w:t xml:space="preserve"> </w:t>
      </w:r>
      <w:r w:rsidRPr="00553368">
        <w:t xml:space="preserve">All generators who connect to the grid benefit from that network effect. </w:t>
      </w:r>
      <w:r w:rsidR="00366A51">
        <w:t xml:space="preserve"> </w:t>
      </w:r>
      <w:r w:rsidRPr="00553368">
        <w:t>All</w:t>
      </w:r>
      <w:r>
        <w:t xml:space="preserve"> </w:t>
      </w:r>
      <w:r w:rsidRPr="00553368">
        <w:t>generators who connect to the grid have corresponding obligations to the grid that permit</w:t>
      </w:r>
      <w:r>
        <w:t xml:space="preserve"> </w:t>
      </w:r>
      <w:r w:rsidRPr="00553368">
        <w:t xml:space="preserve">the grid to function as an effective and reliable network. </w:t>
      </w:r>
      <w:r w:rsidR="00366A51">
        <w:t xml:space="preserve"> </w:t>
      </w:r>
      <w:r w:rsidRPr="00553368">
        <w:t>It has always been the case that there</w:t>
      </w:r>
      <w:r>
        <w:t xml:space="preserve"> </w:t>
      </w:r>
      <w:r w:rsidRPr="00553368">
        <w:t xml:space="preserve">are standards for interconnecting to the network. </w:t>
      </w:r>
      <w:r w:rsidR="00366A51">
        <w:t xml:space="preserve"> </w:t>
      </w:r>
      <w:r w:rsidRPr="00553368">
        <w:t>Meeting those standards is part of being a</w:t>
      </w:r>
      <w:r>
        <w:t xml:space="preserve"> </w:t>
      </w:r>
      <w:r w:rsidRPr="00553368">
        <w:t xml:space="preserve">resource on the network. </w:t>
      </w:r>
      <w:r w:rsidR="00366A51">
        <w:t xml:space="preserve"> </w:t>
      </w:r>
      <w:r w:rsidRPr="00553368">
        <w:t>The actual costs of interconnecting to the grid can be significant for</w:t>
      </w:r>
      <w:r>
        <w:t xml:space="preserve"> </w:t>
      </w:r>
      <w:r w:rsidRPr="00553368">
        <w:t>resources but those costs are part of the cost of building a resource and part of the investment</w:t>
      </w:r>
      <w:r>
        <w:t xml:space="preserve"> </w:t>
      </w:r>
      <w:r w:rsidRPr="00553368">
        <w:t>decision for resource owners and not a reason for a separate guaranteed payment.</w:t>
      </w:r>
      <w:r>
        <w:t>”).</w:t>
      </w:r>
    </w:p>
  </w:footnote>
  <w:footnote w:id="408">
    <w:p w:rsidR="00A64CD7" w:rsidP="00A64CD7" w14:paraId="30867CB8" w14:textId="77777777">
      <w:pPr>
        <w:pStyle w:val="FootnoteText"/>
      </w:pPr>
      <w:r>
        <w:rPr>
          <w:rStyle w:val="FootnoteReference"/>
        </w:rPr>
        <w:footnoteRef/>
      </w:r>
      <w:r>
        <w:t xml:space="preserve"> PJM IMM Initial Comments at 12-13.</w:t>
      </w:r>
    </w:p>
  </w:footnote>
  <w:footnote w:id="409">
    <w:p w:rsidR="00795AA3" w:rsidP="00795AA3" w14:paraId="65BE599B" w14:textId="77777777">
      <w:pPr>
        <w:pStyle w:val="FootnoteText"/>
      </w:pPr>
      <w:r>
        <w:rPr>
          <w:rStyle w:val="FootnoteReference"/>
        </w:rPr>
        <w:footnoteRef/>
      </w:r>
      <w:r>
        <w:t xml:space="preserve"> </w:t>
      </w:r>
      <w:r w:rsidRPr="005162DB">
        <w:t xml:space="preserve">We emphasize that our findings in this final rule do not affect any party’s filing rights under section 205 of the FPA, including the right of generating facilities to seek cost recovery for the provision of reactive power outside the standard power factor range.  </w:t>
      </w:r>
      <w:r w:rsidRPr="005162DB">
        <w:rPr>
          <w:i/>
          <w:iCs/>
        </w:rPr>
        <w:t>See</w:t>
      </w:r>
      <w:r w:rsidRPr="005162DB">
        <w:t xml:space="preserve"> </w:t>
      </w:r>
      <w:r w:rsidRPr="005162DB">
        <w:rPr>
          <w:i/>
        </w:rPr>
        <w:t>supra</w:t>
      </w:r>
      <w:r w:rsidRPr="005162DB">
        <w:rPr>
          <w:i/>
          <w:iCs/>
        </w:rPr>
        <w:t xml:space="preserve"> </w:t>
      </w:r>
      <w:r w:rsidRPr="005162DB">
        <w:t>II.A.2.</w:t>
      </w:r>
    </w:p>
  </w:footnote>
  <w:footnote w:id="410">
    <w:p w:rsidR="0094696B" w:rsidRPr="00CD2C9F" w:rsidP="0094696B" w14:paraId="1963F467" w14:textId="184D932B">
      <w:pPr>
        <w:pStyle w:val="FootnoteText"/>
      </w:pPr>
      <w:r w:rsidRPr="00CD2C9F">
        <w:rPr>
          <w:rStyle w:val="FootnoteReference"/>
        </w:rPr>
        <w:footnoteRef/>
      </w:r>
      <w:r w:rsidRPr="00CD2C9F">
        <w:t xml:space="preserve"> </w:t>
      </w:r>
      <w:r w:rsidRPr="00CD2C9F">
        <w:rPr>
          <w:i/>
          <w:iCs/>
        </w:rPr>
        <w:t>See</w:t>
      </w:r>
      <w:r>
        <w:rPr>
          <w:i/>
          <w:iCs/>
        </w:rPr>
        <w:t>, e.g.</w:t>
      </w:r>
      <w:r w:rsidRPr="00C06B6B">
        <w:t>,</w:t>
      </w:r>
      <w:r w:rsidRPr="00CD2C9F">
        <w:rPr>
          <w:i/>
          <w:iCs/>
        </w:rPr>
        <w:t xml:space="preserve"> </w:t>
      </w:r>
      <w:r>
        <w:t xml:space="preserve">PJM IMM Initial Comments at 1-2, 4, 6, 9, 12-13; PJM IMM Reply Comments at 2-5; Joint Customers Initial Comments at 16; MISO Transmission Owners Initial Comments at 16-17; Ohio FEA Initial Comments at 3, 5; Joint Consumer Advocates Initial Comments at 7-8; TAPS Initial Comments at 7-8; </w:t>
      </w:r>
      <w:r>
        <w:rPr>
          <w:i/>
          <w:iCs/>
        </w:rPr>
        <w:t xml:space="preserve">see also </w:t>
      </w:r>
      <w:r w:rsidRPr="00CD2C9F">
        <w:t>MISO Rehearing Order, 184 FERC ¶ 61,022 at P 42 (</w:t>
      </w:r>
      <w:r>
        <w:t>“</w:t>
      </w:r>
      <w:r w:rsidRPr="00B030B3">
        <w:t>On rehearing, we conclude that Vistra has still not adequately explained why generators cannot include the costs attributable to Reactive Service in energy offers or capacity offers,</w:t>
      </w:r>
      <w:r>
        <w:t xml:space="preserve"> </w:t>
      </w:r>
      <w:r w:rsidRPr="00B030B3">
        <w:t>even if subject to market power mitigation,</w:t>
      </w:r>
      <w:r>
        <w:t xml:space="preserve"> . . . .</w:t>
      </w:r>
      <w:r w:rsidRPr="00B030B3">
        <w:t xml:space="preserve"> </w:t>
      </w:r>
      <w:r>
        <w:t xml:space="preserve"> </w:t>
      </w:r>
      <w:r w:rsidRPr="00B030B3">
        <w:t xml:space="preserve">As to </w:t>
      </w:r>
      <w:r w:rsidRPr="00CD2C9F">
        <w:t xml:space="preserve">capacity offers, among the </w:t>
      </w:r>
      <w:r w:rsidRPr="00B030B3">
        <w:t>“</w:t>
      </w:r>
      <w:r w:rsidRPr="00CD2C9F">
        <w:t xml:space="preserve">going </w:t>
      </w:r>
      <w:r w:rsidRPr="00B030B3">
        <w:t>forward”</w:t>
      </w:r>
      <w:r w:rsidRPr="00CD2C9F">
        <w:t xml:space="preserve"> costs that can be recovered are </w:t>
      </w:r>
      <w:r w:rsidRPr="00B030B3">
        <w:t>“</w:t>
      </w:r>
      <w:r w:rsidRPr="00CD2C9F">
        <w:t xml:space="preserve">mandatory capital expenditures necessary to comply with </w:t>
      </w:r>
      <w:r w:rsidR="00314797">
        <w:t xml:space="preserve">                 </w:t>
      </w:r>
      <w:r w:rsidRPr="00CD2C9F">
        <w:t xml:space="preserve">federal </w:t>
      </w:r>
      <w:r>
        <w:t>. . .</w:t>
      </w:r>
      <w:r w:rsidRPr="00CD2C9F">
        <w:t xml:space="preserve"> reliability requirements</w:t>
      </w:r>
      <w:r w:rsidRPr="00B030B3">
        <w:t>,”</w:t>
      </w:r>
      <w:r w:rsidRPr="00CD2C9F">
        <w:t xml:space="preserve"> which would appear to include any (hypothetical) capital investments and expenditures associated with Reactive Service</w:t>
      </w:r>
      <w:r w:rsidRPr="00B030B3">
        <w:t xml:space="preserve"> capability. </w:t>
      </w:r>
      <w:r>
        <w:t xml:space="preserve"> </w:t>
      </w:r>
      <w:r w:rsidRPr="00CD2C9F">
        <w:t xml:space="preserve">As to energy offers, Vistra does not explain the basis for its assertion that the Tariff bars including any incremental costs associated with Reactive Service </w:t>
      </w:r>
      <w:r w:rsidRPr="00B030B3">
        <w:t xml:space="preserve">capability </w:t>
      </w:r>
      <w:r w:rsidRPr="00CD2C9F">
        <w:t>(e.g., fuel costs, short-term variable operations and maintenance) in such offers</w:t>
      </w:r>
      <w:r w:rsidRPr="00B030B3">
        <w:t>.</w:t>
      </w:r>
      <w:r w:rsidR="00AA47ED">
        <w:t xml:space="preserve"> </w:t>
      </w:r>
      <w:r w:rsidRPr="004308F4">
        <w:t xml:space="preserve"> </w:t>
      </w:r>
      <w:r w:rsidRPr="00B030B3">
        <w:t>Moreover, while Vistra claims that “a generation resource that attempts to recover its fixed costs of reactive power through its energy or capacity offers runs the risk that it will trigger application of MISO</w:t>
      </w:r>
      <w:r>
        <w:t>’</w:t>
      </w:r>
      <w:r w:rsidRPr="00B030B3">
        <w:t>s market power mitigation rules,”</w:t>
      </w:r>
      <w:r>
        <w:t xml:space="preserve"> </w:t>
      </w:r>
      <w:r w:rsidRPr="00B030B3">
        <w:t xml:space="preserve">even assuming this </w:t>
      </w:r>
      <w:r w:rsidR="00AA5428">
        <w:t>were</w:t>
      </w:r>
      <w:r w:rsidRPr="00B030B3">
        <w:t xml:space="preserve"> correct, this would not preclude generators from recovering such costs in the capacity market, but rather would require that they verify the costs with the independent market monitor.</w:t>
      </w:r>
      <w:r>
        <w:t xml:space="preserve">  </w:t>
      </w:r>
      <w:r w:rsidRPr="00B030B3">
        <w:t>The cases Vistra cites also do not establish that where Schedule 2 compensation for Reactive Service is not available, seeking compensation through other mechanisms is impermissible.</w:t>
      </w:r>
      <w:r>
        <w:t>” (citations omitted)).</w:t>
      </w:r>
    </w:p>
  </w:footnote>
  <w:footnote w:id="411">
    <w:p w:rsidR="0094696B" w:rsidP="0094696B" w14:paraId="2AA3DCED" w14:textId="4ADC9C41">
      <w:pPr>
        <w:pStyle w:val="FootnoteText"/>
      </w:pPr>
      <w:r>
        <w:rPr>
          <w:rStyle w:val="FootnoteReference"/>
        </w:rPr>
        <w:footnoteRef/>
      </w:r>
      <w:r>
        <w:t xml:space="preserve"> PJM IMM Initial Comments at 1-6, 9, 12-13; PJM IMM Reply Comments </w:t>
      </w:r>
      <w:r w:rsidR="00314797">
        <w:t xml:space="preserve">      </w:t>
      </w:r>
      <w:r>
        <w:t>at 2-5.</w:t>
      </w:r>
    </w:p>
  </w:footnote>
  <w:footnote w:id="412">
    <w:p w:rsidR="00446DA6" w14:paraId="7B0E2309" w14:textId="419A48CF">
      <w:pPr>
        <w:pStyle w:val="FootnoteText"/>
      </w:pPr>
      <w:r>
        <w:rPr>
          <w:rStyle w:val="FootnoteReference"/>
        </w:rPr>
        <w:footnoteRef/>
      </w:r>
      <w:r>
        <w:t xml:space="preserve"> </w:t>
      </w:r>
      <w:r w:rsidR="00BD1CC6">
        <w:rPr>
          <w:i/>
          <w:iCs/>
        </w:rPr>
        <w:t>See, e.g.</w:t>
      </w:r>
      <w:r w:rsidR="00BD1CC6">
        <w:t>, PJM IMM Initial Comments at</w:t>
      </w:r>
      <w:r>
        <w:t xml:space="preserve"> </w:t>
      </w:r>
      <w:r w:rsidR="00751AE5">
        <w:t>6.</w:t>
      </w:r>
    </w:p>
  </w:footnote>
  <w:footnote w:id="413">
    <w:p w:rsidR="000534AE" w:rsidRPr="00542288" w:rsidP="000534AE" w14:paraId="57994E81" w14:textId="77777777">
      <w:pPr>
        <w:pStyle w:val="FootnoteText"/>
      </w:pPr>
      <w:r>
        <w:rPr>
          <w:rStyle w:val="FootnoteReference"/>
        </w:rPr>
        <w:footnoteRef/>
      </w:r>
      <w:r>
        <w:t xml:space="preserve"> </w:t>
      </w:r>
      <w:r>
        <w:rPr>
          <w:i/>
          <w:iCs/>
        </w:rPr>
        <w:t>See</w:t>
      </w:r>
      <w:r>
        <w:t xml:space="preserve"> PJM IMM Initial Comments at 6 (“</w:t>
      </w:r>
      <w:r w:rsidRPr="00542288">
        <w:t>Elimination of the reactive revenue requirement and the reactive revenue offset would</w:t>
      </w:r>
      <w:r>
        <w:t xml:space="preserve"> </w:t>
      </w:r>
      <w:r w:rsidRPr="00542288">
        <w:t>increase prices in the capacity market. The VRR curve, or demand curve, would shift to the</w:t>
      </w:r>
      <w:r>
        <w:t xml:space="preserve"> </w:t>
      </w:r>
      <w:r w:rsidRPr="00542288">
        <w:t>right, the maximum VRR price would increase and offer caps in the capacity market would</w:t>
      </w:r>
      <w:r>
        <w:t xml:space="preserve"> </w:t>
      </w:r>
      <w:r w:rsidRPr="00542288">
        <w:t>increase.</w:t>
      </w:r>
      <w:r>
        <w:t>”).</w:t>
      </w:r>
    </w:p>
  </w:footnote>
  <w:footnote w:id="414">
    <w:p w:rsidR="0003373B" w:rsidRPr="0003373B" w14:paraId="60E20926" w14:textId="7F5BAD64">
      <w:pPr>
        <w:pStyle w:val="FootnoteText"/>
      </w:pPr>
      <w:r>
        <w:rPr>
          <w:rStyle w:val="FootnoteReference"/>
        </w:rPr>
        <w:footnoteRef/>
      </w:r>
      <w:r>
        <w:t xml:space="preserve"> </w:t>
      </w:r>
      <w:r>
        <w:rPr>
          <w:i/>
          <w:iCs/>
        </w:rPr>
        <w:t>See infra</w:t>
      </w:r>
      <w:r>
        <w:t xml:space="preserve"> III.B.2.</w:t>
      </w:r>
    </w:p>
  </w:footnote>
  <w:footnote w:id="415">
    <w:p w:rsidR="00C201F5" w:rsidP="00C201F5" w14:paraId="6196B330" w14:textId="03935D31">
      <w:pPr>
        <w:pStyle w:val="FootnoteText"/>
      </w:pPr>
      <w:r>
        <w:rPr>
          <w:rStyle w:val="FootnoteReference"/>
        </w:rPr>
        <w:footnoteRef/>
      </w:r>
      <w:r>
        <w:t xml:space="preserve"> </w:t>
      </w:r>
      <w:r w:rsidRPr="003B41A7" w:rsidR="00E10A12">
        <w:rPr>
          <w:i/>
          <w:iCs/>
        </w:rPr>
        <w:t>See</w:t>
      </w:r>
      <w:r w:rsidR="00E10A12">
        <w:t xml:space="preserve"> </w:t>
      </w:r>
      <w:r w:rsidR="00314797">
        <w:t>III.B.2</w:t>
      </w:r>
      <w:r w:rsidR="00E10A12">
        <w:t xml:space="preserve">; </w:t>
      </w:r>
      <w:r w:rsidR="00F862DD">
        <w:rPr>
          <w:i/>
          <w:iCs/>
        </w:rPr>
        <w:t>s</w:t>
      </w:r>
      <w:r>
        <w:rPr>
          <w:i/>
          <w:iCs/>
        </w:rPr>
        <w:t>ee, e.g.</w:t>
      </w:r>
      <w:r w:rsidRPr="00C06B6B">
        <w:t>,</w:t>
      </w:r>
      <w:r>
        <w:rPr>
          <w:i/>
          <w:iCs/>
        </w:rPr>
        <w:t xml:space="preserve"> </w:t>
      </w:r>
      <w:r w:rsidRPr="002271AE" w:rsidR="00AE7B9C">
        <w:t xml:space="preserve">MISO Rehearing Order, 184 FERC ¶ 61,022 </w:t>
      </w:r>
      <w:r w:rsidR="00256F38">
        <w:t xml:space="preserve">at PP 40-42; </w:t>
      </w:r>
      <w:r w:rsidRPr="00CD2C9F">
        <w:rPr>
          <w:i/>
        </w:rPr>
        <w:t>BPA</w:t>
      </w:r>
      <w:r w:rsidRPr="00CD2C9F">
        <w:t>, 120 FERC ¶ 61,211 at P 21</w:t>
      </w:r>
      <w:r>
        <w:t xml:space="preserve"> (finding that the argument </w:t>
      </w:r>
      <w:r w:rsidRPr="00C35E9A">
        <w:t xml:space="preserve">that </w:t>
      </w:r>
      <w:r>
        <w:t>it</w:t>
      </w:r>
      <w:r w:rsidRPr="00C35E9A">
        <w:t xml:space="preserve"> is not feasible for IPPs</w:t>
      </w:r>
      <w:r>
        <w:t xml:space="preserve"> to recover their costs</w:t>
      </w:r>
      <w:r w:rsidRPr="00E83404">
        <w:t xml:space="preserve"> through higher power sales rates </w:t>
      </w:r>
      <w:r>
        <w:t>“lacks plausibility” “</w:t>
      </w:r>
      <w:r w:rsidRPr="00C35E9A">
        <w:t>since the incremental cost of reactive power service within the deadband is minimal,</w:t>
      </w:r>
      <w:r>
        <w:t>” and “[t]</w:t>
      </w:r>
      <w:r w:rsidRPr="00C35E9A">
        <w:t>he purpose for which generation assets are built (including reactive power capability to maintain voltage levels for generation entering the grid) is to make sales of real power</w:t>
      </w:r>
      <w:r>
        <w:t>”</w:t>
      </w:r>
      <w:r w:rsidRPr="00CD2C9F">
        <w:t>).</w:t>
      </w:r>
      <w:r w:rsidR="00820495">
        <w:t xml:space="preserve">  </w:t>
      </w:r>
      <w:r w:rsidR="00820495">
        <w:rPr>
          <w:i/>
          <w:iCs/>
        </w:rPr>
        <w:t>See also</w:t>
      </w:r>
      <w:r w:rsidR="00820495">
        <w:t xml:space="preserve"> Joint Customers Initial Comments at 15 (“Generators have other means of covering costs incurred to meet interconnection design requirements</w:t>
      </w:r>
      <w:r w:rsidR="00B338CA">
        <w:t>.</w:t>
      </w:r>
      <w:r w:rsidR="00820495">
        <w:t>”)</w:t>
      </w:r>
      <w:r w:rsidR="00CF6CD6">
        <w:t xml:space="preserve">; </w:t>
      </w:r>
      <w:r w:rsidRPr="005D418A" w:rsidR="00CF6CD6">
        <w:t xml:space="preserve">MISO Transmission Owners Initial Comments at 16 (“As the Commission explains, compensation for providing reactive power within the deadband is unnecessary, as resources are otherwise able to recover their costs. </w:t>
      </w:r>
      <w:r w:rsidR="00CF6CD6">
        <w:t xml:space="preserve"> </w:t>
      </w:r>
      <w:r w:rsidRPr="005D418A" w:rsidR="00CF6CD6">
        <w:t xml:space="preserve">The Commission is correct in finding that there are many other mechanisms through which generators may recover the costs of reactive power service, if they need to. </w:t>
      </w:r>
      <w:r w:rsidR="00CF6CD6">
        <w:t xml:space="preserve"> </w:t>
      </w:r>
      <w:r w:rsidRPr="005D418A" w:rsidR="00CF6CD6">
        <w:t xml:space="preserve">This is consistent with Commission precedent that has repeatedly highlighted how generators have the opportunity to recover any legitimate costs through other means. </w:t>
      </w:r>
      <w:r w:rsidR="00CF6CD6">
        <w:t xml:space="preserve"> </w:t>
      </w:r>
      <w:r w:rsidRPr="005D418A" w:rsidR="00CF6CD6">
        <w:t xml:space="preserve">The Commission has found generators may recover such costs through power purchase agreements or capacity and energy market offers. </w:t>
      </w:r>
      <w:r w:rsidR="00CF6CD6">
        <w:t xml:space="preserve"> </w:t>
      </w:r>
      <w:r w:rsidRPr="005D418A" w:rsidR="00CF6CD6">
        <w:t>As the Commission found when accepting the elimination of reactive power compensation in MISO, generators can still include the costs of reactive service in energy offers or capacity offers, even if subject to market power mitigation.” (citations omitted))</w:t>
      </w:r>
      <w:r w:rsidR="00CF6CD6">
        <w:t>.</w:t>
      </w:r>
    </w:p>
  </w:footnote>
  <w:footnote w:id="416">
    <w:p w:rsidR="00401CF1" w14:paraId="43B03F45" w14:textId="5AE4B7D5">
      <w:pPr>
        <w:pStyle w:val="FootnoteText"/>
      </w:pPr>
      <w:r>
        <w:rPr>
          <w:rStyle w:val="FootnoteReference"/>
        </w:rPr>
        <w:footnoteRef/>
      </w:r>
      <w:r>
        <w:t xml:space="preserve"> </w:t>
      </w:r>
      <w:r w:rsidR="005F3533">
        <w:rPr>
          <w:i/>
          <w:iCs/>
        </w:rPr>
        <w:t>See, e.g</w:t>
      </w:r>
      <w:r w:rsidRPr="00314797" w:rsidR="005F3533">
        <w:rPr>
          <w:i/>
          <w:iCs/>
        </w:rPr>
        <w:t>.</w:t>
      </w:r>
      <w:r w:rsidRPr="00314797" w:rsidR="005F3533">
        <w:t>,</w:t>
      </w:r>
      <w:r w:rsidR="005F3533">
        <w:t xml:space="preserve"> PJM IMM Initial Comments at 4 (“</w:t>
      </w:r>
      <w:r w:rsidR="00F05620">
        <w:rPr>
          <w:bCs/>
        </w:rPr>
        <w:t>[T]</w:t>
      </w:r>
      <w:r w:rsidRPr="00C44AF7" w:rsidR="00F05620">
        <w:rPr>
          <w:bCs/>
        </w:rPr>
        <w:t xml:space="preserve">here </w:t>
      </w:r>
      <w:r w:rsidRPr="00C44AF7" w:rsidR="005F3533">
        <w:rPr>
          <w:bCs/>
        </w:rPr>
        <w:t xml:space="preserve">is no reason that part of those </w:t>
      </w:r>
      <w:r w:rsidRPr="00C44AF7" w:rsidR="005F3533">
        <w:t>capital costs should be paid directly in a nonmarket, guaranteed, riskless revenue stream rather than in the market.”</w:t>
      </w:r>
      <w:r w:rsidR="005F3533">
        <w:t>); Joint Customers Initial Comments at 15 (“Generators have other means of covering costs incurred to meet interconnection design requirements</w:t>
      </w:r>
      <w:r w:rsidR="00B338CA">
        <w:t>.</w:t>
      </w:r>
      <w:r w:rsidR="005F3533">
        <w:t xml:space="preserve">”).   </w:t>
      </w:r>
    </w:p>
  </w:footnote>
  <w:footnote w:id="417">
    <w:p w:rsidR="00170883" w:rsidP="00170883" w14:paraId="5FD24B82" w14:textId="1C725709">
      <w:pPr>
        <w:pStyle w:val="FootnoteText"/>
      </w:pPr>
      <w:r>
        <w:rPr>
          <w:rStyle w:val="FootnoteReference"/>
        </w:rPr>
        <w:footnoteRef/>
      </w:r>
      <w:r>
        <w:t xml:space="preserve"> </w:t>
      </w:r>
      <w:r w:rsidR="007E020E">
        <w:t>AEP Initial Comments at 4-6;</w:t>
      </w:r>
      <w:r>
        <w:t xml:space="preserve"> Joint Consumer Advocates Initial Comments </w:t>
      </w:r>
      <w:r w:rsidR="00314797">
        <w:t xml:space="preserve">     </w:t>
      </w:r>
      <w:r>
        <w:t>at 7-8; Joint Customer</w:t>
      </w:r>
      <w:r w:rsidR="00955FFD">
        <w:t>s</w:t>
      </w:r>
      <w:r>
        <w:t xml:space="preserve"> Initial Comments at 1</w:t>
      </w:r>
      <w:r w:rsidR="007E020E">
        <w:t>5-18</w:t>
      </w:r>
      <w:r>
        <w:t xml:space="preserve">; </w:t>
      </w:r>
      <w:r w:rsidRPr="00E17441">
        <w:t>Ohio FEA</w:t>
      </w:r>
      <w:r>
        <w:t xml:space="preserve"> Initial Comments at 5</w:t>
      </w:r>
      <w:r w:rsidRPr="00E17441">
        <w:t xml:space="preserve"> </w:t>
      </w:r>
      <w:r>
        <w:t>(“</w:t>
      </w:r>
      <w:r w:rsidRPr="00114F93">
        <w:t>Through</w:t>
      </w:r>
      <w:r w:rsidRPr="00E17441">
        <w:t xml:space="preserve"> the PJM markets</w:t>
      </w:r>
      <w:r w:rsidRPr="00114F93">
        <w:t>, generators have an opportunity to recover all costs, including reactive power costs</w:t>
      </w:r>
      <w:r>
        <w:t>.”)</w:t>
      </w:r>
      <w:r w:rsidRPr="004E7B8E">
        <w:t>.</w:t>
      </w:r>
      <w:r>
        <w:t xml:space="preserve"> </w:t>
      </w:r>
      <w:r w:rsidR="0046241E">
        <w:t xml:space="preserve"> </w:t>
      </w:r>
      <w:r w:rsidRPr="00AA63B7">
        <w:rPr>
          <w:i/>
          <w:iCs/>
        </w:rPr>
        <w:t>See</w:t>
      </w:r>
      <w:r>
        <w:t xml:space="preserve"> </w:t>
      </w:r>
      <w:r w:rsidR="007E020E">
        <w:t>also</w:t>
      </w:r>
      <w:r w:rsidRPr="00A27C54">
        <w:t xml:space="preserve"> </w:t>
      </w:r>
      <w:r>
        <w:t>MISO Transmission Owners Initial Comments at 1</w:t>
      </w:r>
      <w:r w:rsidR="007E020E">
        <w:t>5</w:t>
      </w:r>
      <w:r>
        <w:t>-17</w:t>
      </w:r>
      <w:r w:rsidR="007E020E">
        <w:t xml:space="preserve"> (“</w:t>
      </w:r>
      <w:r w:rsidRPr="007E020E" w:rsidR="007E020E">
        <w:t>The Commission is correct in finding that there are many other mechanisms through which generators may recover the costs of reactive power service, if they need to.</w:t>
      </w:r>
      <w:r w:rsidR="007E020E">
        <w:t>”)</w:t>
      </w:r>
      <w:r>
        <w:t>.</w:t>
      </w:r>
    </w:p>
  </w:footnote>
  <w:footnote w:id="418">
    <w:p w:rsidR="00C3561F" w:rsidRPr="00CD2C9F" w:rsidP="00C3561F" w14:paraId="08A70CCB" w14:textId="453DEF12">
      <w:pPr>
        <w:pStyle w:val="FootnoteText"/>
      </w:pPr>
      <w:r w:rsidRPr="00CD2C9F">
        <w:rPr>
          <w:rStyle w:val="FootnoteReference"/>
        </w:rPr>
        <w:footnoteRef/>
      </w:r>
      <w:r w:rsidR="009D7468">
        <w:t xml:space="preserve"> </w:t>
      </w:r>
      <w:r w:rsidR="009D1234">
        <w:t xml:space="preserve">NOPR, </w:t>
      </w:r>
      <w:r w:rsidRPr="00B940BA" w:rsidR="009D1234">
        <w:t>186 FERC ¶ 61,203</w:t>
      </w:r>
      <w:r w:rsidR="009D1234">
        <w:t xml:space="preserve"> at P 48 (citing</w:t>
      </w:r>
      <w:r w:rsidR="009003E4">
        <w:t xml:space="preserve"> </w:t>
      </w:r>
      <w:r w:rsidRPr="00D74A5C" w:rsidR="009003E4">
        <w:t>CAISO Initial Comments</w:t>
      </w:r>
      <w:r w:rsidR="007A419A">
        <w:t xml:space="preserve"> to NOI</w:t>
      </w:r>
      <w:r w:rsidRPr="00D74A5C" w:rsidR="009003E4">
        <w:t xml:space="preserve"> </w:t>
      </w:r>
      <w:r w:rsidR="00314797">
        <w:t xml:space="preserve">    </w:t>
      </w:r>
      <w:r w:rsidRPr="00D74A5C" w:rsidR="009003E4">
        <w:t xml:space="preserve">at </w:t>
      </w:r>
      <w:r w:rsidR="009D7468">
        <w:t>5-6</w:t>
      </w:r>
      <w:r w:rsidR="009D1234">
        <w:t>)</w:t>
      </w:r>
      <w:r w:rsidR="009003E4">
        <w:t>.</w:t>
      </w:r>
    </w:p>
  </w:footnote>
  <w:footnote w:id="419">
    <w:p w:rsidR="00C3561F" w:rsidRPr="00CD2C9F" w:rsidP="00FE1E7B" w14:paraId="1A954A58" w14:textId="0612E3B2">
      <w:pPr>
        <w:pStyle w:val="FootnoteText"/>
      </w:pPr>
      <w:r w:rsidRPr="00CD2C9F">
        <w:rPr>
          <w:rStyle w:val="FootnoteReference"/>
        </w:rPr>
        <w:footnoteRef/>
      </w:r>
      <w:r w:rsidRPr="00CD2C9F">
        <w:t xml:space="preserve"> </w:t>
      </w:r>
      <w:r w:rsidR="000205B1">
        <w:rPr>
          <w:i/>
          <w:iCs/>
        </w:rPr>
        <w:t>Id.</w:t>
      </w:r>
      <w:r w:rsidRPr="006056E4" w:rsidR="000205B1">
        <w:rPr>
          <w:i/>
        </w:rPr>
        <w:t xml:space="preserve"> </w:t>
      </w:r>
      <w:r w:rsidR="00404C15">
        <w:t xml:space="preserve">(citing </w:t>
      </w:r>
      <w:r w:rsidRPr="008C0BA3" w:rsidR="008C0BA3">
        <w:t>LRE/UCS Initial Comments</w:t>
      </w:r>
      <w:r w:rsidR="0046241E">
        <w:t xml:space="preserve"> to NOI</w:t>
      </w:r>
      <w:r w:rsidRPr="008C0BA3" w:rsidR="008C0BA3">
        <w:t xml:space="preserve"> at 16</w:t>
      </w:r>
      <w:r w:rsidR="008C0BA3">
        <w:t>).</w:t>
      </w:r>
    </w:p>
  </w:footnote>
  <w:footnote w:id="420">
    <w:p w:rsidR="005A49A6" w:rsidRPr="005A49A6" w14:paraId="4E2B867E" w14:textId="00DBD4ED">
      <w:pPr>
        <w:pStyle w:val="FootnoteText"/>
      </w:pPr>
      <w:r>
        <w:rPr>
          <w:rStyle w:val="FootnoteReference"/>
        </w:rPr>
        <w:footnoteRef/>
      </w:r>
      <w:r>
        <w:t xml:space="preserve"> </w:t>
      </w:r>
      <w:r>
        <w:rPr>
          <w:i/>
          <w:iCs/>
        </w:rPr>
        <w:t xml:space="preserve">See </w:t>
      </w:r>
      <w:r w:rsidR="00DE0D15">
        <w:t xml:space="preserve">PJM Initial Comments at </w:t>
      </w:r>
      <w:r w:rsidR="00A62DCE">
        <w:t>6-7</w:t>
      </w:r>
      <w:r w:rsidR="00DE0D15">
        <w:t xml:space="preserve">; </w:t>
      </w:r>
      <w:r w:rsidR="00A33074">
        <w:rPr>
          <w:i/>
          <w:iCs/>
        </w:rPr>
        <w:t>infra</w:t>
      </w:r>
      <w:r w:rsidR="00D0436D">
        <w:t xml:space="preserve"> </w:t>
      </w:r>
      <w:r w:rsidR="00314797">
        <w:t>III.B.2</w:t>
      </w:r>
      <w:r w:rsidR="00DE0D15">
        <w:t>.</w:t>
      </w:r>
    </w:p>
  </w:footnote>
  <w:footnote w:id="421">
    <w:p w:rsidR="00EB1222" w:rsidP="00EB1222" w14:paraId="592F1356" w14:textId="7B55F3FC">
      <w:pPr>
        <w:pStyle w:val="FootnoteText"/>
      </w:pPr>
      <w:r>
        <w:rPr>
          <w:rStyle w:val="FootnoteReference"/>
        </w:rPr>
        <w:footnoteRef/>
      </w:r>
      <w:r>
        <w:t xml:space="preserve"> NHA Initial Comments at </w:t>
      </w:r>
      <w:r w:rsidR="00A62DCE">
        <w:t>5-</w:t>
      </w:r>
      <w:r>
        <w:t>7.</w:t>
      </w:r>
    </w:p>
  </w:footnote>
  <w:footnote w:id="422">
    <w:p w:rsidR="00DE4B5E" w14:paraId="59E66B98" w14:textId="0C76A187">
      <w:pPr>
        <w:pStyle w:val="FootnoteText"/>
      </w:pPr>
      <w:r>
        <w:rPr>
          <w:rStyle w:val="FootnoteReference"/>
        </w:rPr>
        <w:footnoteRef/>
      </w:r>
      <w:r>
        <w:t xml:space="preserve"> </w:t>
      </w:r>
      <w:r w:rsidRPr="00504C1D">
        <w:rPr>
          <w:i/>
        </w:rPr>
        <w:t>See</w:t>
      </w:r>
      <w:r w:rsidR="00621A4C">
        <w:rPr>
          <w:i/>
          <w:iCs/>
        </w:rPr>
        <w:t xml:space="preserve"> supra</w:t>
      </w:r>
      <w:r>
        <w:t xml:space="preserve"> </w:t>
      </w:r>
      <w:r w:rsidR="00314797">
        <w:t>II.A.2</w:t>
      </w:r>
      <w:r w:rsidR="00692336">
        <w:t>; MISO Transmission Owners Reply Comments at 12-13 (“</w:t>
      </w:r>
      <w:r w:rsidRPr="00677AAA" w:rsidR="00677AAA">
        <w:t>That series of orders required, among other things, that interconnecting generators be able to provide reactive power within the deadband without compensation</w:t>
      </w:r>
      <w:r w:rsidR="006415F7">
        <w:t>.</w:t>
      </w:r>
      <w:r w:rsidR="00692336">
        <w:t>”)</w:t>
      </w:r>
      <w:r>
        <w:t>.</w:t>
      </w:r>
    </w:p>
  </w:footnote>
  <w:footnote w:id="423">
    <w:p w:rsidR="004F50A4" w:rsidRPr="002F3857" w:rsidP="003428D4" w14:paraId="458E4648" w14:textId="658CA4BE">
      <w:pPr>
        <w:pStyle w:val="FootnoteText"/>
        <w:widowControl/>
      </w:pPr>
      <w:r>
        <w:rPr>
          <w:rStyle w:val="FootnoteReference"/>
        </w:rPr>
        <w:footnoteRef/>
      </w:r>
      <w:r>
        <w:t xml:space="preserve"> </w:t>
      </w:r>
      <w:r>
        <w:rPr>
          <w:i/>
          <w:iCs/>
        </w:rPr>
        <w:t>See</w:t>
      </w:r>
      <w:r>
        <w:t xml:space="preserve"> MISO Transmission Owners Initial Comments at 15 (“</w:t>
      </w:r>
      <w:r w:rsidRPr="002F3857">
        <w:t>Moreover, transmission providers have mechanisms for maintaining system</w:t>
      </w:r>
      <w:r>
        <w:t xml:space="preserve"> </w:t>
      </w:r>
      <w:r w:rsidRPr="002F3857">
        <w:t xml:space="preserve">reliability in the face of premature retirements. </w:t>
      </w:r>
      <w:r w:rsidR="00C25824">
        <w:t xml:space="preserve"> </w:t>
      </w:r>
      <w:r w:rsidRPr="002F3857">
        <w:t>When generators advise MISO of a planned</w:t>
      </w:r>
      <w:r>
        <w:t xml:space="preserve"> </w:t>
      </w:r>
      <w:r w:rsidRPr="002F3857">
        <w:t>retirement via Attachment Y of the MISO Tariff, MISO completes a review to determine</w:t>
      </w:r>
      <w:r>
        <w:t xml:space="preserve"> </w:t>
      </w:r>
      <w:r w:rsidRPr="002F3857">
        <w:t xml:space="preserve">whether any Transmission System reliability concerns are caused by the retirement. </w:t>
      </w:r>
      <w:r w:rsidR="00C25824">
        <w:t xml:space="preserve"> </w:t>
      </w:r>
      <w:r w:rsidRPr="002F3857">
        <w:t>If</w:t>
      </w:r>
      <w:r>
        <w:t xml:space="preserve"> </w:t>
      </w:r>
      <w:r w:rsidRPr="002F3857">
        <w:t>voltage concerns arise in the Attachment Y study, options to address the voltage concerns</w:t>
      </w:r>
      <w:r>
        <w:t xml:space="preserve"> </w:t>
      </w:r>
      <w:r w:rsidRPr="002F3857">
        <w:t xml:space="preserve">are reviewed and ultimately a permanent solution is identified. </w:t>
      </w:r>
      <w:r w:rsidR="00C25824">
        <w:t xml:space="preserve"> </w:t>
      </w:r>
      <w:r w:rsidRPr="002F3857">
        <w:t>If the permanent solution</w:t>
      </w:r>
      <w:r>
        <w:t xml:space="preserve"> </w:t>
      </w:r>
      <w:r w:rsidRPr="002F3857">
        <w:t>cannot be implemented before the planned retirement date, then the MISO Tariff has a</w:t>
      </w:r>
      <w:r>
        <w:t xml:space="preserve"> </w:t>
      </w:r>
      <w:r w:rsidRPr="002F3857">
        <w:t xml:space="preserve">designation for </w:t>
      </w:r>
      <w:r w:rsidR="00E53236">
        <w:t>‘</w:t>
      </w:r>
      <w:r w:rsidRPr="002F3857">
        <w:t>system support resources,</w:t>
      </w:r>
      <w:r w:rsidR="00E53236">
        <w:t>’</w:t>
      </w:r>
      <w:r w:rsidRPr="002F3857">
        <w:t xml:space="preserve"> under which generators are eligible to receive</w:t>
      </w:r>
      <w:r>
        <w:t xml:space="preserve"> </w:t>
      </w:r>
      <w:r w:rsidRPr="002F3857">
        <w:t>cost-based compensation to support their continued operation until an alternative solution</w:t>
      </w:r>
      <w:r>
        <w:t xml:space="preserve"> </w:t>
      </w:r>
      <w:r w:rsidRPr="002F3857">
        <w:t>to the reliability problem posed by the resources’ retirement is developed.</w:t>
      </w:r>
      <w:r>
        <w:t>” (citations omitted)).</w:t>
      </w:r>
    </w:p>
  </w:footnote>
  <w:footnote w:id="424">
    <w:p w:rsidR="00DA4FBC" w:rsidRPr="00EE1571" w:rsidP="00DA4FBC" w14:paraId="3992858C" w14:textId="77777777">
      <w:pPr>
        <w:pStyle w:val="FootnoteText"/>
        <w:rPr>
          <w:szCs w:val="26"/>
        </w:rPr>
      </w:pPr>
      <w:r>
        <w:rPr>
          <w:rStyle w:val="FootnoteReference"/>
        </w:rPr>
        <w:footnoteRef/>
      </w:r>
      <w:r>
        <w:t xml:space="preserve"> </w:t>
      </w:r>
      <w:r w:rsidRPr="00CC65AB">
        <w:t>EDPR Initial Comments at 4-5</w:t>
      </w:r>
      <w:r>
        <w:t xml:space="preserve">; </w:t>
      </w:r>
      <w:r w:rsidRPr="00AE3B35">
        <w:rPr>
          <w:szCs w:val="26"/>
        </w:rPr>
        <w:t xml:space="preserve">Generation Developers </w:t>
      </w:r>
      <w:r>
        <w:rPr>
          <w:szCs w:val="26"/>
        </w:rPr>
        <w:t xml:space="preserve">Initial Comments at </w:t>
      </w:r>
      <w:r w:rsidRPr="009F4059">
        <w:rPr>
          <w:szCs w:val="26"/>
        </w:rPr>
        <w:t>19</w:t>
      </w:r>
      <w:r>
        <w:rPr>
          <w:szCs w:val="26"/>
        </w:rPr>
        <w:t xml:space="preserve">; </w:t>
      </w:r>
      <w:r w:rsidRPr="007C2B93">
        <w:rPr>
          <w:szCs w:val="26"/>
        </w:rPr>
        <w:t>Indicated Trade Associations Initial Comments at</w:t>
      </w:r>
      <w:r>
        <w:rPr>
          <w:szCs w:val="26"/>
        </w:rPr>
        <w:t xml:space="preserve"> </w:t>
      </w:r>
      <w:r w:rsidRPr="004C1D1E">
        <w:rPr>
          <w:szCs w:val="26"/>
        </w:rPr>
        <w:t>18</w:t>
      </w:r>
      <w:r>
        <w:rPr>
          <w:szCs w:val="26"/>
        </w:rPr>
        <w:t xml:space="preserve">; </w:t>
      </w:r>
      <w:r>
        <w:t>Reactive Service Providers Initial Comments at 59-62.</w:t>
      </w:r>
    </w:p>
  </w:footnote>
  <w:footnote w:id="425">
    <w:p w:rsidR="00336587" w:rsidRPr="00336587" w:rsidP="00336587" w14:paraId="2EF3969D" w14:textId="261E672B">
      <w:pPr>
        <w:pStyle w:val="FootnoteText"/>
      </w:pPr>
      <w:r>
        <w:rPr>
          <w:rStyle w:val="FootnoteReference"/>
        </w:rPr>
        <w:footnoteRef/>
      </w:r>
      <w:r>
        <w:t xml:space="preserve"> </w:t>
      </w:r>
      <w:r>
        <w:rPr>
          <w:i/>
          <w:iCs/>
        </w:rPr>
        <w:t>See, e.g.</w:t>
      </w:r>
      <w:r w:rsidRPr="00D374EE">
        <w:t>,</w:t>
      </w:r>
      <w:r>
        <w:t xml:space="preserve"> PJM IMM Reply Comments at 5 (“</w:t>
      </w:r>
      <w:r w:rsidRPr="00336587">
        <w:t>When buyers and sellers</w:t>
      </w:r>
      <w:r>
        <w:t xml:space="preserve"> </w:t>
      </w:r>
      <w:r w:rsidRPr="00336587">
        <w:t>enter into power purchase agreements, the contracting parties define and assign regulatory</w:t>
      </w:r>
      <w:r>
        <w:t xml:space="preserve"> </w:t>
      </w:r>
      <w:r w:rsidRPr="00336587">
        <w:t>risk. Customers are not responsible to manage or pay for suppliers’ risks</w:t>
      </w:r>
      <w:r>
        <w:t>.”).</w:t>
      </w:r>
    </w:p>
  </w:footnote>
  <w:footnote w:id="426">
    <w:p w:rsidR="005E7BF3" w:rsidRPr="00384533" w:rsidP="005E7BF3" w14:paraId="1BAF022A" w14:textId="256BA3B7">
      <w:pPr>
        <w:pStyle w:val="FootnoteText"/>
      </w:pPr>
      <w:r>
        <w:rPr>
          <w:rStyle w:val="FootnoteReference"/>
        </w:rPr>
        <w:footnoteRef/>
      </w:r>
      <w:r>
        <w:t xml:space="preserve"> </w:t>
      </w:r>
      <w:r>
        <w:rPr>
          <w:i/>
          <w:iCs/>
        </w:rPr>
        <w:t>See</w:t>
      </w:r>
      <w:r w:rsidRPr="001A4AF6">
        <w:t xml:space="preserve"> </w:t>
      </w:r>
      <w:r>
        <w:t>MISO Rehearing Order, 184 FERC ¶ 61,022 at P 33 (“</w:t>
      </w:r>
      <w:r w:rsidRPr="00384533">
        <w:t>Sophisticated parties, like independent power producers, have the ability to manage risks of this sort in entering long-term arrangements rather than assuming that this compensation will be available in perpetuity.</w:t>
      </w:r>
      <w:r>
        <w:t>”).</w:t>
      </w:r>
    </w:p>
  </w:footnote>
  <w:footnote w:id="427">
    <w:p w:rsidR="005E7BF3" w:rsidP="005E7BF3" w14:paraId="23F2D19D" w14:textId="46979984">
      <w:pPr>
        <w:pStyle w:val="FootnoteText"/>
      </w:pPr>
      <w:r>
        <w:rPr>
          <w:rStyle w:val="FootnoteReference"/>
        </w:rPr>
        <w:footnoteRef/>
      </w:r>
      <w:r>
        <w:t xml:space="preserve"> </w:t>
      </w:r>
      <w:r>
        <w:rPr>
          <w:i/>
          <w:iCs/>
        </w:rPr>
        <w:t>See, e.g.</w:t>
      </w:r>
      <w:r>
        <w:t xml:space="preserve">, </w:t>
      </w:r>
      <w:r>
        <w:rPr>
          <w:i/>
          <w:iCs/>
        </w:rPr>
        <w:t>Nev Power Co.</w:t>
      </w:r>
      <w:r>
        <w:t xml:space="preserve">, 179 FERC ¶ 61,103; </w:t>
      </w:r>
      <w:r>
        <w:rPr>
          <w:i/>
          <w:iCs/>
        </w:rPr>
        <w:t>PNM</w:t>
      </w:r>
      <w:r>
        <w:t xml:space="preserve">, 178 FERC ¶ 61,088 </w:t>
      </w:r>
      <w:r w:rsidR="00314797">
        <w:t xml:space="preserve">       </w:t>
      </w:r>
      <w:r>
        <w:t>at PP</w:t>
      </w:r>
      <w:r w:rsidR="00D374EE">
        <w:t> </w:t>
      </w:r>
      <w:r>
        <w:t xml:space="preserve">26-36; </w:t>
      </w:r>
      <w:r w:rsidR="002E0785">
        <w:rPr>
          <w:i/>
          <w:iCs/>
        </w:rPr>
        <w:t>SPP</w:t>
      </w:r>
      <w:r>
        <w:t>, 119 FERC ¶ 61,199 at PP</w:t>
      </w:r>
      <w:r w:rsidR="00D374EE">
        <w:t> </w:t>
      </w:r>
      <w:r>
        <w:t>20, 30-33.</w:t>
      </w:r>
    </w:p>
  </w:footnote>
  <w:footnote w:id="428">
    <w:p w:rsidR="005E7BF3" w:rsidP="005E7BF3" w14:paraId="35602B09" w14:textId="135CD3F7">
      <w:pPr>
        <w:pStyle w:val="FootnoteText"/>
      </w:pPr>
      <w:r>
        <w:rPr>
          <w:rStyle w:val="FootnoteReference"/>
        </w:rPr>
        <w:footnoteRef/>
      </w:r>
      <w:r>
        <w:t xml:space="preserve"> </w:t>
      </w:r>
      <w:r>
        <w:rPr>
          <w:i/>
          <w:iCs/>
        </w:rPr>
        <w:t>See</w:t>
      </w:r>
      <w:r w:rsidRPr="001A4AF6">
        <w:t xml:space="preserve"> </w:t>
      </w:r>
      <w:r>
        <w:t>MISO Rehearing Order, 184 FERC ¶ 61,022 at P 33 (“[W]</w:t>
      </w:r>
      <w:r w:rsidRPr="00521613">
        <w:t>e find that generators</w:t>
      </w:r>
      <w:r>
        <w:t>’</w:t>
      </w:r>
      <w:r w:rsidRPr="00521613">
        <w:t xml:space="preserve"> assumption that such compensation will continue to be available does not give rise to reliance interests that justify requiring that such compensation continue to be provided.</w:t>
      </w:r>
      <w:r>
        <w:t>”).</w:t>
      </w:r>
    </w:p>
  </w:footnote>
  <w:footnote w:id="429">
    <w:p w:rsidR="005E7BF3" w:rsidP="005E7BF3" w14:paraId="455FB82F" w14:textId="3148B28D">
      <w:pPr>
        <w:pStyle w:val="FootnoteText"/>
      </w:pPr>
      <w:r>
        <w:rPr>
          <w:rStyle w:val="FootnoteReference"/>
        </w:rPr>
        <w:footnoteRef/>
      </w:r>
      <w:r>
        <w:t xml:space="preserve"> </w:t>
      </w:r>
      <w:r w:rsidRPr="00DE6C9A">
        <w:rPr>
          <w:i/>
          <w:iCs/>
        </w:rPr>
        <w:t>PNM</w:t>
      </w:r>
      <w:r w:rsidRPr="00DE6C9A">
        <w:t>, 178 FERC ¶</w:t>
      </w:r>
      <w:r>
        <w:t> </w:t>
      </w:r>
      <w:r w:rsidRPr="00DE6C9A">
        <w:t>61,088 at P</w:t>
      </w:r>
      <w:r>
        <w:t> 33</w:t>
      </w:r>
      <w:r w:rsidRPr="00DE6C9A">
        <w:t xml:space="preserve"> (“</w:t>
      </w:r>
      <w:r>
        <w:t>[B]</w:t>
      </w:r>
      <w:r w:rsidRPr="007131B9">
        <w:t>y designing its generating facility to have the capability to provide reactive support, Aragonne Wind is only meeting the conditions of interconnection required of all generators and is not entitled to compensation unless the transmission provider pays its own or affiliated generators for reactive power within the established range</w:t>
      </w:r>
      <w:r>
        <w:t>.</w:t>
      </w:r>
      <w:r w:rsidRPr="00DE6C9A">
        <w:t>”)</w:t>
      </w:r>
      <w:r>
        <w:t>.</w:t>
      </w:r>
    </w:p>
  </w:footnote>
  <w:footnote w:id="430">
    <w:p w:rsidR="00176B33" w:rsidRPr="009F4059" w:rsidP="00176B33" w14:paraId="67FAD4E3" w14:textId="77777777">
      <w:pPr>
        <w:pStyle w:val="FootnoteText"/>
        <w:rPr>
          <w:szCs w:val="26"/>
        </w:rPr>
      </w:pPr>
      <w:r w:rsidRPr="009F4059">
        <w:rPr>
          <w:rStyle w:val="FootnoteReference"/>
          <w:szCs w:val="26"/>
        </w:rPr>
        <w:footnoteRef/>
      </w:r>
      <w:r w:rsidRPr="009F4059">
        <w:rPr>
          <w:szCs w:val="26"/>
        </w:rPr>
        <w:t xml:space="preserve"> </w:t>
      </w:r>
      <w:r w:rsidRPr="00AE3B35">
        <w:rPr>
          <w:szCs w:val="26"/>
        </w:rPr>
        <w:t xml:space="preserve">Generation Developers </w:t>
      </w:r>
      <w:r>
        <w:rPr>
          <w:szCs w:val="26"/>
        </w:rPr>
        <w:t xml:space="preserve">Initial Comments at </w:t>
      </w:r>
      <w:r w:rsidRPr="009F4059">
        <w:rPr>
          <w:szCs w:val="26"/>
        </w:rPr>
        <w:t>18.</w:t>
      </w:r>
    </w:p>
  </w:footnote>
  <w:footnote w:id="431">
    <w:p w:rsidR="00176B33" w:rsidRPr="007C2B93" w:rsidP="00176B33" w14:paraId="65E65F35" w14:textId="77777777">
      <w:pPr>
        <w:pStyle w:val="FootnoteText"/>
        <w:rPr>
          <w:szCs w:val="26"/>
        </w:rPr>
      </w:pPr>
      <w:r w:rsidRPr="007C2B93">
        <w:rPr>
          <w:rStyle w:val="FootnoteReference"/>
          <w:szCs w:val="26"/>
        </w:rPr>
        <w:footnoteRef/>
      </w:r>
      <w:r w:rsidRPr="007C2B93">
        <w:rPr>
          <w:szCs w:val="26"/>
        </w:rPr>
        <w:t xml:space="preserve"> Indicated Trade Associations Initial Comments at 14.</w:t>
      </w:r>
    </w:p>
  </w:footnote>
  <w:footnote w:id="432">
    <w:p w:rsidR="002B23DE" w:rsidRPr="002B23DE" w14:paraId="780CDB12" w14:textId="2F74B026">
      <w:pPr>
        <w:pStyle w:val="FootnoteText"/>
      </w:pPr>
      <w:r>
        <w:rPr>
          <w:rStyle w:val="FootnoteReference"/>
        </w:rPr>
        <w:footnoteRef/>
      </w:r>
      <w:r>
        <w:t xml:space="preserve"> </w:t>
      </w:r>
      <w:r>
        <w:rPr>
          <w:i/>
          <w:iCs/>
        </w:rPr>
        <w:t>See</w:t>
      </w:r>
      <w:r>
        <w:t xml:space="preserve"> MISO Transmission Owners Initial Comments at 14 (“</w:t>
      </w:r>
      <w:r w:rsidRPr="002B23DE">
        <w:t xml:space="preserve">Moreover, all charges under Schedule 2 of the MISO Tariff for the provision of reactive power within the standard power factor range were eliminated in the MISO region effective </w:t>
      </w:r>
      <w:r w:rsidR="00314797">
        <w:t xml:space="preserve">    </w:t>
      </w:r>
      <w:r w:rsidRPr="002B23DE">
        <w:t xml:space="preserve">December 1, 2022. </w:t>
      </w:r>
      <w:r w:rsidR="00A7592B">
        <w:t xml:space="preserve"> </w:t>
      </w:r>
      <w:r w:rsidRPr="002B23DE">
        <w:t>MISO has since experienced no reliability issues as a result and generator interconnection applications, the first step of a process that ends with execution of an interconnection agreement that obligates the generator to provide reactive power within the deadband, remain high.</w:t>
      </w:r>
      <w:r>
        <w:t>” (citations omitted)).</w:t>
      </w:r>
    </w:p>
  </w:footnote>
  <w:footnote w:id="433">
    <w:p w:rsidR="00EC5444" w:rsidP="00EC5444" w14:paraId="464E9121" w14:textId="77777777">
      <w:pPr>
        <w:pStyle w:val="FootnoteText"/>
      </w:pPr>
      <w:r>
        <w:rPr>
          <w:rStyle w:val="FootnoteReference"/>
        </w:rPr>
        <w:footnoteRef/>
      </w:r>
      <w:r>
        <w:t xml:space="preserve"> Generation Developers Initial Comments at 6.</w:t>
      </w:r>
    </w:p>
  </w:footnote>
  <w:footnote w:id="434">
    <w:p w:rsidR="00EC5444" w:rsidP="00EC5444" w14:paraId="626AD352" w14:textId="64A97622">
      <w:pPr>
        <w:pStyle w:val="FootnoteText"/>
      </w:pPr>
      <w:r>
        <w:rPr>
          <w:rStyle w:val="FootnoteReference"/>
        </w:rPr>
        <w:footnoteRef/>
      </w:r>
      <w:r>
        <w:t xml:space="preserve"> </w:t>
      </w:r>
      <w:r w:rsidR="00A7592B">
        <w:rPr>
          <w:i/>
          <w:iCs/>
        </w:rPr>
        <w:t>Id.</w:t>
      </w:r>
    </w:p>
  </w:footnote>
  <w:footnote w:id="435">
    <w:p w:rsidR="00843EAB" w14:paraId="5BF7274D" w14:textId="730C15B3">
      <w:pPr>
        <w:pStyle w:val="FootnoteText"/>
      </w:pPr>
      <w:r>
        <w:rPr>
          <w:rStyle w:val="FootnoteReference"/>
        </w:rPr>
        <w:footnoteRef/>
      </w:r>
      <w:r>
        <w:t xml:space="preserve"> </w:t>
      </w:r>
      <w:r w:rsidRPr="007E281F">
        <w:rPr>
          <w:i/>
        </w:rPr>
        <w:t>See</w:t>
      </w:r>
      <w:r w:rsidRPr="00DA0059" w:rsidR="00352559">
        <w:rPr>
          <w:i/>
          <w:iCs/>
        </w:rPr>
        <w:t>, e.g.</w:t>
      </w:r>
      <w:r w:rsidRPr="00C06B6B" w:rsidR="00352559">
        <w:t>,</w:t>
      </w:r>
      <w:r w:rsidRPr="00DA0059" w:rsidR="00352559">
        <w:rPr>
          <w:i/>
          <w:iCs/>
        </w:rPr>
        <w:t xml:space="preserve"> </w:t>
      </w:r>
      <w:r w:rsidRPr="00C06B6B" w:rsidR="00AB672D">
        <w:rPr>
          <w:i/>
          <w:iCs/>
        </w:rPr>
        <w:t>N. Am. Elec. Reliability Corp.</w:t>
      </w:r>
      <w:r w:rsidRPr="00DA0059" w:rsidR="00AB672D">
        <w:t>, 183 FERC ¶ 61,222 (2023)</w:t>
      </w:r>
      <w:r w:rsidRPr="00DA0059" w:rsidR="00A44A5D">
        <w:rPr>
          <w:i/>
          <w:iCs/>
        </w:rPr>
        <w:t xml:space="preserve"> </w:t>
      </w:r>
      <w:r w:rsidRPr="00DA0059" w:rsidR="00A44A5D">
        <w:t>(</w:t>
      </w:r>
      <w:r w:rsidRPr="00DA0059" w:rsidR="00C92803">
        <w:t xml:space="preserve">explaining that </w:t>
      </w:r>
      <w:r w:rsidRPr="00DA0059" w:rsidR="006A6C12">
        <w:t>the FPA requires only that Commission-jurisdictional rates provide an opportunity for the recovery of prudently incurred costs necessary to comply with reliability standards</w:t>
      </w:r>
      <w:r w:rsidRPr="00DA0059" w:rsidR="00F704D7">
        <w:t>—</w:t>
      </w:r>
      <w:r w:rsidRPr="00DA0059" w:rsidR="00C92803">
        <w:t xml:space="preserve">not </w:t>
      </w:r>
      <w:r w:rsidRPr="00DA0059" w:rsidR="006A6C12">
        <w:t>that all entities have identical outcomes</w:t>
      </w:r>
      <w:r w:rsidRPr="00DA0059" w:rsidR="00C92803">
        <w:t>)</w:t>
      </w:r>
      <w:r w:rsidRPr="00DA0059" w:rsidR="00AB672D">
        <w:rPr>
          <w:i/>
          <w:iCs/>
        </w:rPr>
        <w:t xml:space="preserve"> </w:t>
      </w:r>
      <w:r w:rsidRPr="00C06B6B" w:rsidR="00AB672D">
        <w:t>(</w:t>
      </w:r>
      <w:r w:rsidRPr="00C06B6B" w:rsidR="004D5655">
        <w:t>citing</w:t>
      </w:r>
      <w:r w:rsidRPr="00DA0059" w:rsidR="004D5655">
        <w:rPr>
          <w:i/>
          <w:iCs/>
        </w:rPr>
        <w:t xml:space="preserve"> </w:t>
      </w:r>
      <w:r w:rsidRPr="00DA0059">
        <w:rPr>
          <w:i/>
        </w:rPr>
        <w:t>ISO New England Inc.</w:t>
      </w:r>
      <w:r w:rsidRPr="00DA0059">
        <w:t>, 132 FERC ¶ 61,044, at P 28 (2010) (“[R]esources are provided only an opportunity to recover their costs, not a guarantee that they will recover those costs.”)</w:t>
      </w:r>
      <w:r w:rsidRPr="00DA0059" w:rsidR="00352559">
        <w:t xml:space="preserve">; </w:t>
      </w:r>
      <w:r w:rsidRPr="00DA0059" w:rsidR="00352559">
        <w:rPr>
          <w:i/>
          <w:u w:val="single"/>
        </w:rPr>
        <w:t>Bridgeport Energy, LLC</w:t>
      </w:r>
      <w:r w:rsidRPr="00DA0059" w:rsidR="00352559">
        <w:t>, 113 FERC ¶ 61,311</w:t>
      </w:r>
      <w:r w:rsidR="006F4254">
        <w:t>, at P 29</w:t>
      </w:r>
      <w:r w:rsidRPr="00352559" w:rsidR="00352559">
        <w:t xml:space="preserve"> (2005)</w:t>
      </w:r>
      <w:r w:rsidR="00352559">
        <w:t xml:space="preserve"> (</w:t>
      </w:r>
      <w:r w:rsidR="007E24A8">
        <w:t>“</w:t>
      </w:r>
      <w:r w:rsidR="006F4254">
        <w:t>[T]</w:t>
      </w:r>
      <w:r w:rsidRPr="00352559" w:rsidR="00352559">
        <w:t xml:space="preserve">he Commission has no obligation in a competitive marketplace to guarantee Bridgeport its full traditional cost-of-service. </w:t>
      </w:r>
      <w:r w:rsidR="00ED23AF">
        <w:t xml:space="preserve"> </w:t>
      </w:r>
      <w:r w:rsidRPr="00352559" w:rsidR="00352559">
        <w:t xml:space="preserve">Rather, in a competitive market, the Commission is responsible only for assuring that Bridgeport is provided the </w:t>
      </w:r>
      <w:r w:rsidRPr="00352559" w:rsidR="00352559">
        <w:rPr>
          <w:i/>
          <w:iCs/>
        </w:rPr>
        <w:t>opportunity</w:t>
      </w:r>
      <w:r w:rsidRPr="00352559" w:rsidR="00352559">
        <w:t xml:space="preserve"> to recover its costs.</w:t>
      </w:r>
      <w:r w:rsidR="007C6B47">
        <w:t>”</w:t>
      </w:r>
      <w:r w:rsidR="007E24A8">
        <w:t>)</w:t>
      </w:r>
      <w:r w:rsidR="00ED23AF">
        <w:t xml:space="preserve"> (emphasis in original)</w:t>
      </w:r>
      <w:r w:rsidR="00CC03DA">
        <w:t>.</w:t>
      </w:r>
      <w:r w:rsidRPr="00352559" w:rsidR="00352559">
        <w:t xml:space="preserve"> </w:t>
      </w:r>
    </w:p>
  </w:footnote>
  <w:footnote w:id="436">
    <w:p w:rsidR="0069651C" w:rsidP="0069651C" w14:paraId="2641BBAE" w14:textId="77777777">
      <w:pPr>
        <w:pStyle w:val="FootnoteText"/>
      </w:pPr>
      <w:r>
        <w:rPr>
          <w:rStyle w:val="FootnoteReference"/>
        </w:rPr>
        <w:footnoteRef/>
      </w:r>
      <w:r>
        <w:t xml:space="preserve"> </w:t>
      </w:r>
      <w:r w:rsidRPr="00EA0C2A">
        <w:rPr>
          <w:szCs w:val="26"/>
        </w:rPr>
        <w:t>ISO-NE Initial Comment</w:t>
      </w:r>
      <w:r>
        <w:rPr>
          <w:szCs w:val="26"/>
        </w:rPr>
        <w:t>s</w:t>
      </w:r>
      <w:r w:rsidRPr="00EA0C2A">
        <w:rPr>
          <w:szCs w:val="26"/>
        </w:rPr>
        <w:t xml:space="preserve"> at 10</w:t>
      </w:r>
      <w:r>
        <w:rPr>
          <w:szCs w:val="26"/>
        </w:rPr>
        <w:t>.</w:t>
      </w:r>
    </w:p>
  </w:footnote>
  <w:footnote w:id="437">
    <w:p w:rsidR="00057B88" w:rsidP="00057B88" w14:paraId="3640A24C" w14:textId="4B325C18">
      <w:pPr>
        <w:pStyle w:val="FootnoteText"/>
      </w:pPr>
      <w:r>
        <w:rPr>
          <w:rStyle w:val="FootnoteReference"/>
        </w:rPr>
        <w:footnoteRef/>
      </w:r>
      <w:r>
        <w:t xml:space="preserve"> ACORE Initial Comments at 3; Generation Developers Initial Comments at </w:t>
      </w:r>
      <w:r w:rsidR="00D16988">
        <w:t xml:space="preserve">4, </w:t>
      </w:r>
      <w:r>
        <w:t>9</w:t>
      </w:r>
      <w:r w:rsidR="00D16988">
        <w:t>-12</w:t>
      </w:r>
      <w:r>
        <w:t xml:space="preserve">; Indicated Trade Associations Initial Comments at 27; NEI Initial Comments at 2, 16; </w:t>
      </w:r>
      <w:r w:rsidR="00A6442E">
        <w:t>PSEG</w:t>
      </w:r>
      <w:r>
        <w:t xml:space="preserve"> Initial Comments at 1-3, 17; Reactive Service Providers Initial Comments </w:t>
      </w:r>
      <w:r w:rsidR="00314797">
        <w:t xml:space="preserve">      </w:t>
      </w:r>
      <w:r>
        <w:t>at 6</w:t>
      </w:r>
      <w:r w:rsidR="00D16988">
        <w:t>2</w:t>
      </w:r>
      <w:r>
        <w:t>-64</w:t>
      </w:r>
      <w:r w:rsidR="00D16988">
        <w:t>; Indicated Reactive Power Suppliers Initial Comments at 9</w:t>
      </w:r>
      <w:r>
        <w:t>.</w:t>
      </w:r>
    </w:p>
  </w:footnote>
  <w:footnote w:id="438">
    <w:p w:rsidR="002D01BA" w14:paraId="1FD19445" w14:textId="28F47864">
      <w:pPr>
        <w:pStyle w:val="FootnoteText"/>
      </w:pPr>
      <w:r>
        <w:rPr>
          <w:rStyle w:val="FootnoteReference"/>
        </w:rPr>
        <w:footnoteRef/>
      </w:r>
      <w:r>
        <w:t xml:space="preserve"> </w:t>
      </w:r>
      <w:r w:rsidRPr="00FB6AB5">
        <w:rPr>
          <w:i/>
          <w:iCs/>
        </w:rPr>
        <w:t>See</w:t>
      </w:r>
      <w:r w:rsidR="00FB6AB5">
        <w:t xml:space="preserve"> </w:t>
      </w:r>
      <w:r w:rsidR="00314797">
        <w:t>II.B.2</w:t>
      </w:r>
      <w:r>
        <w:t>.</w:t>
      </w:r>
    </w:p>
  </w:footnote>
  <w:footnote w:id="439">
    <w:p w:rsidR="00F9248F" w:rsidRPr="004C1D1E" w:rsidP="00F9248F" w14:paraId="39F19EB5" w14:textId="77777777">
      <w:pPr>
        <w:pStyle w:val="FootnoteText"/>
        <w:rPr>
          <w:szCs w:val="26"/>
        </w:rPr>
      </w:pPr>
      <w:r w:rsidRPr="004C1D1E">
        <w:rPr>
          <w:rStyle w:val="FootnoteReference"/>
          <w:szCs w:val="26"/>
        </w:rPr>
        <w:footnoteRef/>
      </w:r>
      <w:r w:rsidRPr="004C1D1E">
        <w:rPr>
          <w:szCs w:val="26"/>
        </w:rPr>
        <w:t xml:space="preserve"> </w:t>
      </w:r>
      <w:r w:rsidRPr="007C2B93">
        <w:rPr>
          <w:szCs w:val="26"/>
        </w:rPr>
        <w:t xml:space="preserve">Indicated Trade Associations Initial Comments at </w:t>
      </w:r>
      <w:r w:rsidRPr="004C1D1E">
        <w:rPr>
          <w:szCs w:val="26"/>
        </w:rPr>
        <w:t>24-26</w:t>
      </w:r>
      <w:r>
        <w:rPr>
          <w:szCs w:val="26"/>
        </w:rPr>
        <w:t>; Indicated Trade Associations Reply Comments at 16; NEI Initial Comments at 17</w:t>
      </w:r>
      <w:r w:rsidRPr="004C1D1E">
        <w:rPr>
          <w:szCs w:val="26"/>
        </w:rPr>
        <w:t>.</w:t>
      </w:r>
    </w:p>
  </w:footnote>
  <w:footnote w:id="440">
    <w:p w:rsidR="00074C2C" w:rsidP="00074C2C" w14:paraId="118C4734" w14:textId="2324336A">
      <w:pPr>
        <w:pStyle w:val="FootnoteText"/>
      </w:pPr>
      <w:r>
        <w:rPr>
          <w:rStyle w:val="FootnoteReference"/>
        </w:rPr>
        <w:footnoteRef/>
      </w:r>
      <w:r>
        <w:t xml:space="preserve"> </w:t>
      </w:r>
      <w:r>
        <w:rPr>
          <w:i/>
          <w:iCs/>
        </w:rPr>
        <w:t xml:space="preserve">See </w:t>
      </w:r>
      <w:r w:rsidR="00D848E7">
        <w:t>SPP Rehearing Order</w:t>
      </w:r>
      <w:r>
        <w:t xml:space="preserve">, </w:t>
      </w:r>
      <w:r w:rsidRPr="009429E7">
        <w:t>121 FERC ¶ 61,196 at P 15</w:t>
      </w:r>
      <w:r>
        <w:t xml:space="preserve"> (“</w:t>
      </w:r>
      <w:r w:rsidRPr="005F4385">
        <w:t>As we have previously explained, reactive power i</w:t>
      </w:r>
      <w:r w:rsidRPr="008A6915">
        <w:rPr>
          <w:i/>
        </w:rPr>
        <w:t>s required for an interconnecting generator to deliver its power</w:t>
      </w:r>
      <w:r w:rsidRPr="005F4385">
        <w:t xml:space="preserve"> and reactive power produced within the </w:t>
      </w:r>
      <w:r>
        <w:t>[standard power factor range]</w:t>
      </w:r>
      <w:r w:rsidRPr="005F4385">
        <w:t xml:space="preserve"> and is, therefore, generally not compensable.</w:t>
      </w:r>
      <w:r>
        <w:t xml:space="preserve">” (emphasis added)); BPA Rehearing Order, </w:t>
      </w:r>
      <w:r w:rsidR="00484FF4">
        <w:t xml:space="preserve">        </w:t>
      </w:r>
      <w:r>
        <w:t>120 FERC ¶ 61,211 at P 21 (“</w:t>
      </w:r>
      <w:r w:rsidRPr="009A750F">
        <w:t>The purpose for which generation assets are built (including reactive power capability to maintain voltage levels for generation entering the grid) is to make sales of real power.</w:t>
      </w:r>
      <w:r>
        <w:t>”)</w:t>
      </w:r>
      <w:r w:rsidR="00824A9D">
        <w:t xml:space="preserve">; </w:t>
      </w:r>
      <w:r w:rsidR="00FE2931">
        <w:rPr>
          <w:i/>
          <w:iCs/>
        </w:rPr>
        <w:t>s</w:t>
      </w:r>
      <w:r w:rsidRPr="00504C1D" w:rsidR="00824A9D">
        <w:rPr>
          <w:i/>
          <w:iCs/>
        </w:rPr>
        <w:t>ee</w:t>
      </w:r>
      <w:r w:rsidR="00A476A7">
        <w:rPr>
          <w:i/>
          <w:iCs/>
        </w:rPr>
        <w:t xml:space="preserve"> supra</w:t>
      </w:r>
      <w:r w:rsidR="00824A9D">
        <w:t xml:space="preserve"> </w:t>
      </w:r>
      <w:r w:rsidR="00314797">
        <w:t>II.A.2</w:t>
      </w:r>
      <w:r>
        <w:t>.</w:t>
      </w:r>
    </w:p>
  </w:footnote>
  <w:footnote w:id="441">
    <w:p w:rsidR="003674D1" w14:paraId="3381088F" w14:textId="4B1F4CB1">
      <w:pPr>
        <w:pStyle w:val="FootnoteText"/>
      </w:pPr>
      <w:r>
        <w:rPr>
          <w:rStyle w:val="FootnoteReference"/>
        </w:rPr>
        <w:footnoteRef/>
      </w:r>
      <w:r>
        <w:t xml:space="preserve"> </w:t>
      </w:r>
      <w:r w:rsidR="00706884">
        <w:t>Indicated Trade Associations Initial Comments at 2</w:t>
      </w:r>
      <w:r w:rsidR="00202804">
        <w:t>4</w:t>
      </w:r>
      <w:r w:rsidR="00706884">
        <w:t xml:space="preserve">-27; Reactive Service Providers Initial Comments at 64; </w:t>
      </w:r>
      <w:r w:rsidR="00A6442E">
        <w:t>PSEG</w:t>
      </w:r>
      <w:r w:rsidR="00706884">
        <w:t xml:space="preserve"> Initial Comments at 17; ACORE Initial Comments at 3; NEI Initial Comments at 2, 16.</w:t>
      </w:r>
    </w:p>
  </w:footnote>
  <w:footnote w:id="442">
    <w:p w:rsidR="00D00677" w:rsidP="00484FF4" w14:paraId="1B6D3546" w14:textId="6613C705">
      <w:pPr>
        <w:pStyle w:val="FootnoteText"/>
        <w:widowControl/>
      </w:pPr>
      <w:r>
        <w:rPr>
          <w:rStyle w:val="FootnoteReference"/>
        </w:rPr>
        <w:footnoteRef/>
      </w:r>
      <w:r>
        <w:t xml:space="preserve"> </w:t>
      </w:r>
      <w:r w:rsidRPr="00A31179">
        <w:t xml:space="preserve">Order No. 888, FERC Stats. &amp; Regs. </w:t>
      </w:r>
      <w:r w:rsidRPr="008F0E32" w:rsidR="008F0E32">
        <w:t xml:space="preserve">¶ 31,036 </w:t>
      </w:r>
      <w:r w:rsidRPr="00A31179">
        <w:t>at 31,706 (“We accept NERC’s identification of two ways of supplying reactive power and controlling voltage.  One is to install facilities, usually capacitors, as part of the transmission system.  We will consider the cost of these facilities as part of the cost of basic transmission service.  Providing reactive power and voltage control in this way is not a separate ancillary service.  The second is to use generating facilities to supply reactive power and voltage control.  This use is the service named here, which must be unbundled from basic transmission service.”).</w:t>
      </w:r>
    </w:p>
  </w:footnote>
  <w:footnote w:id="443">
    <w:p w:rsidR="00DA5FDF" w14:paraId="07824F60" w14:textId="073CAB5E">
      <w:pPr>
        <w:pStyle w:val="FootnoteText"/>
      </w:pPr>
      <w:r>
        <w:rPr>
          <w:rStyle w:val="FootnoteReference"/>
        </w:rPr>
        <w:footnoteRef/>
      </w:r>
      <w:r>
        <w:t xml:space="preserve"> </w:t>
      </w:r>
      <w:r w:rsidRPr="00BA7006">
        <w:rPr>
          <w:i/>
          <w:iCs/>
        </w:rPr>
        <w:t>Id</w:t>
      </w:r>
      <w:r w:rsidRPr="00BA7006">
        <w:t>. (“NERC further distinguishes reactive supply services based on the source of the need for the service:  (1) reactive supply needed to support the voltage of the transmission system</w:t>
      </w:r>
      <w:r w:rsidR="00314797">
        <w:t>;</w:t>
      </w:r>
      <w:r w:rsidRPr="00BA7006">
        <w:t xml:space="preserve"> and (2) reactive supply needed to correct for the reactive portion of the customer's load at the delivery point.”)</w:t>
      </w:r>
      <w:r w:rsidR="0067162D">
        <w:t xml:space="preserve">; </w:t>
      </w:r>
      <w:r w:rsidR="005F7388">
        <w:rPr>
          <w:i/>
        </w:rPr>
        <w:t>s</w:t>
      </w:r>
      <w:r w:rsidRPr="00504C1D" w:rsidR="0067162D">
        <w:rPr>
          <w:i/>
        </w:rPr>
        <w:t xml:space="preserve">ee </w:t>
      </w:r>
      <w:r w:rsidRPr="00371A61" w:rsidR="00D23F9E">
        <w:rPr>
          <w:i/>
          <w:iCs/>
        </w:rPr>
        <w:t>also</w:t>
      </w:r>
      <w:r w:rsidR="00D23F9E">
        <w:t xml:space="preserve"> </w:t>
      </w:r>
      <w:r w:rsidRPr="00C06B6B" w:rsidR="00E17AFF">
        <w:rPr>
          <w:i/>
          <w:iCs/>
        </w:rPr>
        <w:t>supra</w:t>
      </w:r>
      <w:r w:rsidR="00E17AFF">
        <w:t xml:space="preserve"> n.</w:t>
      </w:r>
      <w:r w:rsidR="00314797">
        <w:t>439</w:t>
      </w:r>
      <w:r w:rsidR="00E17AFF">
        <w:t>.</w:t>
      </w:r>
    </w:p>
  </w:footnote>
  <w:footnote w:id="444">
    <w:p w:rsidR="005E6E6C" w14:paraId="15691FF0" w14:textId="38D11DD6">
      <w:pPr>
        <w:pStyle w:val="FootnoteText"/>
      </w:pPr>
      <w:r>
        <w:rPr>
          <w:rStyle w:val="FootnoteReference"/>
        </w:rPr>
        <w:footnoteRef/>
      </w:r>
      <w:r>
        <w:t xml:space="preserve"> NEI Initial Comments at 16 (citing</w:t>
      </w:r>
      <w:r w:rsidRPr="004C0CCD">
        <w:rPr>
          <w:color w:val="000000"/>
        </w:rPr>
        <w:t xml:space="preserve"> </w:t>
      </w:r>
      <w:r>
        <w:t xml:space="preserve">2005 </w:t>
      </w:r>
      <w:r w:rsidRPr="004C0CCD">
        <w:t xml:space="preserve">Staff Report at </w:t>
      </w:r>
      <w:r>
        <w:t xml:space="preserve">4); </w:t>
      </w:r>
      <w:r w:rsidR="00A6442E">
        <w:t>PSEG</w:t>
      </w:r>
      <w:r>
        <w:t xml:space="preserve"> Initial Comments at 17 (citing same).</w:t>
      </w:r>
    </w:p>
  </w:footnote>
  <w:footnote w:id="445">
    <w:p w:rsidR="003E4132" w14:paraId="510171BE" w14:textId="6336B48F">
      <w:pPr>
        <w:pStyle w:val="FootnoteText"/>
      </w:pPr>
      <w:r>
        <w:rPr>
          <w:rStyle w:val="FootnoteReference"/>
        </w:rPr>
        <w:footnoteRef/>
      </w:r>
      <w:r>
        <w:t xml:space="preserve"> </w:t>
      </w:r>
      <w:r w:rsidRPr="00C06B6B" w:rsidR="00864FC2">
        <w:rPr>
          <w:i/>
          <w:iCs/>
        </w:rPr>
        <w:t>SPP Order on Rehearing</w:t>
      </w:r>
      <w:r w:rsidRPr="008B3C4A" w:rsidR="00864FC2">
        <w:t>, 121 FERC ¶ 61,196</w:t>
      </w:r>
      <w:r w:rsidR="00864FC2">
        <w:t xml:space="preserve"> at P18 (</w:t>
      </w:r>
      <w:r w:rsidR="00AD7A12">
        <w:t>“</w:t>
      </w:r>
      <w:r w:rsidR="004B5E42">
        <w:t>[T]</w:t>
      </w:r>
      <w:r w:rsidRPr="00AD7A12" w:rsidR="00AD7A12">
        <w:t>ransmission owners</w:t>
      </w:r>
      <w:r w:rsidR="00AD7A12">
        <w:t xml:space="preserve">’ </w:t>
      </w:r>
      <w:r w:rsidRPr="00AD7A12" w:rsidR="00AD7A12">
        <w:t>generators are not entitled to charge retail customers retail rates that guarantee full</w:t>
      </w:r>
      <w:r w:rsidR="00AD7A12">
        <w:t xml:space="preserve"> </w:t>
      </w:r>
      <w:r w:rsidRPr="00AD7A12" w:rsidR="00AD7A12">
        <w:t>recovery of their costs; rather, they must first justify their rates to state authorities</w:t>
      </w:r>
      <w:r w:rsidR="00652966">
        <w:t>”)</w:t>
      </w:r>
      <w:r w:rsidR="0013181E">
        <w:t>.</w:t>
      </w:r>
    </w:p>
  </w:footnote>
  <w:footnote w:id="446">
    <w:p w:rsidR="0000565B" w14:paraId="2B852F74" w14:textId="22CE318A">
      <w:pPr>
        <w:pStyle w:val="FootnoteText"/>
      </w:pPr>
      <w:r>
        <w:rPr>
          <w:rStyle w:val="FootnoteReference"/>
        </w:rPr>
        <w:footnoteRef/>
      </w:r>
      <w:r>
        <w:t xml:space="preserve"> </w:t>
      </w:r>
      <w:r w:rsidRPr="00C06B6B">
        <w:rPr>
          <w:i/>
          <w:iCs/>
        </w:rPr>
        <w:t>BPA</w:t>
      </w:r>
      <w:r w:rsidR="00B60A7E">
        <w:t>,</w:t>
      </w:r>
      <w:r>
        <w:t xml:space="preserve"> </w:t>
      </w:r>
      <w:r w:rsidR="00201E35">
        <w:t>120 FERC</w:t>
      </w:r>
      <w:r w:rsidR="00B60A7E">
        <w:t xml:space="preserve"> </w:t>
      </w:r>
      <w:r w:rsidRPr="00C6410D" w:rsidR="00B60A7E">
        <w:t>¶</w:t>
      </w:r>
      <w:r w:rsidR="00B60A7E">
        <w:t xml:space="preserve"> 61,211</w:t>
      </w:r>
      <w:r w:rsidR="00201E35">
        <w:t xml:space="preserve"> </w:t>
      </w:r>
      <w:r>
        <w:t xml:space="preserve">at </w:t>
      </w:r>
      <w:r w:rsidR="001C7DD9">
        <w:t xml:space="preserve">P </w:t>
      </w:r>
      <w:r>
        <w:t xml:space="preserve">21 (citing </w:t>
      </w:r>
      <w:r w:rsidRPr="00C06B6B">
        <w:rPr>
          <w:i/>
          <w:iCs/>
        </w:rPr>
        <w:t>SPP</w:t>
      </w:r>
      <w:r w:rsidR="00D619B8">
        <w:t xml:space="preserve">, 119 FERC </w:t>
      </w:r>
      <w:r w:rsidRPr="00C6410D" w:rsidR="00B60A7E">
        <w:t>¶</w:t>
      </w:r>
      <w:r w:rsidR="00B60A7E">
        <w:t xml:space="preserve"> </w:t>
      </w:r>
      <w:r w:rsidR="00D619B8">
        <w:t>61</w:t>
      </w:r>
      <w:r w:rsidR="00B60A7E">
        <w:t>,</w:t>
      </w:r>
      <w:r w:rsidR="00D619B8">
        <w:t>199 at P 39</w:t>
      </w:r>
      <w:r>
        <w:t>)</w:t>
      </w:r>
      <w:r w:rsidR="0013181E">
        <w:t>.</w:t>
      </w:r>
    </w:p>
  </w:footnote>
  <w:footnote w:id="447">
    <w:p w:rsidR="00025118" w14:paraId="1992F1BA" w14:textId="2F224660">
      <w:pPr>
        <w:pStyle w:val="FootnoteText"/>
      </w:pPr>
      <w:r>
        <w:rPr>
          <w:rStyle w:val="FootnoteReference"/>
        </w:rPr>
        <w:footnoteRef/>
      </w:r>
      <w:r>
        <w:t xml:space="preserve"> </w:t>
      </w:r>
      <w:r w:rsidRPr="00C06B6B" w:rsidR="00D20D93">
        <w:rPr>
          <w:i/>
          <w:iCs/>
        </w:rPr>
        <w:t>Id</w:t>
      </w:r>
      <w:r w:rsidR="00D20D93">
        <w:t>.</w:t>
      </w:r>
    </w:p>
  </w:footnote>
  <w:footnote w:id="448">
    <w:p w:rsidR="006B301E" w:rsidRPr="00C06B6B" w:rsidP="00484FF4" w14:paraId="52C5619D" w14:textId="40716811">
      <w:pPr>
        <w:pStyle w:val="FootnoteText"/>
        <w:widowControl/>
        <w:rPr>
          <w:i/>
          <w:iCs/>
        </w:rPr>
      </w:pPr>
      <w:r>
        <w:rPr>
          <w:rStyle w:val="FootnoteReference"/>
        </w:rPr>
        <w:footnoteRef/>
      </w:r>
      <w:r>
        <w:t xml:space="preserve"> </w:t>
      </w:r>
      <w:r w:rsidRPr="00120126">
        <w:rPr>
          <w:i/>
        </w:rPr>
        <w:t>SPP</w:t>
      </w:r>
      <w:r w:rsidRPr="00C6410D">
        <w:t xml:space="preserve">, 119 FERC ¶ 61,199 </w:t>
      </w:r>
      <w:r>
        <w:t>at P 3</w:t>
      </w:r>
      <w:r w:rsidR="00C02148">
        <w:t>8</w:t>
      </w:r>
      <w:r>
        <w:t>.</w:t>
      </w:r>
      <w:r w:rsidR="006C44E4">
        <w:t xml:space="preserve">  </w:t>
      </w:r>
      <w:r w:rsidRPr="0013181E" w:rsidR="006C44E4">
        <w:rPr>
          <w:i/>
          <w:iCs/>
        </w:rPr>
        <w:t xml:space="preserve">See </w:t>
      </w:r>
      <w:r w:rsidRPr="00C06B6B" w:rsidR="00C95C0E">
        <w:rPr>
          <w:i/>
          <w:iCs/>
        </w:rPr>
        <w:t>N. Am. Elec. Reliability Corp.</w:t>
      </w:r>
      <w:r w:rsidRPr="00C06B6B" w:rsidR="00C95C0E">
        <w:t>, 183</w:t>
      </w:r>
      <w:r w:rsidRPr="0013181E" w:rsidR="00F704D7">
        <w:t> </w:t>
      </w:r>
      <w:r w:rsidRPr="00C06B6B" w:rsidR="00C95C0E">
        <w:t xml:space="preserve">FERC ¶ 61,222 </w:t>
      </w:r>
      <w:r w:rsidRPr="00C06B6B" w:rsidR="005656CA">
        <w:t xml:space="preserve">(rejecting claims that </w:t>
      </w:r>
      <w:r w:rsidRPr="00C06B6B" w:rsidR="007327B3">
        <w:t>reliability standard gives vertically integrated utilities a competitive advantage</w:t>
      </w:r>
      <w:r w:rsidRPr="0013181E" w:rsidR="00A958AA">
        <w:t>; explaining that</w:t>
      </w:r>
      <w:r w:rsidRPr="0013181E" w:rsidR="00BD77CD">
        <w:t>, while the approval of the new standard may have different implications for different entities depending on their existing compensation mechanisms,</w:t>
      </w:r>
      <w:r w:rsidRPr="0013181E" w:rsidR="00A958AA">
        <w:t xml:space="preserve"> t</w:t>
      </w:r>
      <w:r w:rsidRPr="00C06B6B" w:rsidR="00E15DE4">
        <w:t>he FPA requires only that Commission-jurisdictional rates provide an opportunity for the recovery of prudently incurred costs necessary to comply with reliability standards</w:t>
      </w:r>
      <w:r w:rsidRPr="00C06B6B" w:rsidR="00B37ADD">
        <w:t>—</w:t>
      </w:r>
      <w:r w:rsidRPr="00C06B6B" w:rsidR="00E15DE4">
        <w:t>not that all entities have identical outcomes).</w:t>
      </w:r>
    </w:p>
  </w:footnote>
  <w:footnote w:id="449">
    <w:p w:rsidR="002B217A" w:rsidRPr="0026761B" w:rsidP="00553368" w14:paraId="796C6277" w14:textId="37D1D99F">
      <w:pPr>
        <w:pStyle w:val="FootnoteText"/>
      </w:pPr>
      <w:r>
        <w:rPr>
          <w:rStyle w:val="FootnoteReference"/>
        </w:rPr>
        <w:footnoteRef/>
      </w:r>
      <w:r>
        <w:t xml:space="preserve"> </w:t>
      </w:r>
      <w:r w:rsidRPr="00C06B6B" w:rsidR="00DC69C6">
        <w:rPr>
          <w:i/>
          <w:iCs/>
        </w:rPr>
        <w:t>Supra</w:t>
      </w:r>
      <w:r w:rsidR="00273CF0">
        <w:t xml:space="preserve"> n.</w:t>
      </w:r>
      <w:r w:rsidR="00314797">
        <w:t>415</w:t>
      </w:r>
      <w:r w:rsidR="00273CF0">
        <w:t>.</w:t>
      </w:r>
    </w:p>
  </w:footnote>
  <w:footnote w:id="450">
    <w:p w:rsidR="0086716E" w:rsidRPr="00EF0CFB" w:rsidP="0086716E" w14:paraId="0B1909D6" w14:textId="3541786F">
      <w:pPr>
        <w:pStyle w:val="FootnoteText"/>
      </w:pPr>
      <w:r>
        <w:rPr>
          <w:rStyle w:val="FootnoteReference"/>
        </w:rPr>
        <w:footnoteRef/>
      </w:r>
      <w:r>
        <w:t xml:space="preserve"> </w:t>
      </w:r>
      <w:r>
        <w:rPr>
          <w:i/>
          <w:iCs/>
        </w:rPr>
        <w:t xml:space="preserve">See, </w:t>
      </w:r>
      <w:r w:rsidR="00EF0CFB">
        <w:t>II.B.2</w:t>
      </w:r>
      <w:r w:rsidR="00A505AD">
        <w:t>.</w:t>
      </w:r>
    </w:p>
  </w:footnote>
  <w:footnote w:id="451">
    <w:p w:rsidR="002E3421" w:rsidRPr="00EF0CFB" w:rsidP="002E3421" w14:paraId="0C13D134" w14:textId="707F4FB9">
      <w:pPr>
        <w:pStyle w:val="FootnoteText"/>
      </w:pPr>
      <w:r>
        <w:rPr>
          <w:rStyle w:val="FootnoteReference"/>
        </w:rPr>
        <w:footnoteRef/>
      </w:r>
      <w:r>
        <w:t xml:space="preserve"> </w:t>
      </w:r>
      <w:r>
        <w:rPr>
          <w:i/>
          <w:iCs/>
        </w:rPr>
        <w:t>See</w:t>
      </w:r>
      <w:r w:rsidR="0013181E">
        <w:rPr>
          <w:i/>
          <w:iCs/>
        </w:rPr>
        <w:t>,</w:t>
      </w:r>
      <w:r>
        <w:t xml:space="preserve"> II.A.2</w:t>
      </w:r>
      <w:r w:rsidR="00A505AD">
        <w:t>.</w:t>
      </w:r>
    </w:p>
  </w:footnote>
  <w:footnote w:id="452">
    <w:p w:rsidR="0086716E" w:rsidP="0086716E" w14:paraId="28B8DD79" w14:textId="1896F541">
      <w:pPr>
        <w:pStyle w:val="FootnoteText"/>
      </w:pPr>
      <w:r>
        <w:rPr>
          <w:rStyle w:val="FootnoteReference"/>
        </w:rPr>
        <w:footnoteRef/>
      </w:r>
      <w:r>
        <w:t xml:space="preserve"> New England Consumer Advocates Initial Comments at 5 (“</w:t>
      </w:r>
      <w:r w:rsidRPr="00747FF7">
        <w:t xml:space="preserve">To the extent </w:t>
      </w:r>
      <w:r>
        <w:t>. . .</w:t>
      </w:r>
      <w:r w:rsidRPr="00747FF7">
        <w:t xml:space="preserve"> benefits are achieved by compliance with a generating facility’s interconnection agreement and / or as </w:t>
      </w:r>
      <w:r>
        <w:t>‘</w:t>
      </w:r>
      <w:r w:rsidRPr="00747FF7">
        <w:t>good utility practice</w:t>
      </w:r>
      <w:r>
        <w:t>,’ [New England Consumer Advocates]</w:t>
      </w:r>
      <w:r w:rsidRPr="00747FF7">
        <w:t xml:space="preserve"> agree</w:t>
      </w:r>
      <w:r>
        <w:t>[]</w:t>
      </w:r>
      <w:r w:rsidRPr="00747FF7">
        <w:t xml:space="preserve"> with the Commission that ratepayers should not be paying separately for the costs to produce a joint reactive power product.</w:t>
      </w:r>
      <w:r>
        <w:t>”).</w:t>
      </w:r>
      <w:r w:rsidR="003A75D9">
        <w:t xml:space="preserve"> </w:t>
      </w:r>
    </w:p>
  </w:footnote>
  <w:footnote w:id="453">
    <w:p w:rsidR="0086716E" w:rsidRPr="007F5021" w:rsidP="00AF0643" w14:paraId="57152301" w14:textId="74C80844">
      <w:pPr>
        <w:pStyle w:val="FootnoteText"/>
      </w:pPr>
      <w:r>
        <w:rPr>
          <w:rStyle w:val="FootnoteReference"/>
        </w:rPr>
        <w:footnoteRef/>
      </w:r>
      <w:r>
        <w:t xml:space="preserve"> </w:t>
      </w:r>
      <w:r>
        <w:rPr>
          <w:i/>
          <w:iCs/>
        </w:rPr>
        <w:t>See, e.g.</w:t>
      </w:r>
      <w:r>
        <w:t xml:space="preserve">, </w:t>
      </w:r>
      <w:r w:rsidRPr="00C06B6B" w:rsidR="009A5222">
        <w:rPr>
          <w:i/>
          <w:iCs/>
        </w:rPr>
        <w:t>supra</w:t>
      </w:r>
      <w:r w:rsidR="009A5222">
        <w:t xml:space="preserve"> n.</w:t>
      </w:r>
      <w:r w:rsidR="00E768DE">
        <w:t>140</w:t>
      </w:r>
      <w:r w:rsidR="00314285">
        <w:t>.</w:t>
      </w:r>
    </w:p>
  </w:footnote>
  <w:footnote w:id="454">
    <w:p w:rsidR="00CC378F" w:rsidP="00CC378F" w14:paraId="644F2D38" w14:textId="731762A2">
      <w:pPr>
        <w:pStyle w:val="FootnoteText"/>
      </w:pPr>
      <w:r>
        <w:rPr>
          <w:rStyle w:val="FootnoteReference"/>
        </w:rPr>
        <w:footnoteRef/>
      </w:r>
      <w:r>
        <w:t xml:space="preserve"> Joint Customers Initial Comments at 5-6 (“</w:t>
      </w:r>
      <w:r w:rsidRPr="0039667A">
        <w:t>The Commission’s policy of looking strictly to capability for</w:t>
      </w:r>
      <w:r>
        <w:t xml:space="preserve"> </w:t>
      </w:r>
      <w:r w:rsidRPr="0039667A">
        <w:t>determining cost recovery for Reactive Service incentivized overbuilding of capability beyond</w:t>
      </w:r>
      <w:r>
        <w:t xml:space="preserve"> </w:t>
      </w:r>
      <w:r w:rsidRPr="0039667A">
        <w:t xml:space="preserve">what was required based on interconnection requirements. </w:t>
      </w:r>
      <w:r w:rsidR="00E53D35">
        <w:t xml:space="preserve"> </w:t>
      </w:r>
      <w:r w:rsidRPr="0039667A">
        <w:t>This policy of not considering need or</w:t>
      </w:r>
      <w:r>
        <w:t xml:space="preserve"> </w:t>
      </w:r>
      <w:r w:rsidRPr="0039667A">
        <w:t>requiring a demonstration of need by the transmission owner has resulted in compensation for</w:t>
      </w:r>
      <w:r>
        <w:t xml:space="preserve"> </w:t>
      </w:r>
      <w:r w:rsidRPr="0039667A">
        <w:t>reactive capability without an actual demonstrated benefit to transmission system customers.</w:t>
      </w:r>
      <w:r>
        <w:t xml:space="preserve"> </w:t>
      </w:r>
      <w:r w:rsidR="00E53D35">
        <w:t xml:space="preserve"> </w:t>
      </w:r>
      <w:r w:rsidRPr="0039667A">
        <w:t>This disconnect between capability and any actual demonstrated benefit highlights serious</w:t>
      </w:r>
      <w:r>
        <w:t xml:space="preserve"> </w:t>
      </w:r>
      <w:r w:rsidRPr="0039667A">
        <w:t>concerns that charges to customers are not related to any benefits received.</w:t>
      </w:r>
      <w:r>
        <w:t>” (citations omitted)).</w:t>
      </w:r>
    </w:p>
  </w:footnote>
  <w:footnote w:id="455">
    <w:p w:rsidR="00FB5BDD" w:rsidRPr="00CD2C9F" w:rsidP="00FB5BDD" w14:paraId="3F01FBD0" w14:textId="1102111D">
      <w:pPr>
        <w:pStyle w:val="FootnoteText"/>
      </w:pPr>
      <w:r w:rsidRPr="00CD2C9F">
        <w:rPr>
          <w:rStyle w:val="FootnoteReference"/>
        </w:rPr>
        <w:footnoteRef/>
      </w:r>
      <w:r w:rsidRPr="00CD2C9F">
        <w:t xml:space="preserve"> </w:t>
      </w:r>
      <w:r w:rsidR="00213003">
        <w:t xml:space="preserve">NOPR, </w:t>
      </w:r>
      <w:r w:rsidRPr="004F19E7" w:rsidR="00213003">
        <w:t>186 FERC ¶</w:t>
      </w:r>
      <w:r w:rsidR="00D374EE">
        <w:t> </w:t>
      </w:r>
      <w:r w:rsidRPr="004F19E7" w:rsidR="00213003">
        <w:t>61,203</w:t>
      </w:r>
      <w:r w:rsidR="00213003">
        <w:t xml:space="preserve"> </w:t>
      </w:r>
      <w:r w:rsidR="00E71467">
        <w:t>at P</w:t>
      </w:r>
      <w:r w:rsidR="00D374EE">
        <w:t> </w:t>
      </w:r>
      <w:r w:rsidR="00E71467">
        <w:t xml:space="preserve">43 </w:t>
      </w:r>
      <w:r>
        <w:t>(</w:t>
      </w:r>
      <w:r w:rsidR="00C37CA6">
        <w:t>citing</w:t>
      </w:r>
      <w:r w:rsidRPr="006056E4" w:rsidR="00BC0850">
        <w:t xml:space="preserve"> </w:t>
      </w:r>
      <w:r w:rsidRPr="00CD2C9F">
        <w:rPr>
          <w:i/>
        </w:rPr>
        <w:t xml:space="preserve">Essential Reliability Servs. </w:t>
      </w:r>
      <w:r>
        <w:rPr>
          <w:i/>
        </w:rPr>
        <w:t>&amp;</w:t>
      </w:r>
      <w:r w:rsidRPr="00CD2C9F">
        <w:rPr>
          <w:i/>
        </w:rPr>
        <w:t xml:space="preserve"> the Evolving Bulk-Power</w:t>
      </w:r>
      <w:r w:rsidR="00E768DE">
        <w:rPr>
          <w:i/>
        </w:rPr>
        <w:t xml:space="preserve"> Sys.</w:t>
      </w:r>
      <w:r w:rsidRPr="00CD2C9F">
        <w:rPr>
          <w:i/>
        </w:rPr>
        <w:t xml:space="preserve"> Frequency Response</w:t>
      </w:r>
      <w:r w:rsidRPr="00CD2C9F">
        <w:t>, Order No. 842</w:t>
      </w:r>
      <w:r>
        <w:t xml:space="preserve">, </w:t>
      </w:r>
      <w:r w:rsidR="00E768DE">
        <w:t xml:space="preserve">83 FR 9639 (Mar. 6, 2018), </w:t>
      </w:r>
      <w:r w:rsidRPr="00CD2C9F">
        <w:t>162 FERC ¶ 61,128</w:t>
      </w:r>
      <w:r w:rsidR="007B727B">
        <w:t>,</w:t>
      </w:r>
      <w:r w:rsidRPr="00CD2C9F">
        <w:t xml:space="preserve"> at P 121,</w:t>
      </w:r>
      <w:r w:rsidRPr="00CD2C9F">
        <w:rPr>
          <w:rFonts w:eastAsia="Times New Roman"/>
          <w:i/>
          <w:iCs/>
          <w:szCs w:val="26"/>
        </w:rPr>
        <w:t xml:space="preserve"> </w:t>
      </w:r>
      <w:r w:rsidRPr="00CD2C9F">
        <w:rPr>
          <w:i/>
          <w:iCs/>
        </w:rPr>
        <w:t>order on reh’g and clarification</w:t>
      </w:r>
      <w:r w:rsidRPr="00CD2C9F">
        <w:t>, 164 FERC ¶</w:t>
      </w:r>
      <w:r w:rsidR="00D374EE">
        <w:t> </w:t>
      </w:r>
      <w:r w:rsidRPr="00CD2C9F">
        <w:t>61,135 (2018) (“While the Commission has approved specific compensation for discrete services that require substantial identifiable costs, such as for frequency regulation and operating reserves, the Commission has not required specific compensation for all reliability-related costs.  We agree with those commenters who observe that minimal reliability-related costs such as those incurred to provide primary frequency response, are reasonably considered to be part of the general cost of doing business, and are not specifically compensated.”)</w:t>
      </w:r>
      <w:r>
        <w:t>)</w:t>
      </w:r>
      <w:r w:rsidRPr="00CD2C9F">
        <w:t>.</w:t>
      </w:r>
    </w:p>
  </w:footnote>
  <w:footnote w:id="456">
    <w:p w:rsidR="002B20CD" w:rsidP="00E768DE" w14:paraId="616199AD" w14:textId="0AA17482">
      <w:pPr>
        <w:pStyle w:val="FootnoteText"/>
        <w:widowControl/>
      </w:pPr>
      <w:r>
        <w:rPr>
          <w:rStyle w:val="FootnoteReference"/>
        </w:rPr>
        <w:footnoteRef/>
      </w:r>
      <w:r>
        <w:t xml:space="preserve"> </w:t>
      </w:r>
      <w:r w:rsidR="003E0BA1">
        <w:rPr>
          <w:i/>
          <w:iCs/>
        </w:rPr>
        <w:t>Id.</w:t>
      </w:r>
      <w:r w:rsidR="00EE324B">
        <w:t xml:space="preserve"> </w:t>
      </w:r>
      <w:r w:rsidR="002C51DE">
        <w:t>P 15 (citing</w:t>
      </w:r>
      <w:r w:rsidRPr="00EE324B" w:rsidR="00EE324B">
        <w:rPr>
          <w:i/>
          <w:iCs/>
        </w:rPr>
        <w:t xml:space="preserve"> M</w:t>
      </w:r>
      <w:r w:rsidRPr="00EE324B" w:rsidR="00EE324B">
        <w:rPr>
          <w:i/>
          <w:iCs/>
        </w:rPr>
        <w:t>ISO</w:t>
      </w:r>
      <w:r w:rsidRPr="00EE324B" w:rsidR="00EE324B">
        <w:t>, 182 FERC ¶</w:t>
      </w:r>
      <w:r w:rsidRPr="00EE324B" w:rsidR="00EE324B">
        <w:t> </w:t>
      </w:r>
      <w:r w:rsidRPr="00EE324B" w:rsidR="00EE324B">
        <w:t>61,033 at PP</w:t>
      </w:r>
      <w:r w:rsidRPr="00EE324B" w:rsidR="00EE324B">
        <w:t> </w:t>
      </w:r>
      <w:r w:rsidRPr="00EE324B" w:rsidR="00EE324B">
        <w:t>52-53</w:t>
      </w:r>
      <w:r w:rsidRPr="00EE324B" w:rsidR="00EE324B">
        <w:t>;</w:t>
      </w:r>
      <w:r w:rsidRPr="00EE324B" w:rsidR="00EE324B">
        <w:t xml:space="preserve"> </w:t>
      </w:r>
      <w:r w:rsidRPr="00EE324B" w:rsidR="00EE324B">
        <w:t>MISO Rehearing Order</w:t>
      </w:r>
      <w:r w:rsidRPr="00EE324B" w:rsidR="00EE324B">
        <w:t>, 184</w:t>
      </w:r>
      <w:r w:rsidRPr="00EE324B" w:rsidR="00EE324B">
        <w:t> </w:t>
      </w:r>
      <w:r w:rsidRPr="00EE324B" w:rsidR="00EE324B">
        <w:t>FERC ¶</w:t>
      </w:r>
      <w:r w:rsidRPr="00EE324B" w:rsidR="00EE324B">
        <w:t> </w:t>
      </w:r>
      <w:r w:rsidRPr="00EE324B" w:rsidR="00EE324B">
        <w:t>61,022 at P</w:t>
      </w:r>
      <w:r w:rsidRPr="00EE324B" w:rsidR="00EE324B">
        <w:t> </w:t>
      </w:r>
      <w:r w:rsidRPr="00EE324B" w:rsidR="00EE324B">
        <w:t xml:space="preserve">26; </w:t>
      </w:r>
      <w:r w:rsidRPr="00EE324B" w:rsidR="00EE324B">
        <w:rPr>
          <w:i/>
          <w:iCs/>
        </w:rPr>
        <w:t>P</w:t>
      </w:r>
      <w:r w:rsidR="00B27128">
        <w:rPr>
          <w:i/>
          <w:iCs/>
        </w:rPr>
        <w:t>NM</w:t>
      </w:r>
      <w:r w:rsidRPr="00EE324B" w:rsidR="00EE324B">
        <w:t>, 178 FERC ¶</w:t>
      </w:r>
      <w:r w:rsidRPr="00EE324B" w:rsidR="00EE324B">
        <w:t> </w:t>
      </w:r>
      <w:r w:rsidRPr="00EE324B" w:rsidR="00EE324B">
        <w:t>61,088, at PP</w:t>
      </w:r>
      <w:r w:rsidRPr="00EE324B" w:rsidR="00EE324B">
        <w:t> </w:t>
      </w:r>
      <w:r w:rsidRPr="00EE324B" w:rsidR="00EE324B">
        <w:t xml:space="preserve">29-31; </w:t>
      </w:r>
      <w:r w:rsidRPr="00EE324B" w:rsidR="00EE324B">
        <w:rPr>
          <w:i/>
          <w:iCs/>
        </w:rPr>
        <w:t>Nev. Power Co.</w:t>
      </w:r>
      <w:r w:rsidRPr="00EE324B" w:rsidR="00EE324B">
        <w:t>, 179 FERC ¶</w:t>
      </w:r>
      <w:r w:rsidRPr="00EE324B" w:rsidR="00EE324B">
        <w:t> </w:t>
      </w:r>
      <w:r w:rsidRPr="00EE324B" w:rsidR="00EE324B">
        <w:t>61,103 at PP</w:t>
      </w:r>
      <w:r w:rsidRPr="00EE324B" w:rsidR="00EE324B">
        <w:t> </w:t>
      </w:r>
      <w:r w:rsidRPr="00EE324B" w:rsidR="00EE324B">
        <w:t>20-21;</w:t>
      </w:r>
      <w:r w:rsidRPr="00EE324B" w:rsidR="00EE324B">
        <w:rPr>
          <w:i/>
          <w:iCs/>
        </w:rPr>
        <w:t xml:space="preserve"> BPA</w:t>
      </w:r>
      <w:r w:rsidRPr="00EE324B" w:rsidR="00EE324B">
        <w:t>, 120</w:t>
      </w:r>
      <w:r w:rsidRPr="00EE324B" w:rsidR="00EE324B">
        <w:t> </w:t>
      </w:r>
      <w:r w:rsidRPr="00EE324B" w:rsidR="00EE324B">
        <w:t>FERC ¶</w:t>
      </w:r>
      <w:r w:rsidRPr="00EE324B" w:rsidR="00EE324B">
        <w:t> </w:t>
      </w:r>
      <w:r w:rsidRPr="00EE324B" w:rsidR="00EE324B">
        <w:t>61,211 at P</w:t>
      </w:r>
      <w:r w:rsidRPr="00EE324B" w:rsidR="00EE324B">
        <w:t> </w:t>
      </w:r>
      <w:r w:rsidRPr="00EE324B" w:rsidR="00EE324B">
        <w:t xml:space="preserve">20; </w:t>
      </w:r>
      <w:r w:rsidRPr="00EE324B" w:rsidR="00EE324B">
        <w:rPr>
          <w:i/>
          <w:iCs/>
        </w:rPr>
        <w:t>E.ON U.S. LLC</w:t>
      </w:r>
      <w:r w:rsidRPr="00EE324B" w:rsidR="00EE324B">
        <w:t>, 119 FERC ¶</w:t>
      </w:r>
      <w:r w:rsidRPr="00EE324B" w:rsidR="00EE324B">
        <w:t> </w:t>
      </w:r>
      <w:r w:rsidRPr="00EE324B" w:rsidR="00EE324B">
        <w:t>61,340 at P</w:t>
      </w:r>
      <w:r w:rsidRPr="00EE324B" w:rsidR="00EE324B">
        <w:t> </w:t>
      </w:r>
      <w:r w:rsidRPr="00EE324B" w:rsidR="00EE324B">
        <w:t xml:space="preserve">15; </w:t>
      </w:r>
      <w:r w:rsidRPr="00EE324B" w:rsidR="00EE324B">
        <w:rPr>
          <w:i/>
          <w:iCs/>
        </w:rPr>
        <w:t>Entergy Servs., Inc.</w:t>
      </w:r>
      <w:r w:rsidRPr="00EE324B" w:rsidR="00EE324B">
        <w:t>, 113 FERC ¶</w:t>
      </w:r>
      <w:r w:rsidRPr="00EE324B" w:rsidR="00EE324B">
        <w:t> </w:t>
      </w:r>
      <w:r w:rsidRPr="00EE324B" w:rsidR="00EE324B">
        <w:t>61,040 at P</w:t>
      </w:r>
      <w:r w:rsidRPr="00EE324B" w:rsidR="00EE324B">
        <w:t> </w:t>
      </w:r>
      <w:r w:rsidRPr="00EE324B" w:rsidR="00EE324B">
        <w:t>38</w:t>
      </w:r>
      <w:r w:rsidR="005A13E5">
        <w:t>)</w:t>
      </w:r>
      <w:r w:rsidR="00F50F58">
        <w:t xml:space="preserve">; </w:t>
      </w:r>
      <w:r w:rsidRPr="00C06B6B" w:rsidR="005A13E5">
        <w:rPr>
          <w:i/>
          <w:iCs/>
        </w:rPr>
        <w:t xml:space="preserve">see also </w:t>
      </w:r>
      <w:r w:rsidRPr="00C06B6B" w:rsidR="0039122D">
        <w:rPr>
          <w:i/>
          <w:iCs/>
        </w:rPr>
        <w:t>id.</w:t>
      </w:r>
      <w:r w:rsidR="0039122D">
        <w:t xml:space="preserve"> </w:t>
      </w:r>
      <w:r w:rsidR="00F50F58">
        <w:t>P 18 (</w:t>
      </w:r>
      <w:r w:rsidR="00C254A8">
        <w:t xml:space="preserve">noting that </w:t>
      </w:r>
      <w:r w:rsidR="00F50F58">
        <w:t>CAISO, SPP, and MISO</w:t>
      </w:r>
      <w:r w:rsidR="00D064BC">
        <w:t xml:space="preserve"> </w:t>
      </w:r>
      <w:r w:rsidRPr="00D064BC" w:rsidR="00D064BC">
        <w:t>do not pay separately for reactive power within the standard power factor range</w:t>
      </w:r>
      <w:r w:rsidR="00D064BC">
        <w:t>)</w:t>
      </w:r>
      <w:r w:rsidRPr="00EE324B" w:rsidR="00EE324B">
        <w:t>.</w:t>
      </w:r>
    </w:p>
  </w:footnote>
  <w:footnote w:id="457">
    <w:p w:rsidR="00E37C51" w:rsidRPr="00E37C51" w14:paraId="2F91759F" w14:textId="03BFD566">
      <w:pPr>
        <w:pStyle w:val="FootnoteText"/>
      </w:pPr>
      <w:r>
        <w:rPr>
          <w:rStyle w:val="FootnoteReference"/>
        </w:rPr>
        <w:footnoteRef/>
      </w:r>
      <w:r>
        <w:t xml:space="preserve"> </w:t>
      </w:r>
      <w:r>
        <w:rPr>
          <w:i/>
          <w:iCs/>
        </w:rPr>
        <w:t>Id</w:t>
      </w:r>
      <w:r>
        <w:t>.</w:t>
      </w:r>
    </w:p>
  </w:footnote>
  <w:footnote w:id="458">
    <w:p w:rsidR="00F348D4" w14:paraId="7168B18F" w14:textId="6EFF5758">
      <w:pPr>
        <w:pStyle w:val="FootnoteText"/>
      </w:pPr>
      <w:r>
        <w:rPr>
          <w:rStyle w:val="FootnoteReference"/>
        </w:rPr>
        <w:footnoteRef/>
      </w:r>
      <w:r>
        <w:t xml:space="preserve"> </w:t>
      </w:r>
      <w:r w:rsidR="003E0BA1">
        <w:rPr>
          <w:i/>
          <w:iCs/>
        </w:rPr>
        <w:t>Id.</w:t>
      </w:r>
      <w:r w:rsidR="00213003">
        <w:t xml:space="preserve"> </w:t>
      </w:r>
      <w:r>
        <w:t>P</w:t>
      </w:r>
      <w:r w:rsidR="00D374EE">
        <w:t> </w:t>
      </w:r>
      <w:r>
        <w:t>4</w:t>
      </w:r>
      <w:r w:rsidR="00AC6522">
        <w:t>4</w:t>
      </w:r>
      <w:r>
        <w:t>.</w:t>
      </w:r>
    </w:p>
  </w:footnote>
  <w:footnote w:id="459">
    <w:p w:rsidR="00764B2B" w:rsidP="00484FF4" w14:paraId="45A21137" w14:textId="77777777">
      <w:pPr>
        <w:pStyle w:val="FootnoteText"/>
        <w:widowControl/>
      </w:pPr>
      <w:r>
        <w:rPr>
          <w:rStyle w:val="FootnoteReference"/>
        </w:rPr>
        <w:footnoteRef/>
      </w:r>
      <w:r>
        <w:t xml:space="preserve"> </w:t>
      </w:r>
      <w:r w:rsidRPr="00B300CE">
        <w:rPr>
          <w:i/>
          <w:iCs/>
        </w:rPr>
        <w:t>See, e.g.</w:t>
      </w:r>
      <w:r w:rsidRPr="00D374EE">
        <w:t>,</w:t>
      </w:r>
      <w:r>
        <w:t xml:space="preserve"> Joint Consumer Advocates Initial Comments at 6-8; Joint Customers Reply Comments at 1-2; MISO Initial Comments at 2; MISO Transmission Owners Initial Comments at 12-16; New England Consumer Advocates Initial Comments at 4-5; Ohio FEA Initial Comments at 4; PGE Initial Comments at 2-3; PJM IMM Initial Comments at 11-12.</w:t>
      </w:r>
    </w:p>
  </w:footnote>
  <w:footnote w:id="460">
    <w:p w:rsidR="001A71AA" w14:paraId="4725E203" w14:textId="056BE9ED">
      <w:pPr>
        <w:pStyle w:val="FootnoteText"/>
      </w:pPr>
      <w:r>
        <w:rPr>
          <w:rStyle w:val="FootnoteReference"/>
        </w:rPr>
        <w:footnoteRef/>
      </w:r>
      <w:r>
        <w:t xml:space="preserve"> MISO Initial Comments at 2.</w:t>
      </w:r>
    </w:p>
  </w:footnote>
  <w:footnote w:id="461">
    <w:p w:rsidR="000258F1" w:rsidP="000258F1" w14:paraId="6D756882" w14:textId="77777777">
      <w:pPr>
        <w:pStyle w:val="FootnoteText"/>
      </w:pPr>
      <w:r>
        <w:rPr>
          <w:rStyle w:val="FootnoteReference"/>
        </w:rPr>
        <w:footnoteRef/>
      </w:r>
      <w:r>
        <w:t xml:space="preserve"> Joint Customers Reply Comments at 2-6; MISO Initial Comments at 2; MISO Transmission Owners Initial Comments at 14-15; TAPS Initial Comments at 5.</w:t>
      </w:r>
    </w:p>
  </w:footnote>
  <w:footnote w:id="462">
    <w:p w:rsidR="000258F1" w:rsidP="000258F1" w14:paraId="4C372B74" w14:textId="77777777">
      <w:pPr>
        <w:pStyle w:val="FootnoteText"/>
      </w:pPr>
      <w:r>
        <w:rPr>
          <w:rStyle w:val="FootnoteReference"/>
        </w:rPr>
        <w:footnoteRef/>
      </w:r>
      <w:r>
        <w:t xml:space="preserve"> PJM IMM Initial Comments at 11-12.</w:t>
      </w:r>
    </w:p>
  </w:footnote>
  <w:footnote w:id="463">
    <w:p w:rsidR="000258F1" w:rsidRPr="005664A5" w:rsidP="000258F1" w14:paraId="2CCD6228" w14:textId="4821DAE7">
      <w:pPr>
        <w:pStyle w:val="FootnoteText"/>
      </w:pPr>
      <w:r>
        <w:rPr>
          <w:rStyle w:val="FootnoteReference"/>
        </w:rPr>
        <w:footnoteRef/>
      </w:r>
      <w:r>
        <w:t xml:space="preserve"> Joint Customers Reply Comments at 2; </w:t>
      </w:r>
      <w:r>
        <w:rPr>
          <w:i/>
          <w:iCs/>
        </w:rPr>
        <w:t>see also id.</w:t>
      </w:r>
      <w:r>
        <w:t xml:space="preserve"> at 3 (“</w:t>
      </w:r>
      <w:r w:rsidRPr="005664A5">
        <w:t xml:space="preserve">The Commission is, in fact, in an enviable position where the </w:t>
      </w:r>
      <w:r w:rsidRPr="005664A5">
        <w:rPr>
          <w:i/>
          <w:iCs/>
        </w:rPr>
        <w:t>pro forma</w:t>
      </w:r>
      <w:r w:rsidRPr="00D374EE">
        <w:t xml:space="preserve"> </w:t>
      </w:r>
      <w:r w:rsidRPr="005664A5">
        <w:t xml:space="preserve">revisions contemplated in the NOPR have recently been implemented on a large regional scale. </w:t>
      </w:r>
      <w:r w:rsidR="00A9647E">
        <w:t xml:space="preserve"> </w:t>
      </w:r>
      <w:r w:rsidRPr="005664A5">
        <w:t xml:space="preserve">For the purposes of establishing record support for the NOPR and addressing transition, discussed below, the </w:t>
      </w:r>
      <w:r w:rsidRPr="005664A5">
        <w:rPr>
          <w:i/>
          <w:iCs/>
        </w:rPr>
        <w:t>MISO</w:t>
      </w:r>
      <w:r w:rsidRPr="005664A5">
        <w:t xml:space="preserve"> proceeding essentially point by point addresses the arguments recycled to oppose the NOPR. </w:t>
      </w:r>
      <w:r w:rsidR="00164C3F">
        <w:t xml:space="preserve"> </w:t>
      </w:r>
      <w:r w:rsidRPr="005664A5">
        <w:t xml:space="preserve">The same is true with respect to the arguments concerning reliability, which were extensively addressed in the </w:t>
      </w:r>
      <w:r w:rsidRPr="005664A5">
        <w:rPr>
          <w:i/>
          <w:iCs/>
        </w:rPr>
        <w:t>MISO</w:t>
      </w:r>
      <w:r w:rsidRPr="00D374EE">
        <w:t xml:space="preserve"> </w:t>
      </w:r>
      <w:r w:rsidRPr="005664A5">
        <w:t xml:space="preserve">order and order on rehearing. </w:t>
      </w:r>
      <w:r w:rsidR="00164C3F">
        <w:t xml:space="preserve"> </w:t>
      </w:r>
      <w:r w:rsidRPr="005664A5">
        <w:t xml:space="preserve">But with respect to reliability, </w:t>
      </w:r>
      <w:r w:rsidRPr="005664A5">
        <w:rPr>
          <w:i/>
          <w:iCs/>
        </w:rPr>
        <w:t>MISO</w:t>
      </w:r>
      <w:r w:rsidRPr="00D374EE">
        <w:t xml:space="preserve"> </w:t>
      </w:r>
      <w:r w:rsidRPr="005664A5">
        <w:t>is dispositive not only for its precedential value, but also in setting up a real-world test of the countervailing predictions regarding the impact of eliminating compensation for reactive service within the standard power factor range.</w:t>
      </w:r>
      <w:r>
        <w:t xml:space="preserve">” (citations omitted)); </w:t>
      </w:r>
      <w:r>
        <w:rPr>
          <w:i/>
          <w:iCs/>
        </w:rPr>
        <w:t>id.</w:t>
      </w:r>
      <w:r>
        <w:t xml:space="preserve"> at 4 (“</w:t>
      </w:r>
      <w:r w:rsidRPr="005664A5">
        <w:t xml:space="preserve">MISO’s experience validates the Commission’s conclusions in approving the MISO Transmission Owners’ proposed tariff revisions, as well as the Commission’s skepticism regarding speculative warnings of reliability impacts. </w:t>
      </w:r>
      <w:r w:rsidR="00020FEE">
        <w:t xml:space="preserve"> </w:t>
      </w:r>
      <w:r w:rsidRPr="005664A5">
        <w:t>It similarly validates PJM’s support for the NOPR and the conclusions of the PJM Independent Market Monitor that amending Schedule 2 of the PJM Tariff will not lead to reliability concerns.</w:t>
      </w:r>
      <w:r>
        <w:t>” (</w:t>
      </w:r>
      <w:r w:rsidR="003F1322">
        <w:t xml:space="preserve">internal </w:t>
      </w:r>
      <w:r>
        <w:t>citations omitted)).</w:t>
      </w:r>
    </w:p>
  </w:footnote>
  <w:footnote w:id="464">
    <w:p w:rsidR="000258F1" w:rsidP="000258F1" w14:paraId="5E3B6E19" w14:textId="20B4E61B">
      <w:pPr>
        <w:pStyle w:val="FootnoteText"/>
      </w:pPr>
      <w:r>
        <w:rPr>
          <w:rStyle w:val="FootnoteReference"/>
        </w:rPr>
        <w:footnoteRef/>
      </w:r>
      <w:r>
        <w:t xml:space="preserve"> Joint Customers Reply Comments at 4-6; MISO Transmission Owners Initial Comments at 12-16; MISO Transmission Owners Reply Comments at 3-4; Ohio FEA Initial Comments at 4; PGE Initial Comments at </w:t>
      </w:r>
      <w:r w:rsidR="00226F93">
        <w:t>2</w:t>
      </w:r>
      <w:r>
        <w:t>-4.</w:t>
      </w:r>
    </w:p>
  </w:footnote>
  <w:footnote w:id="465">
    <w:p w:rsidR="000258F1" w:rsidP="000258F1" w14:paraId="28FB9F8F" w14:textId="77777777">
      <w:pPr>
        <w:pStyle w:val="FootnoteText"/>
      </w:pPr>
      <w:r>
        <w:rPr>
          <w:rStyle w:val="FootnoteReference"/>
        </w:rPr>
        <w:footnoteRef/>
      </w:r>
      <w:r>
        <w:t xml:space="preserve"> MISO Transmission Owners Initial Comments at 12.</w:t>
      </w:r>
    </w:p>
  </w:footnote>
  <w:footnote w:id="466">
    <w:p w:rsidR="000258F1" w:rsidP="000258F1" w14:paraId="5824E8B2" w14:textId="52109B06">
      <w:pPr>
        <w:pStyle w:val="FootnoteText"/>
      </w:pPr>
      <w:r>
        <w:rPr>
          <w:rStyle w:val="FootnoteReference"/>
        </w:rPr>
        <w:footnoteRef/>
      </w:r>
      <w:r>
        <w:t xml:space="preserve"> MISO Transmission Owners Reply Comments at 6 (citing </w:t>
      </w:r>
      <w:r w:rsidRPr="00CB2B02">
        <w:t>Order No. 2003</w:t>
      </w:r>
      <w:r w:rsidR="00020FEE">
        <w:t>,</w:t>
      </w:r>
      <w:r w:rsidRPr="00CB2B02">
        <w:t xml:space="preserve"> </w:t>
      </w:r>
      <w:r w:rsidR="00E768DE">
        <w:t xml:space="preserve">   </w:t>
      </w:r>
      <w:r w:rsidRPr="00BF3D71" w:rsidR="00BF3D71">
        <w:t>104 FERC ¶ 61,103</w:t>
      </w:r>
      <w:r w:rsidR="00BF3D71">
        <w:t xml:space="preserve"> </w:t>
      </w:r>
      <w:r w:rsidRPr="00CB2B02">
        <w:t>at P</w:t>
      </w:r>
      <w:r>
        <w:t> </w:t>
      </w:r>
      <w:r w:rsidRPr="00CB2B02">
        <w:t>546; Order No. 2003-A</w:t>
      </w:r>
      <w:r w:rsidR="00BF3D71">
        <w:t>,</w:t>
      </w:r>
      <w:r w:rsidRPr="00CB2B02">
        <w:t xml:space="preserve"> </w:t>
      </w:r>
      <w:r w:rsidRPr="006946CD" w:rsidR="006946CD">
        <w:t>106 FERC ¶ 61,220</w:t>
      </w:r>
      <w:r w:rsidR="006946CD">
        <w:t xml:space="preserve"> </w:t>
      </w:r>
      <w:r w:rsidRPr="00CB2B02">
        <w:t>at PP</w:t>
      </w:r>
      <w:r>
        <w:t> </w:t>
      </w:r>
      <w:r w:rsidRPr="00CB2B02">
        <w:t>410, 416</w:t>
      </w:r>
      <w:r>
        <w:t>)</w:t>
      </w:r>
      <w:r w:rsidRPr="00CB2B02">
        <w:t>.</w:t>
      </w:r>
    </w:p>
  </w:footnote>
  <w:footnote w:id="467">
    <w:p w:rsidR="00A31238" w:rsidP="00A31238" w14:paraId="6F89E076" w14:textId="55BF74F3">
      <w:pPr>
        <w:pStyle w:val="FootnoteText"/>
      </w:pPr>
      <w:r>
        <w:rPr>
          <w:rStyle w:val="FootnoteReference"/>
        </w:rPr>
        <w:footnoteRef/>
      </w:r>
      <w:r>
        <w:t xml:space="preserve"> Joint Customers Reply Comments at </w:t>
      </w:r>
      <w:r w:rsidR="00B0480F">
        <w:t>4-</w:t>
      </w:r>
      <w:r>
        <w:t>6.</w:t>
      </w:r>
    </w:p>
  </w:footnote>
  <w:footnote w:id="468">
    <w:p w:rsidR="000258F1" w:rsidP="000258F1" w14:paraId="644A9AB8" w14:textId="13EEFDC2">
      <w:pPr>
        <w:pStyle w:val="FootnoteText"/>
      </w:pPr>
      <w:r>
        <w:rPr>
          <w:rStyle w:val="FootnoteReference"/>
        </w:rPr>
        <w:footnoteRef/>
      </w:r>
      <w:r>
        <w:t xml:space="preserve"> </w:t>
      </w:r>
      <w:r w:rsidRPr="00C06B6B" w:rsidR="008D107D">
        <w:rPr>
          <w:i/>
          <w:iCs/>
        </w:rPr>
        <w:t>Supra</w:t>
      </w:r>
      <w:r w:rsidR="008D107D">
        <w:t xml:space="preserve"> n.</w:t>
      </w:r>
      <w:r w:rsidR="00E768DE">
        <w:t>448</w:t>
      </w:r>
      <w:r w:rsidR="008D107D">
        <w:t>.</w:t>
      </w:r>
    </w:p>
  </w:footnote>
  <w:footnote w:id="469">
    <w:p w:rsidR="000258F1" w:rsidP="000258F1" w14:paraId="1D1E5F96" w14:textId="77777777">
      <w:pPr>
        <w:pStyle w:val="FootnoteText"/>
      </w:pPr>
      <w:r>
        <w:rPr>
          <w:rStyle w:val="FootnoteReference"/>
        </w:rPr>
        <w:footnoteRef/>
      </w:r>
      <w:r>
        <w:t xml:space="preserve"> Joint Consumer Advocates Initial Comments at 7-8; MISO Transmission Owners Initial Comments at 12-16; TAPS Initial Comments at 5.</w:t>
      </w:r>
    </w:p>
  </w:footnote>
  <w:footnote w:id="470">
    <w:p w:rsidR="000258F1" w:rsidP="000258F1" w14:paraId="3145AFB2" w14:textId="77777777">
      <w:pPr>
        <w:pStyle w:val="FootnoteText"/>
      </w:pPr>
      <w:r>
        <w:rPr>
          <w:rStyle w:val="FootnoteReference"/>
        </w:rPr>
        <w:footnoteRef/>
      </w:r>
      <w:r>
        <w:t xml:space="preserve"> </w:t>
      </w:r>
      <w:r w:rsidRPr="0045777A">
        <w:rPr>
          <w:i/>
          <w:iCs/>
        </w:rPr>
        <w:t>See, e.g.</w:t>
      </w:r>
      <w:r>
        <w:t xml:space="preserve">, </w:t>
      </w:r>
      <w:r w:rsidRPr="007C2B93">
        <w:rPr>
          <w:szCs w:val="26"/>
        </w:rPr>
        <w:t>Indicated Trade Associations Initial Comments at</w:t>
      </w:r>
      <w:r w:rsidRPr="004C1D1E">
        <w:rPr>
          <w:szCs w:val="26"/>
        </w:rPr>
        <w:t xml:space="preserve"> 21</w:t>
      </w:r>
      <w:r>
        <w:t>.</w:t>
      </w:r>
    </w:p>
  </w:footnote>
  <w:footnote w:id="471">
    <w:p w:rsidR="000258F1" w:rsidP="000258F1" w14:paraId="59720DF7" w14:textId="31E04502">
      <w:pPr>
        <w:pStyle w:val="FootnoteText"/>
      </w:pPr>
      <w:r>
        <w:rPr>
          <w:rStyle w:val="FootnoteReference"/>
        </w:rPr>
        <w:footnoteRef/>
      </w:r>
      <w:r>
        <w:t xml:space="preserve"> MISO Transmission Owners Initial Comments at 11 </w:t>
      </w:r>
      <w:r w:rsidR="003348B1">
        <w:t>(</w:t>
      </w:r>
      <w:r>
        <w:t>citing</w:t>
      </w:r>
      <w:r w:rsidRPr="00CB4D0C">
        <w:t xml:space="preserve"> MISO Rehearing Order</w:t>
      </w:r>
      <w:r w:rsidRPr="00700465" w:rsidR="00700465">
        <w:t xml:space="preserve">, </w:t>
      </w:r>
      <w:r w:rsidRPr="00700465" w:rsidR="00700465">
        <w:t>184</w:t>
      </w:r>
      <w:r w:rsidRPr="00700465" w:rsidR="00700465">
        <w:t> </w:t>
      </w:r>
      <w:r w:rsidRPr="00700465" w:rsidR="00700465">
        <w:t>FERC ¶</w:t>
      </w:r>
      <w:r w:rsidRPr="00700465" w:rsidR="00700465">
        <w:t> </w:t>
      </w:r>
      <w:r w:rsidRPr="00700465" w:rsidR="00700465">
        <w:t>61,022</w:t>
      </w:r>
      <w:r w:rsidRPr="00CB4D0C">
        <w:t xml:space="preserve"> at P</w:t>
      </w:r>
      <w:r>
        <w:t> </w:t>
      </w:r>
      <w:r w:rsidRPr="00CB4D0C">
        <w:t>35 n.116 (“[G]enerators have incentives to install equipment to ensure that their generation remains online and delivering real power.”)</w:t>
      </w:r>
      <w:r w:rsidR="003348B1">
        <w:t>)</w:t>
      </w:r>
      <w:r w:rsidRPr="00CB4D0C">
        <w:t xml:space="preserve">.  </w:t>
      </w:r>
    </w:p>
  </w:footnote>
  <w:footnote w:id="472">
    <w:p w:rsidR="008405B9" w:rsidP="008405B9" w14:paraId="0F915F0D" w14:textId="7D3388F5">
      <w:pPr>
        <w:pStyle w:val="FootnoteText"/>
      </w:pPr>
      <w:r>
        <w:rPr>
          <w:rStyle w:val="FootnoteReference"/>
        </w:rPr>
        <w:footnoteRef/>
      </w:r>
      <w:r>
        <w:t xml:space="preserve"> </w:t>
      </w:r>
      <w:r w:rsidRPr="00E0444A">
        <w:rPr>
          <w:i/>
          <w:iCs/>
        </w:rPr>
        <w:t>See, e.g.</w:t>
      </w:r>
      <w:r>
        <w:t>,</w:t>
      </w:r>
      <w:r w:rsidR="005078C3">
        <w:t xml:space="preserve"> </w:t>
      </w:r>
      <w:r w:rsidR="006F7392">
        <w:t xml:space="preserve">Clean Energy Associations Initial Comments at </w:t>
      </w:r>
      <w:r w:rsidR="00AF3EA1">
        <w:t>5</w:t>
      </w:r>
      <w:r w:rsidR="006F7392">
        <w:t>;</w:t>
      </w:r>
      <w:r>
        <w:t xml:space="preserve"> Elevate Initial Comments at 4-9; Elevate Reply Comments at 4-6; </w:t>
      </w:r>
      <w:r w:rsidRPr="00AE3B35">
        <w:rPr>
          <w:szCs w:val="26"/>
        </w:rPr>
        <w:t xml:space="preserve">Generation Developers </w:t>
      </w:r>
      <w:r>
        <w:rPr>
          <w:szCs w:val="26"/>
        </w:rPr>
        <w:t xml:space="preserve">Initial Comments at </w:t>
      </w:r>
      <w:r w:rsidRPr="009F4059">
        <w:rPr>
          <w:szCs w:val="26"/>
        </w:rPr>
        <w:t>2-</w:t>
      </w:r>
      <w:r>
        <w:rPr>
          <w:szCs w:val="26"/>
        </w:rPr>
        <w:t xml:space="preserve">6; </w:t>
      </w:r>
      <w:r w:rsidRPr="007C2B93">
        <w:rPr>
          <w:szCs w:val="26"/>
        </w:rPr>
        <w:t xml:space="preserve">Indicated Trade Associations Initial Comments at </w:t>
      </w:r>
      <w:r w:rsidRPr="004C1D1E">
        <w:rPr>
          <w:szCs w:val="26"/>
        </w:rPr>
        <w:t>18-19</w:t>
      </w:r>
      <w:r>
        <w:rPr>
          <w:szCs w:val="26"/>
        </w:rPr>
        <w:t xml:space="preserve">; </w:t>
      </w:r>
      <w:r w:rsidR="00B222CB">
        <w:rPr>
          <w:szCs w:val="26"/>
        </w:rPr>
        <w:t xml:space="preserve">NAGF </w:t>
      </w:r>
      <w:r w:rsidR="00A0351C">
        <w:rPr>
          <w:szCs w:val="26"/>
        </w:rPr>
        <w:t xml:space="preserve">Initial Comments at </w:t>
      </w:r>
      <w:r w:rsidR="000B4813">
        <w:rPr>
          <w:szCs w:val="26"/>
        </w:rPr>
        <w:t>2</w:t>
      </w:r>
      <w:r w:rsidR="00B222CB">
        <w:rPr>
          <w:szCs w:val="26"/>
        </w:rPr>
        <w:t xml:space="preserve">; </w:t>
      </w:r>
      <w:r w:rsidR="006067B6">
        <w:rPr>
          <w:szCs w:val="26"/>
        </w:rPr>
        <w:t xml:space="preserve">NEI Initial Comments at </w:t>
      </w:r>
      <w:r w:rsidR="00871590">
        <w:rPr>
          <w:szCs w:val="26"/>
        </w:rPr>
        <w:t>2</w:t>
      </w:r>
      <w:r w:rsidR="006067B6">
        <w:rPr>
          <w:szCs w:val="26"/>
        </w:rPr>
        <w:t xml:space="preserve">; </w:t>
      </w:r>
      <w:r>
        <w:t xml:space="preserve">NEPGA Reply Comments at 2-3 (citing </w:t>
      </w:r>
      <w:r w:rsidR="00E768DE">
        <w:t xml:space="preserve">   </w:t>
      </w:r>
      <w:r>
        <w:t>ISO-NE Initial Comments at 6-7); NESCOE Reply Comments at 2-3 (citing ISO-NE Initial Comments at 5-8);</w:t>
      </w:r>
      <w:r w:rsidRPr="001F1B3E">
        <w:t xml:space="preserve"> </w:t>
      </w:r>
      <w:r w:rsidRPr="0080648E">
        <w:t xml:space="preserve">NHA Initial Comments at </w:t>
      </w:r>
      <w:r>
        <w:t>1-2, 4</w:t>
      </w:r>
      <w:r w:rsidR="00532E7E">
        <w:t xml:space="preserve">; </w:t>
      </w:r>
      <w:r w:rsidR="001F702F">
        <w:t xml:space="preserve">NYISO Initial Comments </w:t>
      </w:r>
      <w:r w:rsidR="00E768DE">
        <w:t xml:space="preserve">     </w:t>
      </w:r>
      <w:r w:rsidR="001F702F">
        <w:t xml:space="preserve">at </w:t>
      </w:r>
      <w:r w:rsidR="00B52E57">
        <w:t>8-11</w:t>
      </w:r>
      <w:r w:rsidR="001F702F">
        <w:t xml:space="preserve">; </w:t>
      </w:r>
      <w:r w:rsidR="00A6442E">
        <w:t>PSEG</w:t>
      </w:r>
      <w:r w:rsidR="00BF757E">
        <w:t xml:space="preserve"> Initial Comments at </w:t>
      </w:r>
      <w:r w:rsidR="000F272B">
        <w:t>4-5, 8, 16</w:t>
      </w:r>
      <w:r w:rsidR="00CE2114">
        <w:t>-20, 22-</w:t>
      </w:r>
      <w:r w:rsidR="006B33CF">
        <w:t>24</w:t>
      </w:r>
      <w:r w:rsidR="000F272B">
        <w:t>;</w:t>
      </w:r>
      <w:r w:rsidR="00BF757E">
        <w:t xml:space="preserve"> </w:t>
      </w:r>
      <w:r w:rsidR="00532E7E">
        <w:t>Reactive Service Providers</w:t>
      </w:r>
      <w:r w:rsidR="00C04E81">
        <w:t xml:space="preserve"> Initial Comments at </w:t>
      </w:r>
      <w:r w:rsidR="00AD7C49">
        <w:t>22</w:t>
      </w:r>
      <w:r>
        <w:t>.</w:t>
      </w:r>
    </w:p>
  </w:footnote>
  <w:footnote w:id="473">
    <w:p w:rsidR="002B1BDE" w:rsidP="002B1BDE" w14:paraId="591D0ED8" w14:textId="77777777">
      <w:pPr>
        <w:pStyle w:val="FootnoteText"/>
      </w:pPr>
      <w:r>
        <w:rPr>
          <w:rStyle w:val="FootnoteReference"/>
        </w:rPr>
        <w:footnoteRef/>
      </w:r>
      <w:r>
        <w:t xml:space="preserve"> Elevate Initial Comments at 4-9; Elevate Reply Comments at 4-6.</w:t>
      </w:r>
    </w:p>
  </w:footnote>
  <w:footnote w:id="474">
    <w:p w:rsidR="00C97121" w:rsidP="00C97121" w14:paraId="1AED6F65" w14:textId="77777777">
      <w:pPr>
        <w:pStyle w:val="FootnoteText"/>
      </w:pPr>
      <w:r>
        <w:rPr>
          <w:rStyle w:val="FootnoteReference"/>
        </w:rPr>
        <w:footnoteRef/>
      </w:r>
      <w:r>
        <w:t xml:space="preserve"> </w:t>
      </w:r>
      <w:r w:rsidRPr="0080648E">
        <w:t xml:space="preserve">NHA Initial Comments at </w:t>
      </w:r>
      <w:r>
        <w:t>2.</w:t>
      </w:r>
    </w:p>
  </w:footnote>
  <w:footnote w:id="475">
    <w:p w:rsidR="00347F82" w:rsidP="00347F82" w14:paraId="1DC19780" w14:textId="1ABDB58A">
      <w:pPr>
        <w:pStyle w:val="FootnoteText"/>
      </w:pPr>
      <w:r>
        <w:rPr>
          <w:rStyle w:val="FootnoteReference"/>
        </w:rPr>
        <w:footnoteRef/>
      </w:r>
      <w:r>
        <w:t xml:space="preserve"> </w:t>
      </w:r>
      <w:r w:rsidR="0004707E">
        <w:rPr>
          <w:i/>
          <w:iCs/>
        </w:rPr>
        <w:t>Id.</w:t>
      </w:r>
      <w:r>
        <w:t xml:space="preserve"> at 6.</w:t>
      </w:r>
    </w:p>
  </w:footnote>
  <w:footnote w:id="476">
    <w:p w:rsidR="004C5D02" w:rsidP="004C5D02" w14:paraId="362150E0" w14:textId="1F87A084">
      <w:pPr>
        <w:pStyle w:val="FootnoteText"/>
      </w:pPr>
      <w:r>
        <w:rPr>
          <w:rStyle w:val="FootnoteReference"/>
        </w:rPr>
        <w:footnoteRef/>
      </w:r>
      <w:r>
        <w:t xml:space="preserve"> Elevate Initial Comments at 5 (citing </w:t>
      </w:r>
      <w:r w:rsidRPr="00C06B6B">
        <w:t>Meyersdale Storage, LLC</w:t>
      </w:r>
      <w:r w:rsidRPr="0089461C">
        <w:t xml:space="preserve"> Proposed Revenue Requirement under PJM Interconnection, L.L.C. Open Access Transmission Tariff, Schedule 2, Reactive Supply and Voltage Control From Generation Sources Service, </w:t>
      </w:r>
      <w:r w:rsidR="00D70C1A">
        <w:t xml:space="preserve">Docket No. </w:t>
      </w:r>
      <w:r w:rsidR="008E420C">
        <w:t>ER21-</w:t>
      </w:r>
      <w:r w:rsidR="00814C08">
        <w:t xml:space="preserve">864-000, </w:t>
      </w:r>
      <w:r w:rsidRPr="0089461C">
        <w:t>Exh. No. MEY-0001 at 11:19-22 (</w:t>
      </w:r>
      <w:r w:rsidR="009E3B13">
        <w:t xml:space="preserve">filed </w:t>
      </w:r>
      <w:r w:rsidRPr="0089461C">
        <w:t>Jan. 11, 2021)</w:t>
      </w:r>
      <w:r>
        <w:t>).</w:t>
      </w:r>
    </w:p>
  </w:footnote>
  <w:footnote w:id="477">
    <w:p w:rsidR="00CE0397" w:rsidRPr="009F4059" w:rsidP="00CE0397" w14:paraId="5BFCD3DF" w14:textId="77777777">
      <w:pPr>
        <w:pStyle w:val="FootnoteText"/>
        <w:rPr>
          <w:szCs w:val="26"/>
        </w:rPr>
      </w:pPr>
      <w:r w:rsidRPr="009F4059">
        <w:rPr>
          <w:rStyle w:val="FootnoteReference"/>
          <w:szCs w:val="26"/>
        </w:rPr>
        <w:footnoteRef/>
      </w:r>
      <w:r w:rsidRPr="009F4059">
        <w:rPr>
          <w:szCs w:val="26"/>
        </w:rPr>
        <w:t xml:space="preserve"> </w:t>
      </w:r>
      <w:r w:rsidRPr="00AE3B35">
        <w:rPr>
          <w:szCs w:val="26"/>
        </w:rPr>
        <w:t xml:space="preserve">Generation Developers </w:t>
      </w:r>
      <w:r>
        <w:rPr>
          <w:szCs w:val="26"/>
        </w:rPr>
        <w:t xml:space="preserve">Initial Comments at </w:t>
      </w:r>
      <w:r w:rsidRPr="009F4059">
        <w:rPr>
          <w:szCs w:val="26"/>
        </w:rPr>
        <w:t>2-3.</w:t>
      </w:r>
    </w:p>
  </w:footnote>
  <w:footnote w:id="478">
    <w:p w:rsidR="006D2DC7" w:rsidRPr="004C1D1E" w:rsidP="006D2DC7" w14:paraId="0D58F97E" w14:textId="77777777">
      <w:pPr>
        <w:pStyle w:val="FootnoteText"/>
        <w:rPr>
          <w:szCs w:val="26"/>
        </w:rPr>
      </w:pPr>
      <w:r w:rsidRPr="004C1D1E">
        <w:rPr>
          <w:rStyle w:val="FootnoteReference"/>
          <w:szCs w:val="26"/>
        </w:rPr>
        <w:footnoteRef/>
      </w:r>
      <w:r w:rsidRPr="004C1D1E">
        <w:rPr>
          <w:szCs w:val="26"/>
        </w:rPr>
        <w:t xml:space="preserve"> </w:t>
      </w:r>
      <w:r w:rsidRPr="007C2B93">
        <w:rPr>
          <w:szCs w:val="26"/>
        </w:rPr>
        <w:t xml:space="preserve">Indicated Trade Associations Initial Comments at </w:t>
      </w:r>
      <w:r w:rsidRPr="004C1D1E">
        <w:rPr>
          <w:szCs w:val="26"/>
        </w:rPr>
        <w:t>18-19</w:t>
      </w:r>
      <w:r w:rsidR="00C537B6">
        <w:rPr>
          <w:szCs w:val="26"/>
        </w:rPr>
        <w:t xml:space="preserve">; </w:t>
      </w:r>
      <w:r w:rsidRPr="00454D81" w:rsidR="00C537B6">
        <w:rPr>
          <w:szCs w:val="26"/>
        </w:rPr>
        <w:t>Indicated Trade Associations Reply Comments at 12</w:t>
      </w:r>
      <w:r w:rsidRPr="004C1D1E">
        <w:rPr>
          <w:szCs w:val="26"/>
        </w:rPr>
        <w:t>.</w:t>
      </w:r>
    </w:p>
  </w:footnote>
  <w:footnote w:id="479">
    <w:p w:rsidR="00C86053" w:rsidRPr="004C1D1E" w:rsidP="00C86053" w14:paraId="29C164ED" w14:textId="77777777">
      <w:pPr>
        <w:pStyle w:val="FootnoteText"/>
        <w:rPr>
          <w:szCs w:val="26"/>
        </w:rPr>
      </w:pPr>
      <w:r w:rsidRPr="004C1D1E">
        <w:rPr>
          <w:rStyle w:val="FootnoteReference"/>
          <w:szCs w:val="26"/>
        </w:rPr>
        <w:footnoteRef/>
      </w:r>
      <w:r w:rsidRPr="004C1D1E">
        <w:rPr>
          <w:szCs w:val="26"/>
        </w:rPr>
        <w:t xml:space="preserve"> </w:t>
      </w:r>
      <w:r w:rsidRPr="007C2B93">
        <w:rPr>
          <w:szCs w:val="26"/>
        </w:rPr>
        <w:t xml:space="preserve">Indicated Trade Associations Initial Comments at </w:t>
      </w:r>
      <w:r w:rsidRPr="004C1D1E">
        <w:rPr>
          <w:szCs w:val="26"/>
        </w:rPr>
        <w:t>19-20.</w:t>
      </w:r>
    </w:p>
  </w:footnote>
  <w:footnote w:id="480">
    <w:p w:rsidR="00712E7F" w:rsidP="00712E7F" w14:paraId="6BE8516C" w14:textId="516E9DF1">
      <w:pPr>
        <w:pStyle w:val="FootnoteText"/>
      </w:pPr>
      <w:r>
        <w:rPr>
          <w:rStyle w:val="FootnoteReference"/>
        </w:rPr>
        <w:footnoteRef/>
      </w:r>
      <w:r>
        <w:t xml:space="preserve"> NEI Initial Comments at 3 </w:t>
      </w:r>
      <w:r w:rsidR="000C7C36">
        <w:t>(</w:t>
      </w:r>
      <w:r>
        <w:t xml:space="preserve">citing Letter from FERC Chairman Pat Wood, III, </w:t>
      </w:r>
      <w:r w:rsidR="00E768DE">
        <w:t xml:space="preserve"> </w:t>
      </w:r>
      <w:r>
        <w:t xml:space="preserve">1 (Feb. 4, 2005), https://www.ferc.gov/sites/default/files/2020-05/20050310144430-02-04-05-rp-letter-wood.pdf; </w:t>
      </w:r>
      <w:r w:rsidRPr="00504C1D" w:rsidR="000C7C36">
        <w:t>2005 Staff Report</w:t>
      </w:r>
      <w:r>
        <w:t xml:space="preserve"> at 3 (“Inadequate reactive power has led to voltage collapses and has been a major cause of several recent major power outages worldwide.”)</w:t>
      </w:r>
      <w:r w:rsidR="000C7C36">
        <w:t>)</w:t>
      </w:r>
      <w:r>
        <w:t>.</w:t>
      </w:r>
    </w:p>
  </w:footnote>
  <w:footnote w:id="481">
    <w:p w:rsidR="00712E7F" w:rsidP="00712E7F" w14:paraId="4A88923F" w14:textId="45BD1DDB">
      <w:pPr>
        <w:pStyle w:val="FootnoteText"/>
      </w:pPr>
      <w:r>
        <w:rPr>
          <w:rStyle w:val="FootnoteReference"/>
        </w:rPr>
        <w:footnoteRef/>
      </w:r>
      <w:r>
        <w:t xml:space="preserve"> NEI Initial Comments at 3-4 citing NERC, </w:t>
      </w:r>
      <w:r w:rsidRPr="00C06B6B">
        <w:rPr>
          <w:i/>
          <w:iCs/>
        </w:rPr>
        <w:t xml:space="preserve">Essential Reliability Services Task Force Measures Framework Report </w:t>
      </w:r>
      <w:r>
        <w:t xml:space="preserve">16 (Nov. 2015), </w:t>
      </w:r>
      <w:hyperlink r:id="rId1" w:history="1">
        <w:r w:rsidRPr="00C00440">
          <w:rPr>
            <w:rStyle w:val="Hyperlink"/>
          </w:rPr>
          <w:t>https://www.nerc.com/comm/Other/essntlrlbltysrvcstskfrcDL/ERSTF%20Framework%20Report%20-%20Final.pdf</w:t>
        </w:r>
      </w:hyperlink>
      <w:r>
        <w:t xml:space="preserve">. </w:t>
      </w:r>
    </w:p>
  </w:footnote>
  <w:footnote w:id="482">
    <w:p w:rsidR="0018146A" w14:paraId="64D71625" w14:textId="2DBDCA2D">
      <w:pPr>
        <w:pStyle w:val="FootnoteText"/>
      </w:pPr>
      <w:r>
        <w:rPr>
          <w:rStyle w:val="FootnoteReference"/>
        </w:rPr>
        <w:footnoteRef/>
      </w:r>
      <w:r>
        <w:t xml:space="preserve"> NEPOOL Reply Comments at 12.</w:t>
      </w:r>
    </w:p>
  </w:footnote>
  <w:footnote w:id="483">
    <w:p w:rsidR="008A2504" w:rsidRPr="004C1D1E" w:rsidP="008A2504" w14:paraId="76171FC4" w14:textId="77777777">
      <w:pPr>
        <w:pStyle w:val="FootnoteText"/>
        <w:rPr>
          <w:szCs w:val="26"/>
        </w:rPr>
      </w:pPr>
      <w:r w:rsidRPr="004C1D1E">
        <w:rPr>
          <w:rStyle w:val="FootnoteReference"/>
          <w:szCs w:val="26"/>
        </w:rPr>
        <w:footnoteRef/>
      </w:r>
      <w:r>
        <w:rPr>
          <w:szCs w:val="26"/>
        </w:rPr>
        <w:t xml:space="preserve"> </w:t>
      </w:r>
      <w:r w:rsidRPr="007C2B93">
        <w:rPr>
          <w:szCs w:val="26"/>
        </w:rPr>
        <w:t>Indicated Trade Associations Initial Comments at</w:t>
      </w:r>
      <w:r w:rsidRPr="004C1D1E">
        <w:rPr>
          <w:szCs w:val="26"/>
        </w:rPr>
        <w:t xml:space="preserve"> 21.</w:t>
      </w:r>
    </w:p>
  </w:footnote>
  <w:footnote w:id="484">
    <w:p w:rsidR="00755E2C" w:rsidRPr="00454D81" w:rsidP="00755E2C" w14:paraId="14AA89DD" w14:textId="77777777">
      <w:pPr>
        <w:pStyle w:val="FootnoteText"/>
        <w:rPr>
          <w:szCs w:val="26"/>
        </w:rPr>
      </w:pPr>
      <w:r w:rsidRPr="00454D81">
        <w:rPr>
          <w:rStyle w:val="FootnoteReference"/>
          <w:szCs w:val="26"/>
        </w:rPr>
        <w:footnoteRef/>
      </w:r>
      <w:r w:rsidRPr="00454D81">
        <w:rPr>
          <w:szCs w:val="26"/>
        </w:rPr>
        <w:t xml:space="preserve"> Indicated Trade Associations Reply Comments at 12.</w:t>
      </w:r>
    </w:p>
  </w:footnote>
  <w:footnote w:id="485">
    <w:p w:rsidR="00FB5B02" w:rsidRPr="008E4AEA" w:rsidP="00FB5B02" w14:paraId="4ACEFC5C" w14:textId="77777777">
      <w:pPr>
        <w:pStyle w:val="FootnoteText"/>
      </w:pPr>
      <w:r w:rsidRPr="008E4AEA">
        <w:rPr>
          <w:rStyle w:val="FootnoteReference"/>
        </w:rPr>
        <w:footnoteRef/>
      </w:r>
      <w:r w:rsidRPr="008E4AEA">
        <w:t xml:space="preserve"> NYISO Initial Comments at 8-11</w:t>
      </w:r>
      <w:r>
        <w:t>; IPPNY Reply Comments at 1-2.</w:t>
      </w:r>
    </w:p>
  </w:footnote>
  <w:footnote w:id="486">
    <w:p w:rsidR="00BB0EBB" w:rsidRPr="008E4AEA" w:rsidP="00BB0EBB" w14:paraId="45F2B868" w14:textId="77777777">
      <w:pPr>
        <w:pStyle w:val="FootnoteText"/>
      </w:pPr>
      <w:r w:rsidRPr="008E4AEA">
        <w:rPr>
          <w:rStyle w:val="FootnoteReference"/>
        </w:rPr>
        <w:footnoteRef/>
      </w:r>
      <w:r w:rsidRPr="008E4AEA">
        <w:t xml:space="preserve"> NYISO Initial Comments at 5-7.</w:t>
      </w:r>
    </w:p>
  </w:footnote>
  <w:footnote w:id="487">
    <w:p w:rsidR="00BB0EBB" w:rsidP="00BB0EBB" w14:paraId="0B993FAE" w14:textId="7AEA3257">
      <w:pPr>
        <w:pStyle w:val="FootnoteText"/>
      </w:pPr>
      <w:r w:rsidRPr="008E4AEA">
        <w:rPr>
          <w:rStyle w:val="FootnoteReference"/>
        </w:rPr>
        <w:footnoteRef/>
      </w:r>
      <w:r w:rsidRPr="008E4AEA">
        <w:t xml:space="preserve"> </w:t>
      </w:r>
      <w:r w:rsidR="00F22768">
        <w:rPr>
          <w:i/>
          <w:iCs/>
        </w:rPr>
        <w:t>Id.</w:t>
      </w:r>
    </w:p>
  </w:footnote>
  <w:footnote w:id="488">
    <w:p w:rsidR="00B44C64" w:rsidP="00B44C64" w14:paraId="03020D5C" w14:textId="77777777">
      <w:pPr>
        <w:pStyle w:val="FootnoteText"/>
      </w:pPr>
      <w:r>
        <w:rPr>
          <w:rStyle w:val="FootnoteReference"/>
        </w:rPr>
        <w:footnoteRef/>
      </w:r>
      <w:r>
        <w:t xml:space="preserve"> Reactive Service Providers Initial Comments at 21-23.</w:t>
      </w:r>
    </w:p>
  </w:footnote>
  <w:footnote w:id="489">
    <w:p w:rsidR="00B44C64" w:rsidRPr="009F4059" w:rsidP="00B44C64" w14:paraId="00C72F15" w14:textId="77777777">
      <w:pPr>
        <w:pStyle w:val="FootnoteText"/>
        <w:rPr>
          <w:szCs w:val="26"/>
        </w:rPr>
      </w:pPr>
      <w:r w:rsidRPr="009F4059">
        <w:rPr>
          <w:rStyle w:val="FootnoteReference"/>
          <w:szCs w:val="26"/>
        </w:rPr>
        <w:footnoteRef/>
      </w:r>
      <w:r w:rsidRPr="009F4059">
        <w:rPr>
          <w:szCs w:val="26"/>
        </w:rPr>
        <w:t xml:space="preserve"> </w:t>
      </w:r>
      <w:r w:rsidRPr="00AE3B35">
        <w:rPr>
          <w:szCs w:val="26"/>
        </w:rPr>
        <w:t xml:space="preserve">Generation Developers </w:t>
      </w:r>
      <w:r>
        <w:rPr>
          <w:szCs w:val="26"/>
        </w:rPr>
        <w:t xml:space="preserve">Initial Comments at </w:t>
      </w:r>
      <w:r w:rsidRPr="009F4059">
        <w:rPr>
          <w:szCs w:val="26"/>
        </w:rPr>
        <w:t>25</w:t>
      </w:r>
      <w:r>
        <w:rPr>
          <w:szCs w:val="26"/>
        </w:rPr>
        <w:t xml:space="preserve">; </w:t>
      </w:r>
      <w:r>
        <w:t>Reactive Service Providers Initial Comments at 21-23.</w:t>
      </w:r>
    </w:p>
  </w:footnote>
  <w:footnote w:id="490">
    <w:p w:rsidR="00493A80" w14:paraId="127CB0CE" w14:textId="5C2D16EF">
      <w:pPr>
        <w:pStyle w:val="FootnoteText"/>
      </w:pPr>
      <w:r>
        <w:rPr>
          <w:rStyle w:val="FootnoteReference"/>
        </w:rPr>
        <w:footnoteRef/>
      </w:r>
      <w:r>
        <w:t xml:space="preserve"> </w:t>
      </w:r>
      <w:r w:rsidR="000E01D2">
        <w:t>NYISO Initial Comments at 7</w:t>
      </w:r>
      <w:r w:rsidR="00DC7DCC">
        <w:t>.</w:t>
      </w:r>
    </w:p>
  </w:footnote>
  <w:footnote w:id="491">
    <w:p w:rsidR="00493A80" w14:paraId="5C92EC78" w14:textId="059A3CB1">
      <w:pPr>
        <w:pStyle w:val="FootnoteText"/>
      </w:pPr>
      <w:r>
        <w:rPr>
          <w:rStyle w:val="FootnoteReference"/>
        </w:rPr>
        <w:footnoteRef/>
      </w:r>
      <w:r>
        <w:t xml:space="preserve"> </w:t>
      </w:r>
      <w:r w:rsidR="00F22768">
        <w:rPr>
          <w:i/>
          <w:iCs/>
        </w:rPr>
        <w:t>Id.</w:t>
      </w:r>
      <w:r>
        <w:t xml:space="preserve"> at 9</w:t>
      </w:r>
      <w:r w:rsidR="00DC7DCC">
        <w:t>.</w:t>
      </w:r>
    </w:p>
  </w:footnote>
  <w:footnote w:id="492">
    <w:p w:rsidR="00D56DA4" w:rsidP="00D56DA4" w14:paraId="7EFDBFA9" w14:textId="20400632">
      <w:pPr>
        <w:pStyle w:val="FootnoteText"/>
      </w:pPr>
      <w:r>
        <w:rPr>
          <w:rStyle w:val="FootnoteReference"/>
        </w:rPr>
        <w:footnoteRef/>
      </w:r>
      <w:r>
        <w:t xml:space="preserve"> Elevate </w:t>
      </w:r>
      <w:r w:rsidR="00167CF5">
        <w:t xml:space="preserve">Reply </w:t>
      </w:r>
      <w:r>
        <w:t xml:space="preserve">Comments at 6-7 (citing </w:t>
      </w:r>
      <w:r w:rsidR="000E2D61">
        <w:t>Energy Storage News</w:t>
      </w:r>
      <w:r w:rsidRPr="00F625EF">
        <w:t xml:space="preserve">, </w:t>
      </w:r>
      <w:r w:rsidRPr="00C06B6B">
        <w:rPr>
          <w:i/>
          <w:iCs/>
        </w:rPr>
        <w:t>Europe’s largest transmission-connected BESS begins ‘world first’ reactive power services contract</w:t>
      </w:r>
      <w:r w:rsidRPr="00F625EF">
        <w:t xml:space="preserve">, </w:t>
      </w:r>
      <w:r w:rsidR="000E2D61">
        <w:t xml:space="preserve">  </w:t>
      </w:r>
      <w:r w:rsidRPr="00F625EF">
        <w:t>(Feb. 13, 2023), https://www.energy-storage.news/europes-largest</w:t>
      </w:r>
      <w:r>
        <w:t>-</w:t>
      </w:r>
      <w:r w:rsidRPr="00F625EF">
        <w:t>transmission-connected-bess-begins-world-first-reactive-power-services-contract/</w:t>
      </w:r>
      <w:r>
        <w:t>).</w:t>
      </w:r>
    </w:p>
  </w:footnote>
  <w:footnote w:id="493">
    <w:p w:rsidR="00D56DA4" w:rsidP="00E768DE" w14:paraId="67AEA849" w14:textId="15821292">
      <w:pPr>
        <w:pStyle w:val="FootnoteText"/>
        <w:widowControl/>
      </w:pPr>
      <w:r>
        <w:rPr>
          <w:rStyle w:val="FootnoteReference"/>
        </w:rPr>
        <w:footnoteRef/>
      </w:r>
      <w:r>
        <w:t xml:space="preserve"> </w:t>
      </w:r>
      <w:r w:rsidR="00AB715A">
        <w:rPr>
          <w:i/>
          <w:iCs/>
        </w:rPr>
        <w:t>Id.</w:t>
      </w:r>
      <w:r>
        <w:t xml:space="preserve"> at 7 (citing E</w:t>
      </w:r>
      <w:r w:rsidRPr="00DD4659">
        <w:t xml:space="preserve">SO, </w:t>
      </w:r>
      <w:r w:rsidRPr="000E2D61">
        <w:rPr>
          <w:i/>
          <w:iCs/>
        </w:rPr>
        <w:t>Obligatory Reactive Power Service</w:t>
      </w:r>
      <w:r w:rsidRPr="00DD4659">
        <w:t>, https://www.nationalgrideso.com/industry</w:t>
      </w:r>
      <w:r>
        <w:t>-</w:t>
      </w:r>
      <w:r w:rsidRPr="00DD4659">
        <w:t>information/balancing-services/reactive-power-services/obligatory-reactive-power-service#Document-Library (last visited June 26, 2024)</w:t>
      </w:r>
      <w:r w:rsidR="00A42EC1">
        <w:t>;</w:t>
      </w:r>
      <w:r>
        <w:t xml:space="preserve"> </w:t>
      </w:r>
      <w:r w:rsidRPr="00DD4659">
        <w:t xml:space="preserve">ESO, </w:t>
      </w:r>
      <w:r w:rsidRPr="000E2D61">
        <w:rPr>
          <w:i/>
          <w:iCs/>
        </w:rPr>
        <w:t>Enhanced Reactive Power Service</w:t>
      </w:r>
      <w:r w:rsidRPr="00DD4659">
        <w:t>, https://www.nationalgrideso.com/industry</w:t>
      </w:r>
      <w:r>
        <w:t>-</w:t>
      </w:r>
      <w:r w:rsidRPr="00DD4659">
        <w:t>information/balancing-services/reactive-power-services/enhanced-reactive-power-service-erps#Document-library (last visited June 26, 2024)</w:t>
      </w:r>
      <w:r>
        <w:t>).</w:t>
      </w:r>
    </w:p>
  </w:footnote>
  <w:footnote w:id="494">
    <w:p w:rsidR="00BF364A" w14:paraId="08E4A466" w14:textId="16DA15C7">
      <w:pPr>
        <w:pStyle w:val="FootnoteText"/>
      </w:pPr>
      <w:r>
        <w:rPr>
          <w:rStyle w:val="FootnoteReference"/>
        </w:rPr>
        <w:footnoteRef/>
      </w:r>
      <w:r>
        <w:t xml:space="preserve"> </w:t>
      </w:r>
      <w:r w:rsidR="004C0196">
        <w:t xml:space="preserve">NOPR, </w:t>
      </w:r>
      <w:r w:rsidRPr="004F19E7" w:rsidR="004C0196">
        <w:t>186 FERC ¶</w:t>
      </w:r>
      <w:r w:rsidR="004C0196">
        <w:t> </w:t>
      </w:r>
      <w:r w:rsidRPr="004F19E7" w:rsidR="004C0196">
        <w:t>61,203</w:t>
      </w:r>
      <w:r w:rsidR="004C0196">
        <w:t xml:space="preserve"> at P 43.</w:t>
      </w:r>
    </w:p>
  </w:footnote>
  <w:footnote w:id="495">
    <w:p w:rsidR="00A063CF" w:rsidRPr="00504C1D" w:rsidP="00484FF4" w14:paraId="1AE80218" w14:textId="01B8E526">
      <w:pPr>
        <w:pStyle w:val="FootnoteText"/>
        <w:widowControl/>
        <w:rPr>
          <w:i/>
        </w:rPr>
      </w:pPr>
      <w:r w:rsidRPr="00CD2C9F">
        <w:rPr>
          <w:rStyle w:val="FootnoteReference"/>
        </w:rPr>
        <w:footnoteRef/>
      </w:r>
      <w:r w:rsidRPr="00CD2C9F">
        <w:t xml:space="preserve"> </w:t>
      </w:r>
      <w:r w:rsidR="00FE3C1B">
        <w:t xml:space="preserve">Joint Consumer Advocates Initial Comments at 6-8; Joint Customers Reply Comments at 1-2; MISO Initial Comments at 2; MISO Transmission Owners Initial Comments at 12-16; New England Consumer Advocates Initial Comments at 4-5; Ohio FEA Initial Comments at 4; PGE Initial Comments at 2-3; PJM IMM Initial Comments </w:t>
      </w:r>
      <w:r w:rsidR="000E2D61">
        <w:t xml:space="preserve">  </w:t>
      </w:r>
      <w:r w:rsidR="00FE3C1B">
        <w:t>at 11-12</w:t>
      </w:r>
      <w:r w:rsidR="00997664">
        <w:t xml:space="preserve">.  </w:t>
      </w:r>
      <w:r w:rsidR="00997664">
        <w:rPr>
          <w:i/>
          <w:iCs/>
        </w:rPr>
        <w:t>See also</w:t>
      </w:r>
      <w:r w:rsidR="00663879">
        <w:t xml:space="preserve"> </w:t>
      </w:r>
      <w:r w:rsidR="00132070">
        <w:t xml:space="preserve">Order No. 842, </w:t>
      </w:r>
      <w:r w:rsidRPr="00DE6C9A" w:rsidR="00522314">
        <w:t>162 FERC ¶</w:t>
      </w:r>
      <w:r w:rsidR="00522314">
        <w:t> </w:t>
      </w:r>
      <w:r w:rsidRPr="00DE6C9A" w:rsidR="00522314">
        <w:t>61,128 ( “</w:t>
      </w:r>
      <w:r w:rsidR="002D0BF0">
        <w:t>[T]</w:t>
      </w:r>
      <w:r w:rsidRPr="00DE6C9A" w:rsidR="002D0BF0">
        <w:t xml:space="preserve">here </w:t>
      </w:r>
      <w:r w:rsidRPr="00DE6C9A" w:rsidR="00522314">
        <w:t>are interconnection requirements for generating facilities in which the recovery of capital costs and operating expenses are not necessarily ensured.”)</w:t>
      </w:r>
      <w:r w:rsidR="00522314">
        <w:t>.</w:t>
      </w:r>
    </w:p>
  </w:footnote>
  <w:footnote w:id="496">
    <w:p w:rsidR="000E68A8" w14:paraId="1B88367F" w14:textId="5E0F1BFE">
      <w:pPr>
        <w:pStyle w:val="FootnoteText"/>
      </w:pPr>
      <w:r>
        <w:rPr>
          <w:rStyle w:val="FootnoteReference"/>
        </w:rPr>
        <w:footnoteRef/>
      </w:r>
      <w:r>
        <w:t xml:space="preserve"> </w:t>
      </w:r>
      <w:r w:rsidR="00E83C26">
        <w:rPr>
          <w:i/>
          <w:iCs/>
        </w:rPr>
        <w:t>See, e.g</w:t>
      </w:r>
      <w:r w:rsidRPr="00C06B6B" w:rsidR="00E83C26">
        <w:t>,</w:t>
      </w:r>
      <w:r w:rsidR="00E83C26">
        <w:rPr>
          <w:i/>
          <w:iCs/>
        </w:rPr>
        <w:t xml:space="preserve"> </w:t>
      </w:r>
      <w:r w:rsidRPr="00CD2C9F" w:rsidR="00FB49FD">
        <w:rPr>
          <w:i/>
          <w:iCs/>
        </w:rPr>
        <w:t>MISO</w:t>
      </w:r>
      <w:r w:rsidRPr="00CD2C9F" w:rsidR="00FB49FD">
        <w:t>, 182 FERC ¶ 61,033</w:t>
      </w:r>
      <w:r w:rsidR="00124C9B">
        <w:t xml:space="preserve"> (accepting MISO transmission owners</w:t>
      </w:r>
      <w:r w:rsidR="00A74156">
        <w:t>’</w:t>
      </w:r>
      <w:r w:rsidR="00124C9B">
        <w:t xml:space="preserve"> </w:t>
      </w:r>
      <w:r w:rsidR="000351A6">
        <w:t xml:space="preserve">proposal to eliminate compensation </w:t>
      </w:r>
      <w:r w:rsidR="00086A89">
        <w:t>for the provision of reactive power within the standard power factor range)</w:t>
      </w:r>
      <w:r w:rsidR="00124C9B">
        <w:t xml:space="preserve">; </w:t>
      </w:r>
      <w:r w:rsidRPr="00DE6C9A" w:rsidR="00003CF6">
        <w:rPr>
          <w:i/>
          <w:iCs/>
        </w:rPr>
        <w:t>Cal. Indep. Sys. Operator Corp.</w:t>
      </w:r>
      <w:r w:rsidRPr="00DE6C9A" w:rsidR="00003CF6">
        <w:t>, 160 FERC ¶</w:t>
      </w:r>
      <w:r w:rsidR="00003CF6">
        <w:t> </w:t>
      </w:r>
      <w:r w:rsidRPr="00DE6C9A" w:rsidR="00003CF6">
        <w:t xml:space="preserve">61,035 </w:t>
      </w:r>
      <w:r w:rsidR="000E2D61">
        <w:t xml:space="preserve">       </w:t>
      </w:r>
      <w:r w:rsidRPr="00DE6C9A" w:rsidR="00003CF6">
        <w:t>at P</w:t>
      </w:r>
      <w:r w:rsidR="00003CF6">
        <w:t> </w:t>
      </w:r>
      <w:r w:rsidRPr="00DE6C9A" w:rsidR="00003CF6">
        <w:t>19</w:t>
      </w:r>
      <w:r w:rsidR="00182081">
        <w:t xml:space="preserve"> ( </w:t>
      </w:r>
      <w:r w:rsidRPr="00DE6C9A" w:rsidR="00003CF6">
        <w:t>“</w:t>
      </w:r>
      <w:r w:rsidR="006C6ADD">
        <w:t>[A]</w:t>
      </w:r>
      <w:r w:rsidRPr="00DE6C9A" w:rsidR="006C6ADD">
        <w:t xml:space="preserve"> </w:t>
      </w:r>
      <w:r w:rsidRPr="00DE6C9A" w:rsidR="00003CF6">
        <w:t>separate payment for the provision of reactive power capability inside the standard power factor range is not required, and we see no reason to require a separate cost recovery mechanism for reactive power capability based on the record here.”</w:t>
      </w:r>
      <w:r w:rsidR="002E0301">
        <w:t xml:space="preserve">); </w:t>
      </w:r>
      <w:r w:rsidRPr="00DE6C9A" w:rsidR="00003CF6">
        <w:rPr>
          <w:i/>
          <w:iCs/>
        </w:rPr>
        <w:t>PNM</w:t>
      </w:r>
      <w:r w:rsidRPr="00DE6C9A" w:rsidR="00003CF6">
        <w:t>, 178 FERC ¶</w:t>
      </w:r>
      <w:r w:rsidR="00003CF6">
        <w:t> </w:t>
      </w:r>
      <w:r w:rsidRPr="00DE6C9A" w:rsidR="00003CF6">
        <w:t>61,088 at P</w:t>
      </w:r>
      <w:r w:rsidR="00003CF6">
        <w:t> </w:t>
      </w:r>
      <w:r w:rsidRPr="00DE6C9A" w:rsidR="00003CF6">
        <w:t>29</w:t>
      </w:r>
      <w:r w:rsidR="00003CF6">
        <w:t xml:space="preserve"> </w:t>
      </w:r>
      <w:r w:rsidRPr="00DE6C9A" w:rsidR="00003CF6">
        <w:t>(“Consistent with Commission precedent, a transmission provider may decide to eliminate compensation for having the capability of providing reactive service within the standard power factor range.”)</w:t>
      </w:r>
      <w:r w:rsidR="002E0301">
        <w:t>.</w:t>
      </w:r>
    </w:p>
  </w:footnote>
  <w:footnote w:id="497">
    <w:p w:rsidR="00C84FCA" w:rsidRPr="004C1D1E" w:rsidP="00484FF4" w14:paraId="285F7DCB" w14:textId="3FA28086">
      <w:pPr>
        <w:pStyle w:val="FootnoteText"/>
        <w:widowControl/>
        <w:rPr>
          <w:szCs w:val="26"/>
        </w:rPr>
      </w:pPr>
      <w:r w:rsidRPr="004C1D1E">
        <w:rPr>
          <w:rStyle w:val="FootnoteReference"/>
          <w:szCs w:val="26"/>
        </w:rPr>
        <w:footnoteRef/>
      </w:r>
      <w:r w:rsidRPr="004C1D1E">
        <w:rPr>
          <w:szCs w:val="26"/>
        </w:rPr>
        <w:t xml:space="preserve"> </w:t>
      </w:r>
      <w:r>
        <w:rPr>
          <w:szCs w:val="26"/>
        </w:rPr>
        <w:t>Clean Energy Associat</w:t>
      </w:r>
      <w:r w:rsidR="00185214">
        <w:rPr>
          <w:szCs w:val="26"/>
        </w:rPr>
        <w:t>ions</w:t>
      </w:r>
      <w:r>
        <w:rPr>
          <w:szCs w:val="26"/>
        </w:rPr>
        <w:t xml:space="preserve"> </w:t>
      </w:r>
      <w:r w:rsidR="00B92E0F">
        <w:rPr>
          <w:szCs w:val="26"/>
        </w:rPr>
        <w:t xml:space="preserve">Initial Comments </w:t>
      </w:r>
      <w:r>
        <w:rPr>
          <w:szCs w:val="26"/>
        </w:rPr>
        <w:t xml:space="preserve">at 5; </w:t>
      </w:r>
      <w:r w:rsidRPr="007C2B93">
        <w:rPr>
          <w:szCs w:val="26"/>
        </w:rPr>
        <w:t xml:space="preserve">Indicated Trade Associations Initial Comments at </w:t>
      </w:r>
      <w:r w:rsidRPr="004C1D1E">
        <w:rPr>
          <w:szCs w:val="26"/>
        </w:rPr>
        <w:t>18-19</w:t>
      </w:r>
      <w:r>
        <w:rPr>
          <w:szCs w:val="26"/>
        </w:rPr>
        <w:t xml:space="preserve">; </w:t>
      </w:r>
      <w:r w:rsidRPr="00454D81">
        <w:rPr>
          <w:szCs w:val="26"/>
        </w:rPr>
        <w:t>Indicated Trade Associations Reply Comments at 12</w:t>
      </w:r>
      <w:r w:rsidR="00D06BB7">
        <w:rPr>
          <w:szCs w:val="26"/>
        </w:rPr>
        <w:t xml:space="preserve">; </w:t>
      </w:r>
      <w:r w:rsidR="00D06BB7">
        <w:t>NEPOOL Reply Comments at 12</w:t>
      </w:r>
      <w:r w:rsidR="005875FB">
        <w:rPr>
          <w:szCs w:val="26"/>
        </w:rPr>
        <w:t>;</w:t>
      </w:r>
      <w:r w:rsidRPr="009F6D2C" w:rsidR="009F6D2C">
        <w:t xml:space="preserve"> </w:t>
      </w:r>
      <w:r w:rsidR="009F6D2C">
        <w:t>Elevate Initial Comments at 4-9; Elevate Reply Comments at 4-6; NEI Initial Comments at 6</w:t>
      </w:r>
      <w:r w:rsidR="00C91DB8">
        <w:t>, 15</w:t>
      </w:r>
      <w:r w:rsidR="009F6D2C">
        <w:t xml:space="preserve">; </w:t>
      </w:r>
      <w:r w:rsidRPr="0080648E" w:rsidR="009F6D2C">
        <w:t xml:space="preserve">NHA Initial Comments at </w:t>
      </w:r>
      <w:r w:rsidR="009F6D2C">
        <w:t>2</w:t>
      </w:r>
      <w:r w:rsidR="00807C3E">
        <w:t>, 4</w:t>
      </w:r>
      <w:r w:rsidR="009F6D2C">
        <w:t>.</w:t>
      </w:r>
    </w:p>
  </w:footnote>
  <w:footnote w:id="498">
    <w:p w:rsidR="00AB405E" w:rsidRPr="00CD2C9F" w:rsidP="00AB405E" w14:paraId="16D39606" w14:textId="5355CA80">
      <w:pPr>
        <w:pStyle w:val="FootnoteText"/>
      </w:pPr>
      <w:r w:rsidRPr="00CD2C9F">
        <w:rPr>
          <w:rStyle w:val="FootnoteReference"/>
        </w:rPr>
        <w:footnoteRef/>
      </w:r>
      <w:r w:rsidRPr="00CD2C9F">
        <w:t xml:space="preserve"> CAISO Initial Comments </w:t>
      </w:r>
      <w:r>
        <w:t>to the NOI</w:t>
      </w:r>
      <w:r w:rsidRPr="00CD2C9F">
        <w:t xml:space="preserve"> at 5</w:t>
      </w:r>
      <w:r>
        <w:t>-6 (explain</w:t>
      </w:r>
      <w:r w:rsidR="00967967">
        <w:t>ing</w:t>
      </w:r>
      <w:r>
        <w:t xml:space="preserve"> </w:t>
      </w:r>
      <w:r w:rsidRPr="008C312B">
        <w:t xml:space="preserve">that despite the fact that it does not compensate for reactive power within the standard power factor range, </w:t>
      </w:r>
      <w:r>
        <w:t>CAISO</w:t>
      </w:r>
      <w:r w:rsidRPr="008C312B">
        <w:t xml:space="preserve"> “has seen no evidence to this point that resources cannot comply with reactive power dispatch instructions because they have insufficient funds for the equipment to meet the reactive power dispatch</w:t>
      </w:r>
      <w:r>
        <w:t>”); MISO Transmission Owners Initial Comments at 15 (“</w:t>
      </w:r>
      <w:r w:rsidRPr="0086622B">
        <w:t>The claim that generators may have to retire units in the absence of compensation</w:t>
      </w:r>
      <w:r>
        <w:t xml:space="preserve"> </w:t>
      </w:r>
      <w:r w:rsidRPr="0086622B">
        <w:t xml:space="preserve">for reactive power service within the deadband is pure speculation. </w:t>
      </w:r>
      <w:r>
        <w:t xml:space="preserve"> </w:t>
      </w:r>
      <w:r w:rsidRPr="0086622B">
        <w:t>Prior to the elimination</w:t>
      </w:r>
      <w:r>
        <w:t xml:space="preserve"> </w:t>
      </w:r>
      <w:r w:rsidRPr="0086622B">
        <w:t>of compensation for reactive power within the deadband in MISO, a number of generators</w:t>
      </w:r>
      <w:r>
        <w:t xml:space="preserve"> </w:t>
      </w:r>
      <w:r w:rsidRPr="0086622B">
        <w:t>in MISO operated without compensation for reactive power within the deadband as they</w:t>
      </w:r>
      <w:r>
        <w:t xml:space="preserve"> </w:t>
      </w:r>
      <w:r w:rsidRPr="0086622B">
        <w:t xml:space="preserve">did not file their revenue requirements for reactive power when their projects came </w:t>
      </w:r>
      <w:r w:rsidR="000E2D61">
        <w:t xml:space="preserve">     </w:t>
      </w:r>
      <w:r w:rsidRPr="0086622B">
        <w:t>on-line.</w:t>
      </w:r>
      <w:r>
        <w:t>”).</w:t>
      </w:r>
    </w:p>
  </w:footnote>
  <w:footnote w:id="499">
    <w:p w:rsidR="00DE7489" w:rsidP="00DE7489" w14:paraId="485608AD" w14:textId="420AC343">
      <w:pPr>
        <w:pStyle w:val="FootnoteText"/>
      </w:pPr>
      <w:r>
        <w:rPr>
          <w:rStyle w:val="FootnoteReference"/>
        </w:rPr>
        <w:footnoteRef/>
      </w:r>
      <w:r w:rsidR="00F07E1D">
        <w:t xml:space="preserve"> </w:t>
      </w:r>
      <w:r>
        <w:t>TAPS Initial Comments at 5.</w:t>
      </w:r>
    </w:p>
  </w:footnote>
  <w:footnote w:id="500">
    <w:p w:rsidR="000A7CC7" w:rsidP="000A7CC7" w14:paraId="18313E55" w14:textId="40F4F908">
      <w:pPr>
        <w:pStyle w:val="FootnoteText"/>
      </w:pPr>
      <w:r>
        <w:rPr>
          <w:rStyle w:val="FootnoteReference"/>
        </w:rPr>
        <w:footnoteRef/>
      </w:r>
      <w:r>
        <w:t xml:space="preserve"> </w:t>
      </w:r>
      <w:r w:rsidR="005F426C">
        <w:rPr>
          <w:i/>
          <w:iCs/>
        </w:rPr>
        <w:t>See, e.g.,</w:t>
      </w:r>
      <w:r>
        <w:rPr>
          <w:i/>
        </w:rPr>
        <w:t xml:space="preserve"> </w:t>
      </w:r>
      <w:r w:rsidR="000F44C1">
        <w:t>Joint Customers Reply Comments at</w:t>
      </w:r>
      <w:r>
        <w:t xml:space="preserve"> </w:t>
      </w:r>
      <w:r w:rsidR="000B65AF">
        <w:t>6 (arguing</w:t>
      </w:r>
      <w:r w:rsidRPr="000B65AF" w:rsidR="000B65AF">
        <w:t xml:space="preserve"> that there is a “lack of concrete evidence of adverse reliability impacts (including in regions where this exact change has been implemented)” in the record and </w:t>
      </w:r>
      <w:r w:rsidR="00700391">
        <w:t xml:space="preserve">that </w:t>
      </w:r>
      <w:r w:rsidRPr="000B65AF" w:rsidR="000B65AF">
        <w:t>commenters’ concern that “if there is not an unjustifiable free revenue stream ostensibly related to reactive service and capability, there will not be sufficient generation for real power and capacity at some unspecified point in the future” is “speculative to the point of incoherence</w:t>
      </w:r>
      <w:r w:rsidR="00837F44">
        <w:t xml:space="preserve">”); </w:t>
      </w:r>
      <w:r>
        <w:t>TAPS Initial Comments at 5; MISO</w:t>
      </w:r>
      <w:r w:rsidRPr="008E571E">
        <w:t xml:space="preserve"> </w:t>
      </w:r>
      <w:r>
        <w:t xml:space="preserve">Initial Comments at 2 (explaining that it </w:t>
      </w:r>
      <w:r w:rsidRPr="008E571E">
        <w:t>would not expect to see any effect on reliability through eliminating compensation for reactive power within the standard power factor range and in fact, MISO has not experienced reliability concerns since December 1, 2022 due to the elimination of compensation for reactive power within the standard power factor range</w:t>
      </w:r>
      <w:r>
        <w:t>).</w:t>
      </w:r>
      <w:r w:rsidR="006246F6">
        <w:t xml:space="preserve">  </w:t>
      </w:r>
      <w:r w:rsidRPr="00CD2C9F" w:rsidR="006246F6">
        <w:rPr>
          <w:i/>
          <w:iCs/>
        </w:rPr>
        <w:t xml:space="preserve">See </w:t>
      </w:r>
      <w:r w:rsidR="006246F6">
        <w:rPr>
          <w:i/>
          <w:iCs/>
        </w:rPr>
        <w:t xml:space="preserve">also </w:t>
      </w:r>
      <w:r w:rsidRPr="00CD2C9F" w:rsidR="006246F6">
        <w:t>Order No. 842,</w:t>
      </w:r>
      <w:r w:rsidR="006246F6">
        <w:t xml:space="preserve"> </w:t>
      </w:r>
      <w:r w:rsidRPr="00CD2C9F" w:rsidR="006246F6">
        <w:t xml:space="preserve">162 FERC ¶ 61,128 at P 121 (“While the Commission has approved specific compensation for discrete services that require substantial identifiable costs, such as for frequency regulation and operating reserves, the Commission has not required specific compensation for all </w:t>
      </w:r>
      <w:r w:rsidR="000E2D61">
        <w:t xml:space="preserve">            </w:t>
      </w:r>
      <w:r w:rsidRPr="00CD2C9F" w:rsidR="006246F6">
        <w:t>reliability-related costs.  We agree with those commenters who observe that minimal reliability-related costs such as those incurred to provide primary frequency response, are reasonably considered to be part of the general cost of doing business, and are not specifically compensated.”)</w:t>
      </w:r>
      <w:r w:rsidR="006246F6">
        <w:t>.</w:t>
      </w:r>
    </w:p>
  </w:footnote>
  <w:footnote w:id="501">
    <w:p w:rsidR="00CF2AEC" w:rsidP="00CF2AEC" w14:paraId="05BFFFCA" w14:textId="3B919C75">
      <w:pPr>
        <w:pStyle w:val="FootnoteText"/>
      </w:pPr>
      <w:r>
        <w:rPr>
          <w:rStyle w:val="FootnoteReference"/>
        </w:rPr>
        <w:footnoteRef/>
      </w:r>
      <w:r w:rsidR="002608F3">
        <w:t xml:space="preserve"> </w:t>
      </w:r>
      <w:r w:rsidRPr="002608F3" w:rsidR="002608F3">
        <w:rPr>
          <w:i/>
          <w:iCs/>
        </w:rPr>
        <w:t>See, e.g.</w:t>
      </w:r>
      <w:r w:rsidRPr="002608F3" w:rsidR="002608F3">
        <w:t>,</w:t>
      </w:r>
      <w:r w:rsidRPr="002608F3" w:rsidR="002608F3">
        <w:rPr>
          <w:i/>
        </w:rPr>
        <w:t xml:space="preserve"> </w:t>
      </w:r>
      <w:r w:rsidR="002608F3">
        <w:t>MISO</w:t>
      </w:r>
      <w:r w:rsidR="00FA4C69">
        <w:rPr>
          <w:iCs/>
        </w:rPr>
        <w:t xml:space="preserve"> Rehearing Order</w:t>
      </w:r>
      <w:r w:rsidRPr="002608F3" w:rsidR="002608F3">
        <w:t xml:space="preserve">, 184 FERC ¶ 61,022 at P 23 (citing </w:t>
      </w:r>
      <w:r w:rsidR="00D42978">
        <w:t>METC Rehearing Order</w:t>
      </w:r>
      <w:r w:rsidRPr="002608F3" w:rsidR="002608F3">
        <w:t>, 97 FERC at 61,852-53).</w:t>
      </w:r>
    </w:p>
  </w:footnote>
  <w:footnote w:id="502">
    <w:p w:rsidR="005A4211" w:rsidRPr="00454D81" w:rsidP="005A4211" w14:paraId="5B52A1BA" w14:textId="77777777">
      <w:pPr>
        <w:pStyle w:val="FootnoteText"/>
        <w:rPr>
          <w:szCs w:val="26"/>
        </w:rPr>
      </w:pPr>
      <w:r w:rsidRPr="00454D81">
        <w:rPr>
          <w:rStyle w:val="FootnoteReference"/>
          <w:szCs w:val="26"/>
        </w:rPr>
        <w:footnoteRef/>
      </w:r>
      <w:r w:rsidRPr="00454D81">
        <w:rPr>
          <w:szCs w:val="26"/>
        </w:rPr>
        <w:t xml:space="preserve"> Indicated Trade Associations Reply Comments at 12.</w:t>
      </w:r>
    </w:p>
  </w:footnote>
  <w:footnote w:id="503">
    <w:p w:rsidR="005A4211" w:rsidRPr="004C1D1E" w:rsidP="005A4211" w14:paraId="0C133357" w14:textId="77777777">
      <w:pPr>
        <w:pStyle w:val="FootnoteText"/>
        <w:rPr>
          <w:szCs w:val="26"/>
        </w:rPr>
      </w:pPr>
      <w:r w:rsidRPr="004C1D1E">
        <w:rPr>
          <w:rStyle w:val="FootnoteReference"/>
          <w:szCs w:val="26"/>
        </w:rPr>
        <w:footnoteRef/>
      </w:r>
      <w:r>
        <w:rPr>
          <w:szCs w:val="26"/>
        </w:rPr>
        <w:t xml:space="preserve"> </w:t>
      </w:r>
      <w:r w:rsidRPr="007C2B93">
        <w:rPr>
          <w:szCs w:val="26"/>
        </w:rPr>
        <w:t>Indicated Trade Associations Initial Comments at</w:t>
      </w:r>
      <w:r w:rsidRPr="004C1D1E">
        <w:rPr>
          <w:szCs w:val="26"/>
        </w:rPr>
        <w:t xml:space="preserve"> 21.</w:t>
      </w:r>
    </w:p>
  </w:footnote>
  <w:footnote w:id="504">
    <w:p w:rsidR="00460C4A" w:rsidRPr="008E4AEA" w:rsidP="00460C4A" w14:paraId="1799968F" w14:textId="77777777">
      <w:pPr>
        <w:pStyle w:val="FootnoteText"/>
      </w:pPr>
      <w:r w:rsidRPr="008E4AEA">
        <w:rPr>
          <w:rStyle w:val="FootnoteReference"/>
        </w:rPr>
        <w:footnoteRef/>
      </w:r>
      <w:r w:rsidRPr="008E4AEA">
        <w:t xml:space="preserve"> NYISO Initial Comments at 5-7.</w:t>
      </w:r>
    </w:p>
  </w:footnote>
  <w:footnote w:id="505">
    <w:p w:rsidR="00CE7190" w:rsidP="00CE7190" w14:paraId="476D76A3" w14:textId="77777777">
      <w:pPr>
        <w:pStyle w:val="FootnoteText"/>
      </w:pPr>
      <w:r>
        <w:rPr>
          <w:rStyle w:val="FootnoteReference"/>
        </w:rPr>
        <w:footnoteRef/>
      </w:r>
      <w:r>
        <w:t xml:space="preserve"> </w:t>
      </w:r>
      <w:r w:rsidRPr="00B300CE">
        <w:rPr>
          <w:i/>
          <w:iCs/>
        </w:rPr>
        <w:t>See, e.g.</w:t>
      </w:r>
      <w:r w:rsidRPr="00D374EE">
        <w:t>,</w:t>
      </w:r>
      <w:r>
        <w:t xml:space="preserve"> Joint Consumer Advocates Initial Comments at 6-8; Joint Customers Reply Comments at 1-2; MISO Transmission Owners Initial Comments at 12-16.</w:t>
      </w:r>
    </w:p>
  </w:footnote>
  <w:footnote w:id="506">
    <w:p w:rsidR="00F53061" w:rsidRPr="009F4059" w:rsidP="00F53061" w14:paraId="27112BD4" w14:textId="77777777">
      <w:pPr>
        <w:pStyle w:val="FootnoteText"/>
        <w:rPr>
          <w:szCs w:val="26"/>
        </w:rPr>
      </w:pPr>
      <w:r w:rsidRPr="009F4059">
        <w:rPr>
          <w:rStyle w:val="FootnoteReference"/>
          <w:szCs w:val="26"/>
        </w:rPr>
        <w:footnoteRef/>
      </w:r>
      <w:r w:rsidRPr="009F4059">
        <w:rPr>
          <w:szCs w:val="26"/>
        </w:rPr>
        <w:t xml:space="preserve"> </w:t>
      </w:r>
      <w:r w:rsidRPr="00AE3B35">
        <w:rPr>
          <w:szCs w:val="26"/>
        </w:rPr>
        <w:t xml:space="preserve">Generation Developers </w:t>
      </w:r>
      <w:r>
        <w:rPr>
          <w:szCs w:val="26"/>
        </w:rPr>
        <w:t xml:space="preserve">Initial Comments at </w:t>
      </w:r>
      <w:r w:rsidRPr="009F4059">
        <w:rPr>
          <w:szCs w:val="26"/>
        </w:rPr>
        <w:t>25</w:t>
      </w:r>
      <w:r>
        <w:rPr>
          <w:szCs w:val="26"/>
        </w:rPr>
        <w:t xml:space="preserve">; </w:t>
      </w:r>
      <w:r>
        <w:t>Reactive Service Providers Initial Comments at 21-23.</w:t>
      </w:r>
    </w:p>
  </w:footnote>
  <w:footnote w:id="507">
    <w:p w:rsidR="0064703F" w14:paraId="25ADA77C" w14:textId="247CC459">
      <w:pPr>
        <w:pStyle w:val="FootnoteText"/>
      </w:pPr>
      <w:r>
        <w:rPr>
          <w:rStyle w:val="FootnoteReference"/>
        </w:rPr>
        <w:footnoteRef/>
      </w:r>
      <w:r>
        <w:t xml:space="preserve"> </w:t>
      </w:r>
      <w:r w:rsidRPr="00BB5809" w:rsidR="00CD048C">
        <w:rPr>
          <w:i/>
        </w:rPr>
        <w:t>See supra</w:t>
      </w:r>
      <w:r w:rsidR="00CD048C">
        <w:t xml:space="preserve"> </w:t>
      </w:r>
      <w:r w:rsidR="000E2D61">
        <w:t>II.B.2</w:t>
      </w:r>
      <w:r w:rsidR="00CD048C">
        <w:t>.</w:t>
      </w:r>
    </w:p>
  </w:footnote>
  <w:footnote w:id="508">
    <w:p w:rsidR="00065AE7" w:rsidP="00065AE7" w14:paraId="28EAE818" w14:textId="0221682C">
      <w:pPr>
        <w:pStyle w:val="FootnoteText"/>
      </w:pPr>
      <w:r>
        <w:rPr>
          <w:rStyle w:val="FootnoteReference"/>
        </w:rPr>
        <w:footnoteRef/>
      </w:r>
      <w:r>
        <w:t xml:space="preserve"> </w:t>
      </w:r>
      <w:r w:rsidRPr="00C06B6B" w:rsidR="007C7AC4">
        <w:rPr>
          <w:i/>
          <w:iCs/>
        </w:rPr>
        <w:t>Supra</w:t>
      </w:r>
      <w:r w:rsidR="007C7AC4">
        <w:t xml:space="preserve"> n.</w:t>
      </w:r>
      <w:r w:rsidR="000E2D61">
        <w:t>508</w:t>
      </w:r>
      <w:r w:rsidR="007C7AC4">
        <w:t>.</w:t>
      </w:r>
    </w:p>
  </w:footnote>
  <w:footnote w:id="509">
    <w:p w:rsidR="00065AE7" w:rsidP="00AD4427" w14:paraId="064CD6CC" w14:textId="6C319E4E">
      <w:pPr>
        <w:pStyle w:val="FootnoteText"/>
      </w:pPr>
      <w:r>
        <w:rPr>
          <w:rStyle w:val="FootnoteReference"/>
        </w:rPr>
        <w:footnoteRef/>
      </w:r>
      <w:r>
        <w:t xml:space="preserve"> </w:t>
      </w:r>
      <w:r w:rsidRPr="00C06B6B" w:rsidR="007A672C">
        <w:rPr>
          <w:i/>
          <w:iCs/>
        </w:rPr>
        <w:t>Supra</w:t>
      </w:r>
      <w:r w:rsidR="007A672C">
        <w:t xml:space="preserve"> n.</w:t>
      </w:r>
      <w:r w:rsidR="000E2D61">
        <w:t>509</w:t>
      </w:r>
      <w:r w:rsidR="007A672C">
        <w:t>.</w:t>
      </w:r>
      <w:r>
        <w:t xml:space="preserve"> </w:t>
      </w:r>
    </w:p>
  </w:footnote>
  <w:footnote w:id="510">
    <w:p w:rsidR="00D834C9" w:rsidP="00D834C9" w14:paraId="1D03337F" w14:textId="7A11644D">
      <w:pPr>
        <w:pStyle w:val="FootnoteText"/>
      </w:pPr>
      <w:r>
        <w:rPr>
          <w:rStyle w:val="FootnoteReference"/>
        </w:rPr>
        <w:footnoteRef/>
      </w:r>
      <w:r>
        <w:t xml:space="preserve"> </w:t>
      </w:r>
      <w:r>
        <w:rPr>
          <w:i/>
          <w:iCs/>
        </w:rPr>
        <w:t>See</w:t>
      </w:r>
      <w:r w:rsidRPr="001A4AF6">
        <w:t xml:space="preserve"> </w:t>
      </w:r>
      <w:r>
        <w:t xml:space="preserve">2005 Staff Report at 69; </w:t>
      </w:r>
      <w:r>
        <w:rPr>
          <w:i/>
          <w:iCs/>
        </w:rPr>
        <w:t>see also A</w:t>
      </w:r>
      <w:r w:rsidR="00C43E8D">
        <w:rPr>
          <w:i/>
          <w:iCs/>
        </w:rPr>
        <w:t>PS</w:t>
      </w:r>
      <w:r>
        <w:t>, 94 FERC at 61,080 (“</w:t>
      </w:r>
      <w:r w:rsidRPr="00513A9F">
        <w:t xml:space="preserve">We note that operating a generating unit within the proposed </w:t>
      </w:r>
      <w:r>
        <w:t>[standard power factor range]</w:t>
      </w:r>
      <w:r w:rsidRPr="00513A9F">
        <w:t xml:space="preserve"> does not affect the generation output of a unit.</w:t>
      </w:r>
      <w:r>
        <w:t>”).</w:t>
      </w:r>
    </w:p>
  </w:footnote>
  <w:footnote w:id="511">
    <w:p w:rsidR="00912FC1" w:rsidP="00484FF4" w14:paraId="5581E828" w14:textId="165EAE58">
      <w:pPr>
        <w:pStyle w:val="FootnoteText"/>
        <w:widowControl/>
      </w:pPr>
      <w:r>
        <w:rPr>
          <w:rStyle w:val="FootnoteReference"/>
        </w:rPr>
        <w:footnoteRef/>
      </w:r>
      <w:r>
        <w:t xml:space="preserve"> </w:t>
      </w:r>
      <w:r w:rsidRPr="00532DF2" w:rsidR="009322E3">
        <w:t xml:space="preserve">MISO </w:t>
      </w:r>
      <w:r w:rsidR="009322E3">
        <w:t xml:space="preserve">Transmission Owners </w:t>
      </w:r>
      <w:r w:rsidRPr="00532DF2" w:rsidR="009322E3">
        <w:t>Initial Comments at 13-14</w:t>
      </w:r>
      <w:r w:rsidR="009322E3">
        <w:t xml:space="preserve"> (</w:t>
      </w:r>
      <w:r w:rsidRPr="00532DF2" w:rsidR="00532DF2">
        <w:t>“</w:t>
      </w:r>
      <w:r w:rsidR="009322E3">
        <w:t>W</w:t>
      </w:r>
      <w:r w:rsidRPr="00532DF2" w:rsidR="00532DF2">
        <w:t xml:space="preserve">hen the MISO Transmission Owners proposed to eliminate compensation for producing reactive power within the deadband, the most common protest from generators was that it would impact the reliability of the grid. </w:t>
      </w:r>
      <w:r w:rsidR="00F2393A">
        <w:t xml:space="preserve"> </w:t>
      </w:r>
      <w:r w:rsidRPr="00532DF2" w:rsidR="00532DF2">
        <w:t>However, such claims are not supported by evidence and distract from the underlying fact that generators are obligated to provide reactive power within the deadband whether or not they are compensated for it</w:t>
      </w:r>
      <w:r w:rsidR="00F21DCD">
        <w:t xml:space="preserve"> . . .</w:t>
      </w:r>
      <w:r w:rsidRPr="00532DF2" w:rsidR="00302C0C">
        <w:t xml:space="preserve"> </w:t>
      </w:r>
      <w:r w:rsidRPr="00532DF2" w:rsidR="00532DF2">
        <w:t>MISO has since experienced no reliability issues as a result and generator interconnection applications, the first step of a process that ends with execution of an interconnection agreement that obligates the generator to provide reactive power within the deadband, remain high.”</w:t>
      </w:r>
      <w:r w:rsidR="009B49FF">
        <w:t xml:space="preserve"> (citations omitted)</w:t>
      </w:r>
      <w:r w:rsidR="009322E3">
        <w:t xml:space="preserve">); </w:t>
      </w:r>
      <w:r w:rsidRPr="009322E3" w:rsidR="009322E3">
        <w:t>PJM IMM Reply Comments at 5</w:t>
      </w:r>
      <w:r w:rsidR="009322E3">
        <w:t xml:space="preserve"> (“T</w:t>
      </w:r>
      <w:r w:rsidRPr="009322E3" w:rsidR="009322E3">
        <w:t>here is no evidence from any of the markets where this policy already exists that it has created a reliability issue.”</w:t>
      </w:r>
      <w:r w:rsidR="006F1C5D">
        <w:t>).</w:t>
      </w:r>
      <w:r w:rsidRPr="009322E3" w:rsidR="009322E3">
        <w:t xml:space="preserve">  </w:t>
      </w:r>
    </w:p>
  </w:footnote>
  <w:footnote w:id="512">
    <w:p w:rsidR="003D3F45" w14:paraId="5583D91D" w14:textId="1BEB5418">
      <w:pPr>
        <w:pStyle w:val="FootnoteText"/>
      </w:pPr>
      <w:r>
        <w:rPr>
          <w:rStyle w:val="FootnoteReference"/>
        </w:rPr>
        <w:footnoteRef/>
      </w:r>
      <w:r>
        <w:t xml:space="preserve"> </w:t>
      </w:r>
      <w:r w:rsidR="00213003">
        <w:t xml:space="preserve">NOPR, </w:t>
      </w:r>
      <w:r w:rsidRPr="004F19E7" w:rsidR="00213003">
        <w:t>186 FERC ¶</w:t>
      </w:r>
      <w:r w:rsidR="00D374EE">
        <w:t> </w:t>
      </w:r>
      <w:r w:rsidRPr="004F19E7" w:rsidR="00213003">
        <w:t>61,203</w:t>
      </w:r>
      <w:r w:rsidR="00213003">
        <w:t xml:space="preserve"> </w:t>
      </w:r>
      <w:r w:rsidR="007D46ED">
        <w:t>at P</w:t>
      </w:r>
      <w:r w:rsidR="00D374EE">
        <w:t> </w:t>
      </w:r>
      <w:r w:rsidR="00E8275E">
        <w:t>49.</w:t>
      </w:r>
    </w:p>
  </w:footnote>
  <w:footnote w:id="513">
    <w:p w:rsidR="00EE13F1" w:rsidRPr="00CD2C9F" w:rsidP="00EE13F1" w14:paraId="5FF8293B" w14:textId="49532E20">
      <w:pPr>
        <w:pStyle w:val="FootnoteText"/>
      </w:pPr>
      <w:r w:rsidRPr="00CD2C9F">
        <w:rPr>
          <w:rStyle w:val="FootnoteReference"/>
        </w:rPr>
        <w:footnoteRef/>
      </w:r>
      <w:r w:rsidRPr="00CD2C9F">
        <w:t xml:space="preserve"> </w:t>
      </w:r>
      <w:r w:rsidR="00F2393A">
        <w:rPr>
          <w:i/>
          <w:iCs/>
        </w:rPr>
        <w:t>Id.</w:t>
      </w:r>
      <w:r w:rsidR="003948E4">
        <w:t xml:space="preserve"> </w:t>
      </w:r>
      <w:r w:rsidR="00FB29BD">
        <w:t>P</w:t>
      </w:r>
      <w:r w:rsidR="00C05B45">
        <w:t> </w:t>
      </w:r>
      <w:r w:rsidR="00FB29BD">
        <w:t xml:space="preserve">16 (citing </w:t>
      </w:r>
      <w:r w:rsidRPr="00CD2C9F">
        <w:t>MISO Rehearing Order, 184 FERC ¶ 61,022 at P 29</w:t>
      </w:r>
      <w:r w:rsidR="00FB29BD">
        <w:t>)</w:t>
      </w:r>
      <w:r w:rsidR="00AF0C16">
        <w:t xml:space="preserve">; </w:t>
      </w:r>
      <w:r w:rsidRPr="008066A9" w:rsidR="008066A9">
        <w:t>MISO Rehearing Order, 184 FERC ¶ 61,022 at PP 29-31 (finding that providing reactive service requires “little or no incremental investment” by both synchronous and non-synchronous resources</w:t>
      </w:r>
      <w:r w:rsidRPr="008066A9" w:rsidR="008066A9">
        <w:t xml:space="preserve"> </w:t>
      </w:r>
      <w:r w:rsidRPr="008066A9" w:rsidR="008066A9">
        <w:t>);</w:t>
      </w:r>
      <w:r w:rsidRPr="008066A9" w:rsidR="008066A9">
        <w:t xml:space="preserve"> </w:t>
      </w:r>
      <w:r w:rsidRPr="008066A9" w:rsidR="008066A9">
        <w:rPr>
          <w:i/>
          <w:iCs/>
        </w:rPr>
        <w:t>PJM Interconnection, L.L.C.</w:t>
      </w:r>
      <w:r w:rsidRPr="008066A9" w:rsidR="008066A9">
        <w:t>, 151 FERC ¶ 61,097 at PP 7, 28 (finding that non-synchronous generating facilities are comparable to traditional synchronous generating facilities, in that there are for both types of generating facilities very little if any incremental costs incurred to provide reactive power)</w:t>
      </w:r>
      <w:r w:rsidRPr="00CD2C9F">
        <w:t>.</w:t>
      </w:r>
    </w:p>
  </w:footnote>
  <w:footnote w:id="514">
    <w:p w:rsidR="00D05078" w:rsidP="00D05078" w14:paraId="1984A936" w14:textId="77777777">
      <w:pPr>
        <w:pStyle w:val="FootnoteText"/>
      </w:pPr>
      <w:r>
        <w:rPr>
          <w:rStyle w:val="FootnoteReference"/>
        </w:rPr>
        <w:footnoteRef/>
      </w:r>
      <w:r>
        <w:t xml:space="preserve"> </w:t>
      </w:r>
      <w:r>
        <w:t>PGE Initial Comments at 5.</w:t>
      </w:r>
    </w:p>
  </w:footnote>
  <w:footnote w:id="515">
    <w:p w:rsidR="001242DF" w14:paraId="25170C70" w14:textId="337A0DBD">
      <w:pPr>
        <w:pStyle w:val="FootnoteText"/>
      </w:pPr>
      <w:r>
        <w:rPr>
          <w:rStyle w:val="FootnoteReference"/>
        </w:rPr>
        <w:footnoteRef/>
      </w:r>
      <w:r>
        <w:t xml:space="preserve"> </w:t>
      </w:r>
      <w:r w:rsidR="00490DDC">
        <w:t>MISO Transmission Owners Reply Comments at 3</w:t>
      </w:r>
      <w:r w:rsidR="00D14E47">
        <w:t>-7</w:t>
      </w:r>
      <w:r w:rsidR="00490DDC">
        <w:t>.</w:t>
      </w:r>
    </w:p>
  </w:footnote>
  <w:footnote w:id="516">
    <w:p w:rsidR="00FB3A3C" w:rsidP="00FB3A3C" w14:paraId="15B3DB38" w14:textId="24783268">
      <w:pPr>
        <w:pStyle w:val="FootnoteText"/>
      </w:pPr>
      <w:r>
        <w:rPr>
          <w:rStyle w:val="FootnoteReference"/>
        </w:rPr>
        <w:footnoteRef/>
      </w:r>
      <w:r>
        <w:t xml:space="preserve"> ACORE Initial Comments at 3-4; </w:t>
      </w:r>
      <w:r w:rsidR="006B1674">
        <w:t>Calpine Initial Comments at 2</w:t>
      </w:r>
      <w:r>
        <w:t xml:space="preserve">; Clean Energy Associations Initial Comments at 4-5; </w:t>
      </w:r>
      <w:r w:rsidRPr="00AE3B35">
        <w:rPr>
          <w:szCs w:val="26"/>
        </w:rPr>
        <w:t xml:space="preserve">Generation Developers </w:t>
      </w:r>
      <w:r>
        <w:rPr>
          <w:szCs w:val="26"/>
        </w:rPr>
        <w:t xml:space="preserve">Initial Comments at </w:t>
      </w:r>
      <w:r w:rsidRPr="009F4059">
        <w:rPr>
          <w:szCs w:val="26"/>
        </w:rPr>
        <w:t>33</w:t>
      </w:r>
      <w:r>
        <w:rPr>
          <w:szCs w:val="26"/>
        </w:rPr>
        <w:t xml:space="preserve">; </w:t>
      </w:r>
      <w:r w:rsidR="004968DB">
        <w:rPr>
          <w:szCs w:val="26"/>
        </w:rPr>
        <w:t xml:space="preserve">EDPR Initial Comments at </w:t>
      </w:r>
      <w:r w:rsidR="00826981">
        <w:rPr>
          <w:szCs w:val="26"/>
        </w:rPr>
        <w:t>1, 3-4</w:t>
      </w:r>
      <w:r w:rsidR="004968DB">
        <w:rPr>
          <w:szCs w:val="26"/>
        </w:rPr>
        <w:t xml:space="preserve">; </w:t>
      </w:r>
      <w:r w:rsidR="005631D0">
        <w:rPr>
          <w:szCs w:val="26"/>
        </w:rPr>
        <w:t xml:space="preserve">Elevate Initial Comments at </w:t>
      </w:r>
      <w:r w:rsidR="00195753">
        <w:rPr>
          <w:szCs w:val="26"/>
        </w:rPr>
        <w:t>6</w:t>
      </w:r>
      <w:r w:rsidR="005631D0">
        <w:rPr>
          <w:szCs w:val="26"/>
        </w:rPr>
        <w:t xml:space="preserve">; </w:t>
      </w:r>
      <w:r w:rsidRPr="007C2B93" w:rsidR="00A23430">
        <w:rPr>
          <w:szCs w:val="26"/>
        </w:rPr>
        <w:t xml:space="preserve">Indicated </w:t>
      </w:r>
      <w:r w:rsidR="00A23430">
        <w:t xml:space="preserve">Reactive Power Suppliers Initial Comments at 13-14; </w:t>
      </w:r>
      <w:r w:rsidRPr="007C2B93" w:rsidR="00A23430">
        <w:rPr>
          <w:szCs w:val="26"/>
        </w:rPr>
        <w:t xml:space="preserve">Indicated Trade Associations Initial Comments at </w:t>
      </w:r>
      <w:r w:rsidRPr="004C1D1E" w:rsidR="00A23430">
        <w:rPr>
          <w:szCs w:val="26"/>
        </w:rPr>
        <w:t>16</w:t>
      </w:r>
      <w:r w:rsidR="00A23430">
        <w:rPr>
          <w:szCs w:val="26"/>
        </w:rPr>
        <w:t xml:space="preserve">; </w:t>
      </w:r>
      <w:r>
        <w:t xml:space="preserve">Middle River Power Initial Comments at 6; </w:t>
      </w:r>
      <w:r w:rsidR="00D7007A">
        <w:t xml:space="preserve">NEI Initial Comments at </w:t>
      </w:r>
      <w:r w:rsidR="00081AD1">
        <w:t>2, 5-6, 8</w:t>
      </w:r>
      <w:r w:rsidR="00D7007A">
        <w:t xml:space="preserve">; </w:t>
      </w:r>
      <w:r w:rsidRPr="0080648E">
        <w:t xml:space="preserve">NHA Initial Comments at </w:t>
      </w:r>
      <w:r>
        <w:t>4-5</w:t>
      </w:r>
      <w:r>
        <w:rPr>
          <w:szCs w:val="26"/>
        </w:rPr>
        <w:t>.</w:t>
      </w:r>
    </w:p>
  </w:footnote>
  <w:footnote w:id="517">
    <w:p w:rsidR="003C0B59" w:rsidP="003C0B59" w14:paraId="52D376CC" w14:textId="77777777">
      <w:pPr>
        <w:pStyle w:val="FootnoteText"/>
      </w:pPr>
      <w:r>
        <w:rPr>
          <w:rStyle w:val="FootnoteReference"/>
        </w:rPr>
        <w:footnoteRef/>
      </w:r>
      <w:r>
        <w:t xml:space="preserve"> PJM IMM Initial Comments at 12-13.</w:t>
      </w:r>
    </w:p>
  </w:footnote>
  <w:footnote w:id="518">
    <w:p w:rsidR="006060AA" w:rsidP="006060AA" w14:paraId="61CD2C27" w14:textId="77777777">
      <w:pPr>
        <w:pStyle w:val="FootnoteText"/>
      </w:pPr>
      <w:r>
        <w:rPr>
          <w:rStyle w:val="FootnoteReference"/>
        </w:rPr>
        <w:footnoteRef/>
      </w:r>
      <w:r>
        <w:t xml:space="preserve"> MISO Transmission Owners Reply Comments at 4-6.</w:t>
      </w:r>
    </w:p>
  </w:footnote>
  <w:footnote w:id="519">
    <w:p w:rsidR="006060AA" w:rsidP="006060AA" w14:paraId="048DC8BC" w14:textId="6C6DD157">
      <w:pPr>
        <w:pStyle w:val="FootnoteText"/>
      </w:pPr>
      <w:r>
        <w:rPr>
          <w:rStyle w:val="FootnoteReference"/>
        </w:rPr>
        <w:footnoteRef/>
      </w:r>
      <w:r>
        <w:t xml:space="preserve"> </w:t>
      </w:r>
      <w:r w:rsidR="00877BD9">
        <w:rPr>
          <w:i/>
          <w:iCs/>
        </w:rPr>
        <w:t>Id.</w:t>
      </w:r>
      <w:r>
        <w:t xml:space="preserve"> at 3.</w:t>
      </w:r>
    </w:p>
  </w:footnote>
  <w:footnote w:id="520">
    <w:p w:rsidR="006060AA" w:rsidP="006060AA" w14:paraId="4E5A7E42" w14:textId="4C04F3F6">
      <w:pPr>
        <w:pStyle w:val="FootnoteText"/>
      </w:pPr>
      <w:r>
        <w:rPr>
          <w:rStyle w:val="FootnoteReference"/>
        </w:rPr>
        <w:footnoteRef/>
      </w:r>
      <w:r>
        <w:t xml:space="preserve"> </w:t>
      </w:r>
      <w:r w:rsidR="00877BD9">
        <w:rPr>
          <w:i/>
          <w:iCs/>
        </w:rPr>
        <w:t>Id.</w:t>
      </w:r>
      <w:r>
        <w:t xml:space="preserve"> at 7.</w:t>
      </w:r>
    </w:p>
  </w:footnote>
  <w:footnote w:id="521">
    <w:p w:rsidR="00BC740F" w14:paraId="23D7405B" w14:textId="6B18268F">
      <w:pPr>
        <w:pStyle w:val="FootnoteText"/>
      </w:pPr>
      <w:r>
        <w:rPr>
          <w:rStyle w:val="FootnoteReference"/>
        </w:rPr>
        <w:footnoteRef/>
      </w:r>
      <w:r>
        <w:t xml:space="preserve"> Joint Customers Initial Comments at </w:t>
      </w:r>
      <w:r w:rsidR="006C1159">
        <w:t>20.</w:t>
      </w:r>
    </w:p>
  </w:footnote>
  <w:footnote w:id="522">
    <w:p w:rsidR="00D606A5" w14:paraId="17A92553" w14:textId="7A557B54">
      <w:pPr>
        <w:pStyle w:val="FootnoteText"/>
      </w:pPr>
      <w:r>
        <w:rPr>
          <w:rStyle w:val="FootnoteReference"/>
        </w:rPr>
        <w:footnoteRef/>
      </w:r>
      <w:r>
        <w:t xml:space="preserve"> </w:t>
      </w:r>
      <w:r w:rsidR="00BA7F12">
        <w:t xml:space="preserve">NEI Initial Comments at 8; </w:t>
      </w:r>
      <w:r w:rsidR="005C1773">
        <w:t>Calpine Initial Comments at 2</w:t>
      </w:r>
      <w:r w:rsidR="00BA76B8">
        <w:t>;</w:t>
      </w:r>
      <w:r w:rsidR="00D07F64">
        <w:t xml:space="preserve"> Indicated Reactive Power Suppliers Initial Comments at </w:t>
      </w:r>
      <w:r w:rsidR="00F5119E">
        <w:t xml:space="preserve">13; Generation Developers Initial Comments </w:t>
      </w:r>
      <w:r w:rsidR="000E2D61">
        <w:t xml:space="preserve">          </w:t>
      </w:r>
      <w:r w:rsidR="00F5119E">
        <w:t xml:space="preserve">at </w:t>
      </w:r>
      <w:r w:rsidR="00104F63">
        <w:t>33-34.</w:t>
      </w:r>
    </w:p>
  </w:footnote>
  <w:footnote w:id="523">
    <w:p w:rsidR="00286447" w:rsidRPr="00BB5809" w:rsidP="008D143A" w14:paraId="63D901A1" w14:textId="7FDB7BD8">
      <w:pPr>
        <w:pStyle w:val="FootnoteText"/>
        <w:rPr>
          <w:i/>
        </w:rPr>
      </w:pPr>
      <w:r>
        <w:rPr>
          <w:rStyle w:val="FootnoteReference"/>
        </w:rPr>
        <w:footnoteRef/>
      </w:r>
      <w:r>
        <w:t xml:space="preserve"> </w:t>
      </w:r>
      <w:r w:rsidR="00A6442E">
        <w:t>PSEG</w:t>
      </w:r>
      <w:r w:rsidR="00D36A70">
        <w:t xml:space="preserve"> Initial Comments at 4</w:t>
      </w:r>
      <w:r w:rsidR="0045737B">
        <w:t xml:space="preserve">, </w:t>
      </w:r>
      <w:r w:rsidR="005B329B">
        <w:t xml:space="preserve">20-22 (citing </w:t>
      </w:r>
      <w:r w:rsidRPr="000B1F2B" w:rsidR="000B1F2B">
        <w:rPr>
          <w:i/>
          <w:iCs/>
        </w:rPr>
        <w:t>PJM Providers Grp. v. FERC</w:t>
      </w:r>
      <w:r w:rsidRPr="000B1F2B" w:rsidR="000B1F2B">
        <w:t xml:space="preserve">, </w:t>
      </w:r>
      <w:r w:rsidR="000E2D61">
        <w:t xml:space="preserve">       </w:t>
      </w:r>
      <w:r w:rsidRPr="000B1F2B" w:rsidR="000B1F2B">
        <w:t xml:space="preserve">88 F.4th </w:t>
      </w:r>
      <w:r w:rsidR="00945994">
        <w:t>at</w:t>
      </w:r>
      <w:r w:rsidRPr="000B1F2B" w:rsidR="000B1F2B">
        <w:t xml:space="preserve"> 271-72</w:t>
      </w:r>
      <w:r w:rsidR="00B7190B">
        <w:t xml:space="preserve"> (</w:t>
      </w:r>
      <w:r w:rsidR="00F667C6">
        <w:t>quoting</w:t>
      </w:r>
      <w:r w:rsidRPr="008D143A" w:rsidR="008D143A">
        <w:t xml:space="preserve"> </w:t>
      </w:r>
      <w:r w:rsidRPr="008D143A" w:rsidR="008D143A">
        <w:rPr>
          <w:i/>
          <w:iCs/>
        </w:rPr>
        <w:t>FCC v. Fox Television Stations, Inc.</w:t>
      </w:r>
      <w:r w:rsidRPr="008D143A" w:rsidR="008D143A">
        <w:t xml:space="preserve">, 556 U.S. </w:t>
      </w:r>
      <w:r w:rsidR="00484EF9">
        <w:t>at</w:t>
      </w:r>
      <w:r w:rsidRPr="008D143A" w:rsidR="008D143A">
        <w:t xml:space="preserve"> 515); </w:t>
      </w:r>
      <w:r w:rsidRPr="008D143A" w:rsidR="008D143A">
        <w:rPr>
          <w:i/>
          <w:iCs/>
        </w:rPr>
        <w:t>Ass’n of Oil</w:t>
      </w:r>
      <w:r w:rsidR="008D143A">
        <w:rPr>
          <w:i/>
          <w:iCs/>
        </w:rPr>
        <w:t xml:space="preserve"> </w:t>
      </w:r>
      <w:r w:rsidRPr="008D143A" w:rsidR="008D143A">
        <w:rPr>
          <w:i/>
          <w:iCs/>
        </w:rPr>
        <w:t>Pipe Lines v. FERC</w:t>
      </w:r>
      <w:r w:rsidRPr="008D143A" w:rsidR="008D143A">
        <w:t>, 876 F.3d 336, 342 (D.C. Cir. 2017)</w:t>
      </w:r>
      <w:r w:rsidR="00F667C6">
        <w:t>)</w:t>
      </w:r>
      <w:r w:rsidR="0045737B">
        <w:t>.</w:t>
      </w:r>
    </w:p>
  </w:footnote>
  <w:footnote w:id="524">
    <w:p w:rsidR="00655D12" w14:paraId="7310503B" w14:textId="1DF71D5D">
      <w:pPr>
        <w:pStyle w:val="FootnoteText"/>
      </w:pPr>
      <w:r>
        <w:rPr>
          <w:rStyle w:val="FootnoteReference"/>
        </w:rPr>
        <w:footnoteRef/>
      </w:r>
      <w:r>
        <w:t xml:space="preserve"> ACORE Initial Comments at 3-4;</w:t>
      </w:r>
      <w:r w:rsidRPr="00655D12">
        <w:t xml:space="preserve"> </w:t>
      </w:r>
      <w:r>
        <w:t>Indicated Reactive Power Suppliers Initial Comments at 14.</w:t>
      </w:r>
    </w:p>
  </w:footnote>
  <w:footnote w:id="525">
    <w:p w:rsidR="00655D12" w14:paraId="4A1CEA23" w14:textId="166A6722">
      <w:pPr>
        <w:pStyle w:val="FootnoteText"/>
      </w:pPr>
      <w:r>
        <w:rPr>
          <w:rStyle w:val="FootnoteReference"/>
        </w:rPr>
        <w:footnoteRef/>
      </w:r>
      <w:r>
        <w:t xml:space="preserve"> ACORE Initial Comments at 3-4; Calpine Initial Comments at 2.</w:t>
      </w:r>
    </w:p>
  </w:footnote>
  <w:footnote w:id="526">
    <w:p w:rsidR="00D50815" w14:paraId="692E3820" w14:textId="19532786">
      <w:pPr>
        <w:pStyle w:val="FootnoteText"/>
      </w:pPr>
      <w:r>
        <w:rPr>
          <w:rStyle w:val="FootnoteReference"/>
        </w:rPr>
        <w:footnoteRef/>
      </w:r>
      <w:r>
        <w:t xml:space="preserve"> Indicated Reactive Power Suppliers Initial Comments at 13-14.</w:t>
      </w:r>
    </w:p>
  </w:footnote>
  <w:footnote w:id="527">
    <w:p w:rsidR="005B1DC2" w:rsidP="005B1DC2" w14:paraId="5D3276E0" w14:textId="77777777">
      <w:pPr>
        <w:pStyle w:val="FootnoteText"/>
      </w:pPr>
      <w:r>
        <w:rPr>
          <w:rStyle w:val="FootnoteReference"/>
        </w:rPr>
        <w:footnoteRef/>
      </w:r>
      <w:r>
        <w:t xml:space="preserve"> Middle River Power Initial Comments at 6.</w:t>
      </w:r>
    </w:p>
  </w:footnote>
  <w:footnote w:id="528">
    <w:p w:rsidR="00B83ECF" w:rsidRPr="004C1D1E" w:rsidP="00B83ECF" w14:paraId="0794895A" w14:textId="77777777">
      <w:pPr>
        <w:pStyle w:val="FootnoteText"/>
        <w:rPr>
          <w:szCs w:val="26"/>
        </w:rPr>
      </w:pPr>
      <w:r w:rsidRPr="004C1D1E">
        <w:rPr>
          <w:rStyle w:val="FootnoteReference"/>
          <w:szCs w:val="26"/>
        </w:rPr>
        <w:footnoteRef/>
      </w:r>
      <w:r w:rsidRPr="004C1D1E">
        <w:rPr>
          <w:szCs w:val="26"/>
        </w:rPr>
        <w:t xml:space="preserve"> </w:t>
      </w:r>
      <w:r w:rsidRPr="007C2B93">
        <w:rPr>
          <w:szCs w:val="26"/>
        </w:rPr>
        <w:t xml:space="preserve">Indicated Trade Associations Initial Comments at </w:t>
      </w:r>
      <w:r w:rsidRPr="004C1D1E">
        <w:rPr>
          <w:szCs w:val="26"/>
        </w:rPr>
        <w:t>16.</w:t>
      </w:r>
    </w:p>
  </w:footnote>
  <w:footnote w:id="529">
    <w:p w:rsidR="00CA6B93" w:rsidP="00CA6B93" w14:paraId="45F7BF4C" w14:textId="065D0CA2">
      <w:pPr>
        <w:pStyle w:val="FootnoteText"/>
      </w:pPr>
      <w:r w:rsidRPr="01D5E437">
        <w:rPr>
          <w:rStyle w:val="FootnoteReference"/>
        </w:rPr>
        <w:footnoteRef/>
      </w:r>
      <w:r>
        <w:t xml:space="preserve"> Clean Energy Associations Initial Comment</w:t>
      </w:r>
      <w:r w:rsidR="0082724D">
        <w:t>s</w:t>
      </w:r>
      <w:r>
        <w:t xml:space="preserve"> at </w:t>
      </w:r>
      <w:r w:rsidR="00D74242">
        <w:t>4</w:t>
      </w:r>
      <w:r w:rsidR="00951721">
        <w:t>-</w:t>
      </w:r>
      <w:r>
        <w:t>5.</w:t>
      </w:r>
    </w:p>
  </w:footnote>
  <w:footnote w:id="530">
    <w:p w:rsidR="00B765BC" w:rsidP="00B765BC" w14:paraId="6428E41E" w14:textId="120E1341">
      <w:pPr>
        <w:pStyle w:val="FootnoteText"/>
      </w:pPr>
      <w:r>
        <w:rPr>
          <w:rStyle w:val="FootnoteReference"/>
        </w:rPr>
        <w:footnoteRef/>
      </w:r>
      <w:r>
        <w:t xml:space="preserve"> </w:t>
      </w:r>
      <w:r w:rsidRPr="005B61FD">
        <w:rPr>
          <w:i/>
          <w:iCs/>
        </w:rPr>
        <w:t>See, e.g.</w:t>
      </w:r>
      <w:r w:rsidRPr="00D374EE">
        <w:t>,</w:t>
      </w:r>
      <w:r>
        <w:t xml:space="preserve"> MISO Transmission Owners Reply Comments at </w:t>
      </w:r>
      <w:r w:rsidR="00253D85">
        <w:t xml:space="preserve">3-4, </w:t>
      </w:r>
      <w:r w:rsidR="00D14E47">
        <w:t>5-7</w:t>
      </w:r>
      <w:r w:rsidR="00D562B0">
        <w:t xml:space="preserve">; </w:t>
      </w:r>
      <w:r>
        <w:t>PGE Initial Comments at 5;</w:t>
      </w:r>
      <w:r w:rsidR="00137542">
        <w:t xml:space="preserve"> PJM IMM Initial Comments at 12-13</w:t>
      </w:r>
      <w:r>
        <w:t>.</w:t>
      </w:r>
    </w:p>
  </w:footnote>
  <w:footnote w:id="531">
    <w:p w:rsidR="00186C4A" w:rsidRPr="00DE6C9A" w:rsidP="00186C4A" w14:paraId="0FBFF4CD" w14:textId="138FB553">
      <w:pPr>
        <w:pStyle w:val="FootnoteText"/>
        <w:rPr>
          <w:i/>
          <w:iCs/>
        </w:rPr>
      </w:pPr>
      <w:r w:rsidRPr="00DE6C9A">
        <w:rPr>
          <w:rStyle w:val="FootnoteReference"/>
        </w:rPr>
        <w:footnoteRef/>
      </w:r>
      <w:r w:rsidRPr="00DE6C9A">
        <w:t xml:space="preserve"> </w:t>
      </w:r>
      <w:r w:rsidRPr="00DE6C9A">
        <w:rPr>
          <w:i/>
          <w:iCs/>
        </w:rPr>
        <w:t>See Cal. Indep. Sys. Operator Corp.</w:t>
      </w:r>
      <w:r w:rsidRPr="00DE6C9A">
        <w:t>, 160 FERC ¶</w:t>
      </w:r>
      <w:r>
        <w:t> </w:t>
      </w:r>
      <w:r w:rsidRPr="00DE6C9A">
        <w:t>61,035 at P</w:t>
      </w:r>
      <w:r>
        <w:t> </w:t>
      </w:r>
      <w:r w:rsidRPr="00DE6C9A">
        <w:t>19</w:t>
      </w:r>
      <w:r w:rsidR="00612662">
        <w:t xml:space="preserve"> (</w:t>
      </w:r>
      <w:r w:rsidRPr="00DE6C9A">
        <w:t>“</w:t>
      </w:r>
      <w:r w:rsidR="00442557">
        <w:t>[A]</w:t>
      </w:r>
      <w:r w:rsidRPr="00DE6C9A" w:rsidR="00442557">
        <w:t xml:space="preserve"> </w:t>
      </w:r>
      <w:r w:rsidRPr="00DE6C9A">
        <w:t>separate payment for the provision of reactive power capability inside the standard power factor range is not required, and we see no reason to require a separate cost recovery mechanism for reactive power capability based on the record here.”</w:t>
      </w:r>
      <w:r w:rsidR="002F3C96">
        <w:t>).</w:t>
      </w:r>
      <w:r w:rsidRPr="00DE6C9A">
        <w:t xml:space="preserve">  </w:t>
      </w:r>
      <w:r>
        <w:rPr>
          <w:i/>
          <w:iCs/>
        </w:rPr>
        <w:t>See also</w:t>
      </w:r>
      <w:r>
        <w:t xml:space="preserve"> </w:t>
      </w:r>
      <w:r w:rsidRPr="00DE6C9A">
        <w:rPr>
          <w:i/>
          <w:iCs/>
        </w:rPr>
        <w:t>PNM</w:t>
      </w:r>
      <w:r w:rsidRPr="00DE6C9A">
        <w:t>, 178 FERC ¶</w:t>
      </w:r>
      <w:r>
        <w:t> </w:t>
      </w:r>
      <w:r w:rsidRPr="00DE6C9A">
        <w:t>61,088 at P</w:t>
      </w:r>
      <w:r>
        <w:t> </w:t>
      </w:r>
      <w:r w:rsidRPr="00DE6C9A">
        <w:t>29</w:t>
      </w:r>
      <w:r>
        <w:t xml:space="preserve"> </w:t>
      </w:r>
      <w:r w:rsidRPr="00DE6C9A">
        <w:t>(“Consistent with Commission precedent, a transmission provider may decide to eliminate compensation for having the capability of providing reactive service within the standard power factor range.”)</w:t>
      </w:r>
      <w:r>
        <w:t>;</w:t>
      </w:r>
      <w:r w:rsidRPr="00DE6C9A">
        <w:t xml:space="preserve"> </w:t>
      </w:r>
      <w:r w:rsidR="002908AB">
        <w:t xml:space="preserve">Order No. 842, </w:t>
      </w:r>
      <w:r w:rsidRPr="00DE6C9A">
        <w:t>162 FERC ¶</w:t>
      </w:r>
      <w:r>
        <w:t> </w:t>
      </w:r>
      <w:r w:rsidRPr="00DE6C9A">
        <w:t>61,128 (“</w:t>
      </w:r>
      <w:r w:rsidR="00D80B66">
        <w:t>[T]</w:t>
      </w:r>
      <w:r w:rsidRPr="00DE6C9A" w:rsidR="00D80B66">
        <w:t xml:space="preserve">here </w:t>
      </w:r>
      <w:r w:rsidRPr="00DE6C9A">
        <w:t>are interconnection requirements for generating facilities in which the recovery of capital costs and operating expenses are not necessarily ensured.”)</w:t>
      </w:r>
      <w:r>
        <w:t>.</w:t>
      </w:r>
    </w:p>
  </w:footnote>
  <w:footnote w:id="532">
    <w:p w:rsidR="00186C4A" w:rsidP="00186C4A" w14:paraId="521F253A" w14:textId="7D2B6350">
      <w:pPr>
        <w:pStyle w:val="FootnoteText"/>
      </w:pPr>
      <w:r>
        <w:rPr>
          <w:rStyle w:val="FootnoteReference"/>
        </w:rPr>
        <w:footnoteRef/>
      </w:r>
      <w:r>
        <w:t xml:space="preserve"> MISO Transmission Owners Reply Comments at 3</w:t>
      </w:r>
      <w:r w:rsidR="00EB75E2">
        <w:t>-4</w:t>
      </w:r>
      <w:r>
        <w:t>.</w:t>
      </w:r>
    </w:p>
  </w:footnote>
  <w:footnote w:id="533">
    <w:p w:rsidR="00186C4A" w:rsidP="00186C4A" w14:paraId="0FE40A39" w14:textId="4DEE8265">
      <w:pPr>
        <w:pStyle w:val="FootnoteText"/>
      </w:pPr>
      <w:r>
        <w:rPr>
          <w:rStyle w:val="FootnoteReference"/>
        </w:rPr>
        <w:footnoteRef/>
      </w:r>
      <w:r>
        <w:t xml:space="preserve"> </w:t>
      </w:r>
      <w:r w:rsidRPr="002029C3">
        <w:rPr>
          <w:i/>
          <w:iCs/>
        </w:rPr>
        <w:t>See</w:t>
      </w:r>
      <w:r>
        <w:t xml:space="preserve">, </w:t>
      </w:r>
      <w:r w:rsidRPr="002029C3">
        <w:rPr>
          <w:i/>
          <w:iCs/>
        </w:rPr>
        <w:t>e.g.</w:t>
      </w:r>
      <w:r>
        <w:t xml:space="preserve">, </w:t>
      </w:r>
      <w:r>
        <w:rPr>
          <w:i/>
        </w:rPr>
        <w:t>MISO</w:t>
      </w:r>
      <w:r>
        <w:t xml:space="preserve">, </w:t>
      </w:r>
      <w:r w:rsidRPr="00085741">
        <w:t>182 FERC ¶ 61,033</w:t>
      </w:r>
      <w:r>
        <w:t xml:space="preserve"> at P 55;</w:t>
      </w:r>
      <w:r w:rsidRPr="00D374EE">
        <w:t xml:space="preserve"> </w:t>
      </w:r>
      <w:r w:rsidRPr="00EC68B5">
        <w:t>MISO</w:t>
      </w:r>
      <w:r>
        <w:t xml:space="preserve"> Rehearing Order, </w:t>
      </w:r>
      <w:r w:rsidR="0051366E">
        <w:t>184 </w:t>
      </w:r>
      <w:r>
        <w:t xml:space="preserve">FERC ¶ 61,022 at PP 35-36; </w:t>
      </w:r>
      <w:r>
        <w:rPr>
          <w:i/>
          <w:iCs/>
        </w:rPr>
        <w:t>see also</w:t>
      </w:r>
      <w:r w:rsidRPr="00D374EE">
        <w:t xml:space="preserve"> </w:t>
      </w:r>
      <w:r>
        <w:t xml:space="preserve">MISO Transmission Owners Initial Comments at 9-10 (“At the same time MISO was experiencing a dramatic increase in the amounts transmission customers paid for reactive power service prior to its elimination of compensation for reactive power service within the deadband, SEIA highlighted that MISO was one of the two </w:t>
      </w:r>
      <w:r w:rsidR="001A3A46">
        <w:t>‘</w:t>
      </w:r>
      <w:r>
        <w:t>most lucrative</w:t>
      </w:r>
      <w:r w:rsidR="00977245">
        <w:t>’</w:t>
      </w:r>
      <w:r>
        <w:t xml:space="preserve"> regions </w:t>
      </w:r>
      <w:r w:rsidRPr="007624DD">
        <w:t>for reactive power compensation, where generators received millions of dollars in</w:t>
      </w:r>
      <w:r>
        <w:t xml:space="preserve"> </w:t>
      </w:r>
      <w:r w:rsidRPr="007624DD">
        <w:t>compensation for having the capability to produce reactive power within the deadband, a</w:t>
      </w:r>
      <w:r>
        <w:t xml:space="preserve"> </w:t>
      </w:r>
      <w:r w:rsidRPr="007624DD">
        <w:t>capability that was already a condition of obtaining</w:t>
      </w:r>
      <w:r>
        <w:t xml:space="preserve"> i</w:t>
      </w:r>
      <w:r w:rsidRPr="007624DD">
        <w:t>nterconnection.</w:t>
      </w:r>
      <w:r>
        <w:t>” (citations omitted)).</w:t>
      </w:r>
    </w:p>
  </w:footnote>
  <w:footnote w:id="534">
    <w:p w:rsidR="000160F8" w:rsidP="000160F8" w14:paraId="01536BDF" w14:textId="7FD8706C">
      <w:pPr>
        <w:pStyle w:val="FootnoteText"/>
      </w:pPr>
      <w:r>
        <w:rPr>
          <w:rStyle w:val="FootnoteReference"/>
        </w:rPr>
        <w:footnoteRef/>
      </w:r>
      <w:r>
        <w:t xml:space="preserve"> MISO Transmission Owners Initial Comments at 19.  </w:t>
      </w:r>
      <w:r>
        <w:rPr>
          <w:i/>
          <w:iCs/>
        </w:rPr>
        <w:t>See also</w:t>
      </w:r>
      <w:r>
        <w:t xml:space="preserve"> Joint Customers Reply Comments at 6-7 (“</w:t>
      </w:r>
      <w:r w:rsidRPr="005B7D8C">
        <w:t>Additionally, claims that investors made decisions relying on the revenue stream</w:t>
      </w:r>
      <w:r>
        <w:t xml:space="preserve"> </w:t>
      </w:r>
      <w:r w:rsidRPr="005B7D8C">
        <w:t>associated with the capability to provide reactive power within the deadband fail to contend</w:t>
      </w:r>
      <w:r>
        <w:t xml:space="preserve"> </w:t>
      </w:r>
      <w:r w:rsidRPr="005B7D8C">
        <w:t>with the many instances in which the Commission accepted transmission providers’</w:t>
      </w:r>
      <w:r>
        <w:t xml:space="preserve"> </w:t>
      </w:r>
      <w:r w:rsidRPr="005B7D8C">
        <w:t>elimination of compensation for reactive power within the deadband.</w:t>
      </w:r>
      <w:r w:rsidR="00B52169">
        <w:t xml:space="preserve"> </w:t>
      </w:r>
      <w:r w:rsidRPr="005B7D8C">
        <w:t xml:space="preserve"> Sophisticated</w:t>
      </w:r>
      <w:r>
        <w:t xml:space="preserve"> </w:t>
      </w:r>
      <w:r w:rsidRPr="005B7D8C">
        <w:t>investors could not reasonably have relied on compensation for providing reactive power</w:t>
      </w:r>
      <w:r>
        <w:t xml:space="preserve"> </w:t>
      </w:r>
      <w:r w:rsidRPr="005B7D8C">
        <w:t>within the deadband in perpetuity, but rather should have considered the risk of elimination</w:t>
      </w:r>
      <w:r>
        <w:t xml:space="preserve"> </w:t>
      </w:r>
      <w:r w:rsidRPr="005B7D8C">
        <w:t>of this revenue stream when making investment decisions.</w:t>
      </w:r>
      <w:r>
        <w:t>” (citations omitted)).</w:t>
      </w:r>
    </w:p>
  </w:footnote>
  <w:footnote w:id="535">
    <w:p w:rsidR="00C0529A" w14:paraId="266F6035" w14:textId="5E25E5C5">
      <w:pPr>
        <w:pStyle w:val="FootnoteText"/>
      </w:pPr>
      <w:r>
        <w:rPr>
          <w:rStyle w:val="FootnoteReference"/>
        </w:rPr>
        <w:footnoteRef/>
      </w:r>
      <w:r>
        <w:t xml:space="preserve"> </w:t>
      </w:r>
      <w:r w:rsidRPr="001549B2">
        <w:rPr>
          <w:i/>
          <w:iCs/>
        </w:rPr>
        <w:t>See</w:t>
      </w:r>
      <w:r>
        <w:rPr>
          <w:i/>
          <w:iCs/>
        </w:rPr>
        <w:t xml:space="preserve"> </w:t>
      </w:r>
      <w:r>
        <w:t xml:space="preserve">BPA Rehearing Order, </w:t>
      </w:r>
      <w:r w:rsidRPr="00CD2C9F">
        <w:t>125 FERC ¶ 61,273, at P 1</w:t>
      </w:r>
      <w:r>
        <w:t>5 &amp; n.24</w:t>
      </w:r>
      <w:r w:rsidRPr="00CD2C9F">
        <w:t xml:space="preserve"> </w:t>
      </w:r>
      <w:r>
        <w:t>(</w:t>
      </w:r>
      <w:r w:rsidRPr="00B250C8">
        <w:t>“</w:t>
      </w:r>
      <w:r w:rsidR="000A54D1">
        <w:t>[N]</w:t>
      </w:r>
      <w:r w:rsidRPr="00B250C8" w:rsidR="000A54D1">
        <w:t xml:space="preserve">either </w:t>
      </w:r>
      <w:r w:rsidRPr="00B250C8">
        <w:t>affiliated nor non-affiliated generators have an inherent right to any compensation for reactive power inside the deadband</w:t>
      </w:r>
      <w:r w:rsidR="004D0F4D">
        <w:t>.</w:t>
      </w:r>
      <w:r>
        <w:t>”)</w:t>
      </w:r>
      <w:r w:rsidRPr="00CD2C9F">
        <w:t>.</w:t>
      </w:r>
      <w:r>
        <w:t xml:space="preserve">  </w:t>
      </w:r>
    </w:p>
  </w:footnote>
  <w:footnote w:id="536">
    <w:p w:rsidR="000160F8" w:rsidRPr="00CD24B3" w:rsidP="00484FF4" w14:paraId="49795AA5" w14:textId="77777777">
      <w:pPr>
        <w:pStyle w:val="FootnoteText"/>
        <w:widowControl/>
      </w:pPr>
      <w:r>
        <w:rPr>
          <w:rStyle w:val="FootnoteReference"/>
        </w:rPr>
        <w:footnoteRef/>
      </w:r>
      <w:r>
        <w:t xml:space="preserve"> </w:t>
      </w:r>
      <w:r>
        <w:rPr>
          <w:i/>
          <w:iCs/>
        </w:rPr>
        <w:t>See</w:t>
      </w:r>
      <w:r>
        <w:t xml:space="preserve"> Joint Customers Initial Comments at 20 (“</w:t>
      </w:r>
      <w:r w:rsidRPr="00CD24B3">
        <w:t>To the extent that generators voluntarily and</w:t>
      </w:r>
      <w:r>
        <w:t xml:space="preserve"> </w:t>
      </w:r>
      <w:r w:rsidRPr="00CD24B3">
        <w:t>unilaterally installed greater reactive capability than that required by their respective</w:t>
      </w:r>
      <w:r>
        <w:t xml:space="preserve"> </w:t>
      </w:r>
      <w:r w:rsidRPr="00CD24B3">
        <w:t>interconnection agreements, they did so at their own risk and for their own strategies, none of</w:t>
      </w:r>
      <w:r>
        <w:t xml:space="preserve"> </w:t>
      </w:r>
      <w:r w:rsidRPr="00CD24B3">
        <w:t>which mean that they should continue to be compensated for costs that they did not have to incur</w:t>
      </w:r>
      <w:r>
        <w:t xml:space="preserve"> </w:t>
      </w:r>
      <w:r w:rsidRPr="00CD24B3">
        <w:t>and which do not benefit transmission customers.</w:t>
      </w:r>
      <w:r>
        <w:t>”).</w:t>
      </w:r>
    </w:p>
  </w:footnote>
  <w:footnote w:id="537">
    <w:p w:rsidR="00AA4A38" w:rsidP="00AA4A38" w14:paraId="0ADB6ABE" w14:textId="029098E7">
      <w:pPr>
        <w:pStyle w:val="FootnoteText"/>
      </w:pPr>
      <w:r>
        <w:rPr>
          <w:rStyle w:val="FootnoteReference"/>
        </w:rPr>
        <w:footnoteRef/>
      </w:r>
      <w:r>
        <w:t xml:space="preserve"> </w:t>
      </w:r>
      <w:r w:rsidRPr="00FB029E">
        <w:rPr>
          <w:i/>
          <w:iCs/>
        </w:rPr>
        <w:t>See, e.g.</w:t>
      </w:r>
      <w:r>
        <w:t xml:space="preserve">, ACORE Initial Comments at 3-4; </w:t>
      </w:r>
      <w:r w:rsidR="004957C6">
        <w:t xml:space="preserve">Calpine Initial Comments at 2; </w:t>
      </w:r>
      <w:r>
        <w:t xml:space="preserve">Clean Energy Associations Initial Comments at </w:t>
      </w:r>
      <w:r w:rsidR="00951721">
        <w:t>4-</w:t>
      </w:r>
      <w:r>
        <w:t xml:space="preserve">5; </w:t>
      </w:r>
      <w:r w:rsidR="00B84789">
        <w:rPr>
          <w:szCs w:val="26"/>
        </w:rPr>
        <w:t xml:space="preserve">EDPR Initial Comments at 1, 3-4; </w:t>
      </w:r>
      <w:r w:rsidR="005766B3">
        <w:rPr>
          <w:szCs w:val="26"/>
        </w:rPr>
        <w:t xml:space="preserve">Elevate Initial Comments at 6; </w:t>
      </w:r>
      <w:r w:rsidRPr="00AE3B35">
        <w:rPr>
          <w:szCs w:val="26"/>
        </w:rPr>
        <w:t xml:space="preserve">Generation Developers </w:t>
      </w:r>
      <w:r>
        <w:rPr>
          <w:szCs w:val="26"/>
        </w:rPr>
        <w:t xml:space="preserve">Initial Comments at </w:t>
      </w:r>
      <w:r w:rsidRPr="009F4059">
        <w:rPr>
          <w:szCs w:val="26"/>
        </w:rPr>
        <w:t>33</w:t>
      </w:r>
      <w:r>
        <w:rPr>
          <w:szCs w:val="26"/>
        </w:rPr>
        <w:t xml:space="preserve">; </w:t>
      </w:r>
      <w:r w:rsidR="00B943E1">
        <w:t xml:space="preserve">Indicated Reactive Power Suppliers Initial Comments at 14; </w:t>
      </w:r>
      <w:r w:rsidRPr="007C2B93" w:rsidR="00B943E1">
        <w:rPr>
          <w:szCs w:val="26"/>
        </w:rPr>
        <w:t xml:space="preserve">Indicated Trade Associations Initial Comments at </w:t>
      </w:r>
      <w:r w:rsidRPr="004C1D1E" w:rsidR="00B943E1">
        <w:rPr>
          <w:szCs w:val="26"/>
        </w:rPr>
        <w:t>16</w:t>
      </w:r>
      <w:r w:rsidR="00B943E1">
        <w:rPr>
          <w:szCs w:val="26"/>
        </w:rPr>
        <w:t xml:space="preserve">; </w:t>
      </w:r>
      <w:r>
        <w:t xml:space="preserve">Middle River Power Initial Comments at 6; </w:t>
      </w:r>
      <w:r w:rsidRPr="0080648E">
        <w:t xml:space="preserve">NHA Initial Comments </w:t>
      </w:r>
      <w:r w:rsidR="00484FF4">
        <w:t xml:space="preserve">     </w:t>
      </w:r>
      <w:r w:rsidRPr="0080648E">
        <w:t xml:space="preserve">at </w:t>
      </w:r>
      <w:r>
        <w:t>4-5</w:t>
      </w:r>
      <w:r>
        <w:rPr>
          <w:szCs w:val="26"/>
        </w:rPr>
        <w:t>.</w:t>
      </w:r>
    </w:p>
  </w:footnote>
  <w:footnote w:id="538">
    <w:p w:rsidR="008C4233" w:rsidP="008C4233" w14:paraId="15D515A1" w14:textId="5771709B">
      <w:pPr>
        <w:pStyle w:val="FootnoteText"/>
      </w:pPr>
      <w:r w:rsidRPr="01D5E437">
        <w:rPr>
          <w:rStyle w:val="FootnoteReference"/>
        </w:rPr>
        <w:footnoteRef/>
      </w:r>
      <w:r>
        <w:t xml:space="preserve"> </w:t>
      </w:r>
      <w:r w:rsidRPr="00C06B6B" w:rsidR="00C613F1">
        <w:rPr>
          <w:i/>
          <w:iCs/>
        </w:rPr>
        <w:t>See</w:t>
      </w:r>
      <w:r w:rsidR="00C613F1">
        <w:t xml:space="preserve"> </w:t>
      </w:r>
      <w:r>
        <w:t>Clean Energy Associations Initial Comments at 5.</w:t>
      </w:r>
    </w:p>
  </w:footnote>
  <w:footnote w:id="539">
    <w:p w:rsidR="008C4233" w:rsidP="008C4233" w14:paraId="2AAB8A52" w14:textId="536BDBB6">
      <w:pPr>
        <w:pStyle w:val="FootnoteText"/>
      </w:pPr>
      <w:r w:rsidRPr="01D5E437">
        <w:rPr>
          <w:rStyle w:val="FootnoteReference"/>
        </w:rPr>
        <w:footnoteRef/>
      </w:r>
      <w:r>
        <w:t xml:space="preserve"> </w:t>
      </w:r>
      <w:r w:rsidR="00CB43A1">
        <w:rPr>
          <w:i/>
          <w:iCs/>
        </w:rPr>
        <w:t>Id.</w:t>
      </w:r>
    </w:p>
  </w:footnote>
  <w:footnote w:id="540">
    <w:p w:rsidR="00B7745D" w14:paraId="1C4559D2" w14:textId="2D59DA52">
      <w:pPr>
        <w:pStyle w:val="FootnoteText"/>
      </w:pPr>
      <w:r>
        <w:rPr>
          <w:rStyle w:val="FootnoteReference"/>
        </w:rPr>
        <w:footnoteRef/>
      </w:r>
      <w:r>
        <w:t xml:space="preserve"> </w:t>
      </w:r>
      <w:r w:rsidRPr="00C06B6B">
        <w:rPr>
          <w:i/>
        </w:rPr>
        <w:t>See</w:t>
      </w:r>
      <w:r>
        <w:t xml:space="preserve"> </w:t>
      </w:r>
      <w:r w:rsidRPr="00C06B6B" w:rsidR="004540E5">
        <w:rPr>
          <w:i/>
          <w:iCs/>
        </w:rPr>
        <w:t>supra</w:t>
      </w:r>
      <w:r w:rsidR="004540E5">
        <w:t xml:space="preserve"> </w:t>
      </w:r>
      <w:r w:rsidR="000E2D61">
        <w:t>II.C.2.</w:t>
      </w:r>
    </w:p>
  </w:footnote>
  <w:footnote w:id="541">
    <w:p w:rsidR="004E0D53" w:rsidRPr="004C1D1E" w:rsidP="004E0D53" w14:paraId="002DAD10" w14:textId="77777777">
      <w:pPr>
        <w:pStyle w:val="FootnoteText"/>
        <w:rPr>
          <w:szCs w:val="26"/>
        </w:rPr>
      </w:pPr>
      <w:r w:rsidRPr="004C1D1E">
        <w:rPr>
          <w:rStyle w:val="FootnoteReference"/>
          <w:szCs w:val="26"/>
        </w:rPr>
        <w:footnoteRef/>
      </w:r>
      <w:r w:rsidRPr="004C1D1E">
        <w:rPr>
          <w:szCs w:val="26"/>
        </w:rPr>
        <w:t xml:space="preserve"> </w:t>
      </w:r>
      <w:r w:rsidRPr="007C2B93">
        <w:rPr>
          <w:szCs w:val="26"/>
        </w:rPr>
        <w:t xml:space="preserve">Indicated Trade Associations Initial Comments at </w:t>
      </w:r>
      <w:r w:rsidRPr="004C1D1E">
        <w:rPr>
          <w:szCs w:val="26"/>
        </w:rPr>
        <w:t>16.</w:t>
      </w:r>
    </w:p>
  </w:footnote>
  <w:footnote w:id="542">
    <w:p w:rsidR="00437079" w14:paraId="0E357902" w14:textId="4CA415AA">
      <w:pPr>
        <w:pStyle w:val="FootnoteText"/>
      </w:pPr>
      <w:r>
        <w:rPr>
          <w:rStyle w:val="FootnoteReference"/>
        </w:rPr>
        <w:footnoteRef/>
      </w:r>
      <w:r>
        <w:t xml:space="preserve"> </w:t>
      </w:r>
      <w:r w:rsidRPr="00BB5809">
        <w:rPr>
          <w:i/>
        </w:rPr>
        <w:t>See supra</w:t>
      </w:r>
      <w:r>
        <w:t xml:space="preserve"> </w:t>
      </w:r>
      <w:r w:rsidR="00FD3227">
        <w:rPr>
          <w:iCs/>
        </w:rPr>
        <w:t>II.B.2</w:t>
      </w:r>
      <w:r w:rsidR="00B53643">
        <w:t>.</w:t>
      </w:r>
    </w:p>
  </w:footnote>
  <w:footnote w:id="543">
    <w:p w:rsidR="00A0775F" w14:paraId="775C8CB3" w14:textId="560FF163">
      <w:pPr>
        <w:pStyle w:val="FootnoteText"/>
      </w:pPr>
      <w:r>
        <w:rPr>
          <w:rStyle w:val="FootnoteReference"/>
        </w:rPr>
        <w:footnoteRef/>
      </w:r>
      <w:r>
        <w:t xml:space="preserve"> </w:t>
      </w:r>
      <w:r w:rsidRPr="003006F1">
        <w:rPr>
          <w:i/>
        </w:rPr>
        <w:t>See</w:t>
      </w:r>
      <w:r>
        <w:t xml:space="preserve"> </w:t>
      </w:r>
      <w:r w:rsidRPr="00C06B6B" w:rsidR="00926AE4">
        <w:rPr>
          <w:i/>
          <w:iCs/>
        </w:rPr>
        <w:t>supra</w:t>
      </w:r>
      <w:r w:rsidR="00926AE4">
        <w:t xml:space="preserve"> </w:t>
      </w:r>
      <w:r w:rsidR="000E2D61">
        <w:t>II.A.2</w:t>
      </w:r>
      <w:r>
        <w:t xml:space="preserve">, </w:t>
      </w:r>
      <w:r w:rsidR="000E2D61">
        <w:t>II.B.2</w:t>
      </w:r>
      <w:r>
        <w:t xml:space="preserve">, </w:t>
      </w:r>
      <w:r w:rsidR="000E2D61">
        <w:t>II.C.2</w:t>
      </w:r>
      <w:r>
        <w:t>.</w:t>
      </w:r>
    </w:p>
  </w:footnote>
  <w:footnote w:id="544">
    <w:p w:rsidR="00BB4C0A" w:rsidP="00281793" w14:paraId="169DCA9A" w14:textId="46D41AA1">
      <w:pPr>
        <w:pStyle w:val="FootnoteText"/>
      </w:pPr>
      <w:r>
        <w:rPr>
          <w:rStyle w:val="FootnoteReference"/>
        </w:rPr>
        <w:footnoteRef/>
      </w:r>
      <w:r>
        <w:t xml:space="preserve"> </w:t>
      </w:r>
      <w:r w:rsidRPr="003006F1" w:rsidR="00D97F2C">
        <w:rPr>
          <w:i/>
        </w:rPr>
        <w:t>Solar Energy Indus. Ass’n v. FERC</w:t>
      </w:r>
      <w:r w:rsidRPr="00D97F2C" w:rsidR="00D97F2C">
        <w:t>, 80 F.4th 956, 979 (9th Cir. 2023)</w:t>
      </w:r>
      <w:r w:rsidR="00D97F2C">
        <w:t xml:space="preserve"> (citing </w:t>
      </w:r>
      <w:r w:rsidRPr="003006F1" w:rsidR="00A85029">
        <w:rPr>
          <w:i/>
        </w:rPr>
        <w:t>Motor Vehicle Mfrs. Ass’n of U.S., Inc. v. State Farm Mut. Auto. Ins. Co.</w:t>
      </w:r>
      <w:r w:rsidRPr="00A85029" w:rsidR="00A85029">
        <w:t xml:space="preserve">, 463 U.S. </w:t>
      </w:r>
      <w:r w:rsidR="00484FF4">
        <w:t xml:space="preserve">         </w:t>
      </w:r>
      <w:r w:rsidR="00791C01">
        <w:t xml:space="preserve">at </w:t>
      </w:r>
      <w:r w:rsidRPr="00A85029" w:rsidR="00A85029">
        <w:t>43</w:t>
      </w:r>
      <w:r w:rsidR="00CA2BE6">
        <w:t>)</w:t>
      </w:r>
      <w:r w:rsidR="00281793">
        <w:t>.</w:t>
      </w:r>
    </w:p>
  </w:footnote>
  <w:footnote w:id="545">
    <w:p w:rsidR="00073F24" w:rsidP="00073F24" w14:paraId="4F72110E" w14:textId="77777777">
      <w:pPr>
        <w:pStyle w:val="FootnoteText"/>
      </w:pPr>
      <w:r>
        <w:rPr>
          <w:rStyle w:val="FootnoteReference"/>
        </w:rPr>
        <w:footnoteRef/>
      </w:r>
      <w:r>
        <w:t xml:space="preserve"> Middle River Power Initial Comments at 6.</w:t>
      </w:r>
    </w:p>
  </w:footnote>
  <w:footnote w:id="546">
    <w:p w:rsidR="007B4278" w14:paraId="62481116" w14:textId="7C53D21E">
      <w:pPr>
        <w:pStyle w:val="FootnoteText"/>
      </w:pPr>
      <w:r>
        <w:rPr>
          <w:rStyle w:val="FootnoteReference"/>
        </w:rPr>
        <w:footnoteRef/>
      </w:r>
      <w:r w:rsidR="00BE263E">
        <w:t xml:space="preserve"> 16 U</w:t>
      </w:r>
      <w:r w:rsidR="000E2D61">
        <w:t>.</w:t>
      </w:r>
      <w:r w:rsidR="00BE263E">
        <w:t>S</w:t>
      </w:r>
      <w:r w:rsidR="000E2D61">
        <w:t>.</w:t>
      </w:r>
      <w:r w:rsidR="00BE263E">
        <w:t>C</w:t>
      </w:r>
      <w:r w:rsidR="000E2D61">
        <w:t>.</w:t>
      </w:r>
      <w:r w:rsidR="00BE263E">
        <w:t xml:space="preserve"> 824e(a) (“</w:t>
      </w:r>
      <w:r w:rsidRPr="00BE263E" w:rsidR="00BE263E">
        <w:t>Whenever the Commission, after a hearing held upon its own motion or upon complaint, shall find that any rate, charge, or classification, demanded, observed, charged, or collected by any </w:t>
      </w:r>
      <w:r w:rsidRPr="00E24287" w:rsidR="00BE263E">
        <w:t>public utility</w:t>
      </w:r>
      <w:r w:rsidRPr="00BE263E" w:rsidR="00BE263E">
        <w:t> for any transmission or sale subject to the jurisdiction of the Commission, or that any rule, regulation, practice, or contract affecting such rate, charge, or classification is unjust, unreasonable, unduly discriminatory or preferential, the Commission shall determine the just and reasonable rate, charge, classification, rule, regulation, practice, or contract to be thereafter observed and in force, and shall fix the same by order.</w:t>
      </w:r>
      <w:r w:rsidR="00BE263E">
        <w:t>”)</w:t>
      </w:r>
      <w:r w:rsidRPr="003552CF">
        <w:t>.</w:t>
      </w:r>
    </w:p>
  </w:footnote>
  <w:footnote w:id="547">
    <w:p w:rsidR="006B1D1D" w:rsidP="006B1D1D" w14:paraId="66051548" w14:textId="77777777">
      <w:pPr>
        <w:pStyle w:val="FootnoteText"/>
      </w:pPr>
      <w:r>
        <w:rPr>
          <w:rStyle w:val="FootnoteReference"/>
        </w:rPr>
        <w:footnoteRef/>
      </w:r>
      <w:r>
        <w:t xml:space="preserve"> PJM IMM Reply Comments at 6 (“</w:t>
      </w:r>
      <w:r w:rsidRPr="006B1D1D">
        <w:t>Such attacks</w:t>
      </w:r>
      <w:r>
        <w:t xml:space="preserve"> </w:t>
      </w:r>
      <w:r w:rsidRPr="006B1D1D">
        <w:t>on the rules and standards can be disregarded because they are collateral attacks on final</w:t>
      </w:r>
      <w:r>
        <w:t xml:space="preserve"> </w:t>
      </w:r>
      <w:r w:rsidRPr="006B1D1D">
        <w:t>rules and standards that are not within the scope of this proceeding. Reactive Service</w:t>
      </w:r>
      <w:r>
        <w:t xml:space="preserve"> </w:t>
      </w:r>
      <w:r w:rsidRPr="006B1D1D">
        <w:t>Providers arguments challenging longstanding Commission policy and multiple</w:t>
      </w:r>
      <w:r>
        <w:t xml:space="preserve"> </w:t>
      </w:r>
      <w:r w:rsidRPr="006B1D1D">
        <w:t>Commission orders are also beside the point.</w:t>
      </w:r>
      <w:r>
        <w:t>”).</w:t>
      </w:r>
    </w:p>
  </w:footnote>
  <w:footnote w:id="548">
    <w:p w:rsidR="00904BCB" w:rsidP="00904BCB" w14:paraId="6C0E6B22" w14:textId="1E87F0B1">
      <w:pPr>
        <w:pStyle w:val="FootnoteText"/>
      </w:pPr>
      <w:r>
        <w:rPr>
          <w:rStyle w:val="FootnoteReference"/>
        </w:rPr>
        <w:footnoteRef/>
      </w:r>
      <w:r>
        <w:t xml:space="preserve"> Joint Consumer Advocates Initial Comments at 8 (“</w:t>
      </w:r>
      <w:r w:rsidR="00CA55EB">
        <w:t>[S]</w:t>
      </w:r>
      <w:r w:rsidRPr="00904BCB">
        <w:t>ection 206 of</w:t>
      </w:r>
      <w:r>
        <w:t xml:space="preserve"> </w:t>
      </w:r>
      <w:r w:rsidRPr="00904BCB">
        <w:t>the FPA requires that the Commission act to eliminate unjust and unreasonable rates</w:t>
      </w:r>
      <w:r>
        <w:t xml:space="preserve"> </w:t>
      </w:r>
      <w:r w:rsidRPr="00904BCB">
        <w:t xml:space="preserve">where and when it finds them. </w:t>
      </w:r>
      <w:r w:rsidR="003243A3">
        <w:t xml:space="preserve"> </w:t>
      </w:r>
      <w:r w:rsidRPr="00904BCB">
        <w:t>There is no statutory authorization to allow an unjust and</w:t>
      </w:r>
      <w:r>
        <w:t xml:space="preserve"> </w:t>
      </w:r>
      <w:r w:rsidRPr="00904BCB">
        <w:t>unreasonable rate to continue.</w:t>
      </w:r>
      <w:r>
        <w:t>”)</w:t>
      </w:r>
    </w:p>
  </w:footnote>
  <w:footnote w:id="549">
    <w:p w:rsidR="006B1D1D" w:rsidRPr="006B1D1D" w14:paraId="0030DA7C" w14:textId="08828E56">
      <w:pPr>
        <w:pStyle w:val="FootnoteText"/>
      </w:pPr>
      <w:r>
        <w:rPr>
          <w:rStyle w:val="FootnoteReference"/>
        </w:rPr>
        <w:footnoteRef/>
      </w:r>
      <w:r>
        <w:t xml:space="preserve"> </w:t>
      </w:r>
      <w:r w:rsidR="00BC2717">
        <w:t xml:space="preserve">Joint Customers </w:t>
      </w:r>
      <w:r w:rsidR="00320F22">
        <w:t xml:space="preserve">Reply </w:t>
      </w:r>
      <w:r w:rsidR="00BC2717">
        <w:t xml:space="preserve">Comments, </w:t>
      </w:r>
      <w:r>
        <w:t xml:space="preserve">Reply Affidavit of Dr. Albert W. Bremser </w:t>
      </w:r>
      <w:r w:rsidR="00282F29">
        <w:t xml:space="preserve">   </w:t>
      </w:r>
      <w:r>
        <w:t>at 4</w:t>
      </w:r>
      <w:r w:rsidR="00CA68FC">
        <w:t>:1-3</w:t>
      </w:r>
      <w:r>
        <w:t xml:space="preserve"> (“My second conclusion is that permanent reliance on </w:t>
      </w:r>
      <w:r w:rsidR="00FB57E1">
        <w:t>[Commission]</w:t>
      </w:r>
      <w:r>
        <w:t xml:space="preserve">-jurisdictional practices as never changing is not consistent with the typical experience of </w:t>
      </w:r>
      <w:r w:rsidR="00FB57E1">
        <w:t>[Commission]</w:t>
      </w:r>
      <w:r>
        <w:t xml:space="preserve">-jurisdictional entities and ratepayers.”; </w:t>
      </w:r>
      <w:r>
        <w:rPr>
          <w:i/>
          <w:iCs/>
        </w:rPr>
        <w:t>id</w:t>
      </w:r>
      <w:r>
        <w:t>. at 10</w:t>
      </w:r>
      <w:r w:rsidR="006707FB">
        <w:t>:2-6</w:t>
      </w:r>
      <w:r>
        <w:t xml:space="preserve"> (“In terms of reliance on Commission past practices or what the Commission has allowed, it is my experience that the Commission can and does change its practices and what it allows.  This can impact the rates charge</w:t>
      </w:r>
      <w:r w:rsidR="00D9122B">
        <w:t>d</w:t>
      </w:r>
      <w:r>
        <w:t xml:space="preserve"> to ratepayers and the rates collected by companies.”).</w:t>
      </w:r>
    </w:p>
  </w:footnote>
  <w:footnote w:id="550">
    <w:p w:rsidR="00A02C13" w14:paraId="6C92987E" w14:textId="336AE904">
      <w:pPr>
        <w:pStyle w:val="FootnoteText"/>
      </w:pPr>
      <w:r>
        <w:rPr>
          <w:rStyle w:val="FootnoteReference"/>
        </w:rPr>
        <w:footnoteRef/>
      </w:r>
      <w:r w:rsidRPr="003552CF">
        <w:t xml:space="preserve"> </w:t>
      </w:r>
      <w:r w:rsidRPr="00E24287" w:rsidR="00A47DAA">
        <w:rPr>
          <w:i/>
          <w:iCs/>
        </w:rPr>
        <w:t>See</w:t>
      </w:r>
      <w:r w:rsidRPr="00E24287" w:rsidR="00A47DAA">
        <w:t xml:space="preserve">, </w:t>
      </w:r>
      <w:r w:rsidRPr="00E24287" w:rsidR="00A47DAA">
        <w:rPr>
          <w:i/>
          <w:iCs/>
        </w:rPr>
        <w:t>e.g.</w:t>
      </w:r>
      <w:r w:rsidRPr="00E24287" w:rsidR="00A47DAA">
        <w:t xml:space="preserve">, </w:t>
      </w:r>
      <w:r w:rsidRPr="00A47DAA" w:rsidR="00A47DAA">
        <w:rPr>
          <w:i/>
          <w:iCs/>
        </w:rPr>
        <w:t>Indep. Mkt. Monitor for PJM v. PJM Interconnection, L.L.C.</w:t>
      </w:r>
      <w:r w:rsidRPr="00A47DAA" w:rsidR="00A47DAA">
        <w:t xml:space="preserve">, </w:t>
      </w:r>
      <w:r w:rsidRPr="00A47DAA" w:rsidR="00FA7DA8">
        <w:t>176</w:t>
      </w:r>
      <w:r w:rsidR="00FA7DA8">
        <w:t> </w:t>
      </w:r>
      <w:r w:rsidRPr="00A47DAA" w:rsidR="00A47DAA">
        <w:t>FERC ¶ 61,137 (2021)</w:t>
      </w:r>
      <w:r w:rsidR="00A47DAA">
        <w:t xml:space="preserve">; </w:t>
      </w:r>
      <w:r w:rsidRPr="00E24287" w:rsidR="00A47DAA">
        <w:rPr>
          <w:i/>
          <w:iCs/>
        </w:rPr>
        <w:t>order on reh’g</w:t>
      </w:r>
      <w:r w:rsidR="00A47DAA">
        <w:t>,</w:t>
      </w:r>
      <w:r w:rsidRPr="00A47DAA" w:rsidR="00A47DAA">
        <w:t xml:space="preserve"> </w:t>
      </w:r>
      <w:r w:rsidRPr="00A47DAA" w:rsidR="00A47DAA">
        <w:t>178 FERC ¶ 61,121</w:t>
      </w:r>
      <w:r w:rsidRPr="00A47DAA" w:rsidR="00A47DAA">
        <w:t xml:space="preserve"> </w:t>
      </w:r>
      <w:r w:rsidR="00A47DAA">
        <w:t>(2022).</w:t>
      </w:r>
    </w:p>
  </w:footnote>
  <w:footnote w:id="551">
    <w:p w:rsidR="00A51196" w:rsidP="00A51196" w14:paraId="1CD45E83" w14:textId="00C5AB64">
      <w:pPr>
        <w:pStyle w:val="FootnoteText"/>
      </w:pPr>
      <w:r>
        <w:rPr>
          <w:rStyle w:val="FootnoteReference"/>
        </w:rPr>
        <w:footnoteRef/>
      </w:r>
      <w:r>
        <w:t xml:space="preserve"> Ameren Initial Comments at 5 (</w:t>
      </w:r>
      <w:r w:rsidR="00350275">
        <w:t>citing</w:t>
      </w:r>
      <w:r w:rsidRPr="00511198">
        <w:t xml:space="preserve"> Docket Nos. ER21-1046, ER21-2329, ER21-2695, ER21-2892, ER22-526, ER22-616, ER22-615, ER22-1554, ER22-1610, ER22-1815</w:t>
      </w:r>
      <w:r>
        <w:t>).</w:t>
      </w:r>
    </w:p>
  </w:footnote>
  <w:footnote w:id="552">
    <w:p w:rsidR="0001233E" w:rsidP="0001233E" w14:paraId="3E7AA307" w14:textId="77777777">
      <w:pPr>
        <w:pStyle w:val="FootnoteText"/>
      </w:pPr>
      <w:r>
        <w:rPr>
          <w:rStyle w:val="FootnoteReference"/>
        </w:rPr>
        <w:footnoteRef/>
      </w:r>
      <w:r>
        <w:t xml:space="preserve"> NHA Initial Comments at 6-7.</w:t>
      </w:r>
    </w:p>
  </w:footnote>
  <w:footnote w:id="553">
    <w:p w:rsidR="00A51196" w:rsidP="00A51196" w14:paraId="0E5FCAED" w14:textId="77777777">
      <w:pPr>
        <w:pStyle w:val="FootnoteText"/>
        <w:rPr>
          <w:rFonts w:cstheme="minorBidi"/>
          <w:kern w:val="2"/>
          <w:sz w:val="20"/>
          <w14:ligatures w14:val="standardContextual"/>
        </w:rPr>
      </w:pPr>
      <w:r>
        <w:rPr>
          <w:rStyle w:val="FootnoteReference"/>
          <w:szCs w:val="26"/>
        </w:rPr>
        <w:footnoteRef/>
      </w:r>
      <w:r>
        <w:rPr>
          <w:szCs w:val="26"/>
        </w:rPr>
        <w:t xml:space="preserve"> Indicated Trade Associations Initial Comments at 32.</w:t>
      </w:r>
    </w:p>
  </w:footnote>
  <w:footnote w:id="554">
    <w:p w:rsidR="00A51196" w:rsidRPr="007C2B93" w:rsidP="00A51196" w14:paraId="0BF8AFAE" w14:textId="2D8FDE91">
      <w:pPr>
        <w:pStyle w:val="FootnoteText"/>
        <w:rPr>
          <w:szCs w:val="26"/>
        </w:rPr>
      </w:pPr>
      <w:r w:rsidRPr="007C2B93">
        <w:rPr>
          <w:rStyle w:val="FootnoteReference"/>
          <w:szCs w:val="26"/>
        </w:rPr>
        <w:footnoteRef/>
      </w:r>
      <w:r w:rsidRPr="007C2B93">
        <w:rPr>
          <w:szCs w:val="26"/>
        </w:rPr>
        <w:t xml:space="preserve"> </w:t>
      </w:r>
      <w:r w:rsidR="0025476B">
        <w:rPr>
          <w:i/>
          <w:iCs/>
          <w:szCs w:val="26"/>
        </w:rPr>
        <w:t>Id.</w:t>
      </w:r>
      <w:r w:rsidRPr="007C2B93">
        <w:rPr>
          <w:szCs w:val="26"/>
        </w:rPr>
        <w:t xml:space="preserve"> at 1, 7.</w:t>
      </w:r>
    </w:p>
  </w:footnote>
  <w:footnote w:id="555">
    <w:p w:rsidR="00A51196" w:rsidRPr="007C2B93" w:rsidP="00A51196" w14:paraId="5E7867EC" w14:textId="035A1E6C">
      <w:pPr>
        <w:pStyle w:val="FootnoteText"/>
        <w:rPr>
          <w:szCs w:val="26"/>
        </w:rPr>
      </w:pPr>
      <w:r w:rsidRPr="007C2B93">
        <w:rPr>
          <w:rStyle w:val="FootnoteReference"/>
          <w:szCs w:val="26"/>
        </w:rPr>
        <w:footnoteRef/>
      </w:r>
      <w:r w:rsidRPr="007C2B93">
        <w:rPr>
          <w:szCs w:val="26"/>
        </w:rPr>
        <w:t xml:space="preserve"> </w:t>
      </w:r>
      <w:r w:rsidR="0025476B">
        <w:rPr>
          <w:i/>
          <w:iCs/>
          <w:szCs w:val="26"/>
        </w:rPr>
        <w:t>Id.</w:t>
      </w:r>
      <w:r w:rsidRPr="007C2B93">
        <w:rPr>
          <w:szCs w:val="26"/>
        </w:rPr>
        <w:t xml:space="preserve"> at 5-6. </w:t>
      </w:r>
    </w:p>
  </w:footnote>
  <w:footnote w:id="556">
    <w:p w:rsidR="004116BA" w14:paraId="56861BC8" w14:textId="5E33592B">
      <w:pPr>
        <w:pStyle w:val="FootnoteText"/>
      </w:pPr>
      <w:r>
        <w:rPr>
          <w:rStyle w:val="FootnoteReference"/>
        </w:rPr>
        <w:footnoteRef/>
      </w:r>
      <w:r>
        <w:t xml:space="preserve"> </w:t>
      </w:r>
      <w:r w:rsidRPr="00861032">
        <w:t>Glenvale Initial Comment</w:t>
      </w:r>
      <w:r>
        <w:t>s</w:t>
      </w:r>
      <w:r w:rsidRPr="00861032">
        <w:t xml:space="preserve"> at 8</w:t>
      </w:r>
      <w:r>
        <w:t>.</w:t>
      </w:r>
    </w:p>
  </w:footnote>
  <w:footnote w:id="557">
    <w:p w:rsidR="00A51196" w:rsidP="00A51196" w14:paraId="0F1C7F4A" w14:textId="40229BF5">
      <w:pPr>
        <w:pStyle w:val="FootnoteText"/>
      </w:pPr>
      <w:r w:rsidRPr="01D5E437">
        <w:rPr>
          <w:rStyle w:val="FootnoteReference"/>
        </w:rPr>
        <w:footnoteRef/>
      </w:r>
      <w:r>
        <w:t xml:space="preserve"> Clean Energy Associations Initial Comment</w:t>
      </w:r>
      <w:r w:rsidR="00CB56A5">
        <w:t>s</w:t>
      </w:r>
      <w:r>
        <w:t xml:space="preserve"> at </w:t>
      </w:r>
      <w:r w:rsidR="00EC143B">
        <w:t>9-10</w:t>
      </w:r>
      <w:r>
        <w:t>.</w:t>
      </w:r>
    </w:p>
  </w:footnote>
  <w:footnote w:id="558">
    <w:p w:rsidR="009359F1" w:rsidP="009359F1" w14:paraId="1BADB792" w14:textId="77777777">
      <w:pPr>
        <w:pStyle w:val="FootnoteText"/>
      </w:pPr>
      <w:r>
        <w:rPr>
          <w:rStyle w:val="FootnoteReference"/>
        </w:rPr>
        <w:footnoteRef/>
      </w:r>
      <w:r>
        <w:t xml:space="preserve"> Reactive Service Providers Initial Comments at 24-29.</w:t>
      </w:r>
    </w:p>
  </w:footnote>
  <w:footnote w:id="559">
    <w:p w:rsidR="009359F1" w:rsidP="009359F1" w14:paraId="7268191A" w14:textId="4836D584">
      <w:pPr>
        <w:pStyle w:val="FootnoteText"/>
      </w:pPr>
      <w:r>
        <w:rPr>
          <w:rStyle w:val="FootnoteReference"/>
        </w:rPr>
        <w:footnoteRef/>
      </w:r>
      <w:r>
        <w:t xml:space="preserve"> </w:t>
      </w:r>
      <w:r w:rsidR="00A34C6E">
        <w:rPr>
          <w:i/>
          <w:iCs/>
        </w:rPr>
        <w:t>Id.</w:t>
      </w:r>
      <w:r>
        <w:t xml:space="preserve"> at 35-36.</w:t>
      </w:r>
    </w:p>
  </w:footnote>
  <w:footnote w:id="560">
    <w:p w:rsidR="00B66E94" w:rsidP="00B66E94" w14:paraId="53570E86" w14:textId="036A53AC">
      <w:pPr>
        <w:pStyle w:val="FootnoteText"/>
      </w:pPr>
      <w:r w:rsidRPr="01D5E437">
        <w:rPr>
          <w:rStyle w:val="FootnoteReference"/>
        </w:rPr>
        <w:footnoteRef/>
      </w:r>
      <w:r>
        <w:t xml:space="preserve"> Clean Energy Associations Initial Comment</w:t>
      </w:r>
      <w:r w:rsidR="0082724D">
        <w:t>s</w:t>
      </w:r>
      <w:r>
        <w:t xml:space="preserve"> at 2-3.</w:t>
      </w:r>
    </w:p>
  </w:footnote>
  <w:footnote w:id="561">
    <w:p w:rsidR="00684E2E" w:rsidP="00684E2E" w14:paraId="7330A5C5" w14:textId="77777777">
      <w:pPr>
        <w:pStyle w:val="FootnoteText"/>
      </w:pPr>
      <w:r>
        <w:rPr>
          <w:rStyle w:val="FootnoteReference"/>
        </w:rPr>
        <w:footnoteRef/>
      </w:r>
      <w:r>
        <w:t xml:space="preserve"> ACORE Initial Comments at 4.</w:t>
      </w:r>
    </w:p>
  </w:footnote>
  <w:footnote w:id="562">
    <w:p w:rsidR="005D0975" w:rsidP="005D0975" w14:paraId="0BE6BE92" w14:textId="77777777">
      <w:pPr>
        <w:pStyle w:val="FootnoteText"/>
      </w:pPr>
      <w:r>
        <w:rPr>
          <w:rStyle w:val="FootnoteReference"/>
        </w:rPr>
        <w:footnoteRef/>
      </w:r>
      <w:r>
        <w:t xml:space="preserve"> Joint Customers Initial Comments at 7-11.</w:t>
      </w:r>
    </w:p>
  </w:footnote>
  <w:footnote w:id="563">
    <w:p w:rsidR="00FA2D96" w:rsidP="00FA2D96" w14:paraId="0020A3F1" w14:textId="77777777">
      <w:pPr>
        <w:pStyle w:val="FootnoteText"/>
      </w:pPr>
      <w:r>
        <w:rPr>
          <w:rStyle w:val="FootnoteReference"/>
        </w:rPr>
        <w:footnoteRef/>
      </w:r>
      <w:r>
        <w:t xml:space="preserve"> Liberty Initial Comments at 1.</w:t>
      </w:r>
    </w:p>
  </w:footnote>
  <w:footnote w:id="564">
    <w:p w:rsidR="009E7B9E" w:rsidP="009E7B9E" w14:paraId="6E94A2E0" w14:textId="77777777">
      <w:pPr>
        <w:pStyle w:val="FootnoteText"/>
      </w:pPr>
      <w:r>
        <w:rPr>
          <w:rStyle w:val="FootnoteReference"/>
        </w:rPr>
        <w:footnoteRef/>
      </w:r>
      <w:r>
        <w:t xml:space="preserve"> Middle River Power Initial Comments at 5.</w:t>
      </w:r>
    </w:p>
  </w:footnote>
  <w:footnote w:id="565">
    <w:p w:rsidR="00EB4507" w:rsidP="00EB4507" w14:paraId="2BB65217" w14:textId="77777777">
      <w:pPr>
        <w:pStyle w:val="FootnoteText"/>
      </w:pPr>
      <w:r>
        <w:rPr>
          <w:rStyle w:val="FootnoteReference"/>
        </w:rPr>
        <w:footnoteRef/>
      </w:r>
      <w:r>
        <w:t xml:space="preserve"> NEI Initial Comments at 5.</w:t>
      </w:r>
    </w:p>
  </w:footnote>
  <w:footnote w:id="566">
    <w:p w:rsidR="00EB4507" w:rsidP="00EB4507" w14:paraId="0C780CFB" w14:textId="277A1FA3">
      <w:pPr>
        <w:pStyle w:val="FootnoteText"/>
      </w:pPr>
      <w:r>
        <w:rPr>
          <w:rStyle w:val="FootnoteReference"/>
        </w:rPr>
        <w:footnoteRef/>
      </w:r>
      <w:r>
        <w:t xml:space="preserve"> </w:t>
      </w:r>
      <w:r w:rsidRPr="00C06B6B" w:rsidR="00562600">
        <w:rPr>
          <w:i/>
          <w:iCs/>
        </w:rPr>
        <w:t>Id.</w:t>
      </w:r>
      <w:r w:rsidR="00562600">
        <w:t xml:space="preserve"> </w:t>
      </w:r>
      <w:r>
        <w:t>at 11.</w:t>
      </w:r>
    </w:p>
  </w:footnote>
  <w:footnote w:id="567">
    <w:p w:rsidR="00597864" w:rsidP="00597864" w14:paraId="2BEB831C" w14:textId="77777777">
      <w:pPr>
        <w:pStyle w:val="FootnoteText"/>
      </w:pPr>
      <w:r>
        <w:rPr>
          <w:rStyle w:val="FootnoteReference"/>
        </w:rPr>
        <w:footnoteRef/>
      </w:r>
      <w:r>
        <w:t xml:space="preserve"> TAPS Initial Comments at 4.</w:t>
      </w:r>
    </w:p>
  </w:footnote>
  <w:footnote w:id="568">
    <w:p w:rsidR="00FD2A31" w:rsidP="003006F1" w14:paraId="25161A03" w14:textId="7B27DE8A">
      <w:pPr>
        <w:pStyle w:val="FootnoteText"/>
        <w:tabs>
          <w:tab w:val="left" w:pos="1440"/>
        </w:tabs>
      </w:pPr>
      <w:r>
        <w:rPr>
          <w:rStyle w:val="FootnoteReference"/>
        </w:rPr>
        <w:footnoteRef/>
      </w:r>
      <w:r w:rsidR="008E0DA8">
        <w:t xml:space="preserve"> </w:t>
      </w:r>
      <w:r w:rsidR="008E0DA8">
        <w:rPr>
          <w:i/>
          <w:iCs/>
        </w:rPr>
        <w:t xml:space="preserve">See </w:t>
      </w:r>
      <w:r w:rsidRPr="008E0DA8" w:rsidR="008E0DA8">
        <w:t>Order No. 888, FERC Stats. &amp; Regs. ¶ 31,036 at 31,760-63</w:t>
      </w:r>
      <w:r w:rsidR="008E0DA8">
        <w:t>.</w:t>
      </w:r>
    </w:p>
  </w:footnote>
  <w:footnote w:id="569">
    <w:p w:rsidR="00FD2A31" w:rsidP="00FD2A31" w14:paraId="0704BA58" w14:textId="131C7A3F">
      <w:pPr>
        <w:pStyle w:val="FootnoteText"/>
      </w:pPr>
      <w:r>
        <w:rPr>
          <w:rStyle w:val="FootnoteReference"/>
        </w:rPr>
        <w:footnoteRef/>
      </w:r>
      <w:r>
        <w:t xml:space="preserve"> </w:t>
      </w:r>
      <w:r w:rsidR="005F38C3">
        <w:rPr>
          <w:i/>
          <w:iCs/>
        </w:rPr>
        <w:t>See</w:t>
      </w:r>
      <w:r>
        <w:rPr>
          <w:i/>
        </w:rPr>
        <w:t xml:space="preserve"> </w:t>
      </w:r>
      <w:r w:rsidRPr="00FD2A31">
        <w:t>Order No. 2003, 104 FERC ¶ 61,103 at PP 822-27; Order No. 2006, 111</w:t>
      </w:r>
      <w:r w:rsidR="00AE3137">
        <w:t> </w:t>
      </w:r>
      <w:r w:rsidRPr="00FD2A31">
        <w:t>FERC</w:t>
      </w:r>
      <w:r w:rsidR="00760A6E">
        <w:t xml:space="preserve"> </w:t>
      </w:r>
      <w:r w:rsidRPr="00FD2A31">
        <w:t>¶</w:t>
      </w:r>
      <w:r w:rsidR="00EE5CA9">
        <w:t xml:space="preserve"> </w:t>
      </w:r>
      <w:r w:rsidRPr="00FD2A31">
        <w:t>61,220 at PP 546-50).</w:t>
      </w:r>
    </w:p>
  </w:footnote>
  <w:footnote w:id="570">
    <w:p w:rsidR="00E82023" w14:paraId="31ECC056" w14:textId="5B879BEB">
      <w:pPr>
        <w:pStyle w:val="FootnoteText"/>
      </w:pPr>
      <w:r>
        <w:rPr>
          <w:rStyle w:val="FootnoteReference"/>
        </w:rPr>
        <w:footnoteRef/>
      </w:r>
      <w:r>
        <w:t xml:space="preserve"> </w:t>
      </w:r>
      <w:r w:rsidR="00621F5B">
        <w:rPr>
          <w:i/>
          <w:iCs/>
        </w:rPr>
        <w:t xml:space="preserve">See </w:t>
      </w:r>
      <w:r w:rsidRPr="008E0DA8" w:rsidR="00621F5B">
        <w:t>Order No. 888, FERC Stats. &amp; Regs. ¶ 31,036 at 31,760-63</w:t>
      </w:r>
      <w:r w:rsidR="00C80922">
        <w:t>;</w:t>
      </w:r>
      <w:r w:rsidRPr="00621F5B" w:rsidR="00621F5B">
        <w:t xml:space="preserve"> </w:t>
      </w:r>
      <w:r w:rsidRPr="00FD2A31" w:rsidR="00621F5B">
        <w:t xml:space="preserve">Order </w:t>
      </w:r>
      <w:r w:rsidR="00282F29">
        <w:t xml:space="preserve">         </w:t>
      </w:r>
      <w:r w:rsidRPr="00FD2A31" w:rsidR="00621F5B">
        <w:t>No. 2003, 104 FERC ¶ 61,103 at PP 822-27; Order No. 2006, 111 FERC</w:t>
      </w:r>
      <w:r w:rsidR="007A2FD2">
        <w:t xml:space="preserve"> </w:t>
      </w:r>
      <w:r w:rsidRPr="00FD2A31" w:rsidR="00621F5B">
        <w:t>¶</w:t>
      </w:r>
      <w:r w:rsidR="00621F5B">
        <w:t xml:space="preserve"> </w:t>
      </w:r>
      <w:r w:rsidRPr="00FD2A31" w:rsidR="00621F5B">
        <w:t xml:space="preserve">61,220 </w:t>
      </w:r>
      <w:r w:rsidR="00282F29">
        <w:t xml:space="preserve">         </w:t>
      </w:r>
      <w:r w:rsidRPr="00FD2A31" w:rsidR="00621F5B">
        <w:t>at PP 546-50).</w:t>
      </w:r>
    </w:p>
  </w:footnote>
  <w:footnote w:id="571">
    <w:p w:rsidR="009B7DD3" w:rsidP="009B7DD3" w14:paraId="7CF1CE89" w14:textId="2E9DF5C6">
      <w:pPr>
        <w:pStyle w:val="FootnoteText"/>
      </w:pPr>
      <w:r>
        <w:rPr>
          <w:rStyle w:val="FootnoteReference"/>
        </w:rPr>
        <w:footnoteRef/>
      </w:r>
      <w:r>
        <w:t xml:space="preserve"> </w:t>
      </w:r>
      <w:r w:rsidR="00213003">
        <w:t xml:space="preserve">NOPR, </w:t>
      </w:r>
      <w:r w:rsidRPr="004F19E7" w:rsidR="00213003">
        <w:t>186 FERC ¶</w:t>
      </w:r>
      <w:r w:rsidR="00C05B45">
        <w:t> </w:t>
      </w:r>
      <w:r w:rsidRPr="004F19E7" w:rsidR="00213003">
        <w:t>61,203</w:t>
      </w:r>
      <w:r w:rsidR="00213003">
        <w:t xml:space="preserve"> </w:t>
      </w:r>
      <w:r>
        <w:t>at P</w:t>
      </w:r>
      <w:r w:rsidR="00C05B45">
        <w:t> </w:t>
      </w:r>
      <w:r>
        <w:t>54.</w:t>
      </w:r>
    </w:p>
  </w:footnote>
  <w:footnote w:id="572">
    <w:p w:rsidR="009B7DD3" w:rsidP="009B7DD3" w14:paraId="638D5D98" w14:textId="7EDAB188">
      <w:pPr>
        <w:pStyle w:val="FootnoteText"/>
      </w:pPr>
      <w:r>
        <w:rPr>
          <w:rStyle w:val="FootnoteReference"/>
        </w:rPr>
        <w:footnoteRef/>
      </w:r>
      <w:r>
        <w:t xml:space="preserve"> </w:t>
      </w:r>
      <w:r>
        <w:rPr>
          <w:i/>
          <w:iCs/>
        </w:rPr>
        <w:t>Id.</w:t>
      </w:r>
      <w:r>
        <w:t xml:space="preserve"> P</w:t>
      </w:r>
      <w:r w:rsidR="00C05B45">
        <w:t> </w:t>
      </w:r>
      <w:r>
        <w:t xml:space="preserve">56. </w:t>
      </w:r>
    </w:p>
  </w:footnote>
  <w:footnote w:id="573">
    <w:p w:rsidR="009B7DD3" w:rsidP="009B7DD3" w14:paraId="414C8BED" w14:textId="77777777">
      <w:pPr>
        <w:pStyle w:val="FootnoteText"/>
      </w:pPr>
      <w:r>
        <w:rPr>
          <w:rStyle w:val="FootnoteReference"/>
        </w:rPr>
        <w:footnoteRef/>
      </w:r>
      <w:r>
        <w:t xml:space="preserve"> </w:t>
      </w:r>
      <w:r>
        <w:rPr>
          <w:i/>
          <w:iCs/>
        </w:rPr>
        <w:t>Id</w:t>
      </w:r>
      <w:r>
        <w:t>.</w:t>
      </w:r>
    </w:p>
  </w:footnote>
  <w:footnote w:id="574">
    <w:p w:rsidR="009B7DD3" w:rsidRPr="00725371" w:rsidP="009B7DD3" w14:paraId="30A0D8AB" w14:textId="77777777">
      <w:pPr>
        <w:pStyle w:val="FootnoteText"/>
      </w:pPr>
      <w:r>
        <w:rPr>
          <w:rStyle w:val="FootnoteReference"/>
        </w:rPr>
        <w:footnoteRef/>
      </w:r>
      <w:r>
        <w:t xml:space="preserve"> </w:t>
      </w:r>
      <w:r>
        <w:rPr>
          <w:i/>
          <w:iCs/>
        </w:rPr>
        <w:t>Id.</w:t>
      </w:r>
    </w:p>
  </w:footnote>
  <w:footnote w:id="575">
    <w:p w:rsidR="00FB3A27" w:rsidP="00FB3A27" w14:paraId="5ECC5620" w14:textId="77777777">
      <w:pPr>
        <w:pStyle w:val="FootnoteText"/>
      </w:pPr>
      <w:r>
        <w:rPr>
          <w:rStyle w:val="FootnoteReference"/>
        </w:rPr>
        <w:footnoteRef/>
      </w:r>
      <w:r>
        <w:t xml:space="preserve"> </w:t>
      </w:r>
      <w:r w:rsidRPr="006056E4">
        <w:rPr>
          <w:i/>
        </w:rPr>
        <w:t>See</w:t>
      </w:r>
      <w:r w:rsidRPr="00453A68">
        <w:t xml:space="preserve"> PGE Initial Comments at 5;</w:t>
      </w:r>
      <w:r w:rsidRPr="00B00BF5">
        <w:t xml:space="preserve"> </w:t>
      </w:r>
      <w:r w:rsidRPr="004A3667">
        <w:t>TAPS Initial Comments at 8</w:t>
      </w:r>
      <w:r>
        <w:t>; PGE Initial Comments at 5.</w:t>
      </w:r>
    </w:p>
  </w:footnote>
  <w:footnote w:id="576">
    <w:p w:rsidR="009B7DD3" w:rsidP="009B7DD3" w14:paraId="40A1A18B" w14:textId="40DC95F3">
      <w:pPr>
        <w:pStyle w:val="FootnoteText"/>
      </w:pPr>
      <w:r>
        <w:rPr>
          <w:rStyle w:val="FootnoteReference"/>
        </w:rPr>
        <w:footnoteRef/>
      </w:r>
      <w:r>
        <w:t xml:space="preserve"> MISO Transmission Owners Initial Comments at 1</w:t>
      </w:r>
      <w:r w:rsidR="008A6783">
        <w:t>7</w:t>
      </w:r>
      <w:r>
        <w:t>-19.</w:t>
      </w:r>
    </w:p>
  </w:footnote>
  <w:footnote w:id="577">
    <w:p w:rsidR="009B7DD3" w:rsidP="009B7DD3" w14:paraId="13BF30BC" w14:textId="6A6F6838">
      <w:pPr>
        <w:pStyle w:val="FootnoteText"/>
      </w:pPr>
      <w:r>
        <w:rPr>
          <w:rStyle w:val="FootnoteReference"/>
        </w:rPr>
        <w:footnoteRef/>
      </w:r>
      <w:r>
        <w:t xml:space="preserve"> </w:t>
      </w:r>
      <w:r w:rsidR="00AD3CB7">
        <w:rPr>
          <w:i/>
          <w:iCs/>
        </w:rPr>
        <w:t>Id.</w:t>
      </w:r>
      <w:r w:rsidRPr="006056E4" w:rsidR="00AD3CB7">
        <w:rPr>
          <w:i/>
        </w:rPr>
        <w:t xml:space="preserve"> </w:t>
      </w:r>
      <w:r>
        <w:t>at 2.</w:t>
      </w:r>
    </w:p>
  </w:footnote>
  <w:footnote w:id="578">
    <w:p w:rsidR="009B7DD3" w:rsidP="009B7DD3" w14:paraId="28BD4A9B" w14:textId="3147E9DD">
      <w:pPr>
        <w:pStyle w:val="FootnoteText"/>
      </w:pPr>
      <w:r>
        <w:rPr>
          <w:rStyle w:val="FootnoteReference"/>
        </w:rPr>
        <w:footnoteRef/>
      </w:r>
      <w:r>
        <w:t xml:space="preserve"> Joint Customers Reply Comments at 7-8 (citing </w:t>
      </w:r>
      <w:r>
        <w:rPr>
          <w:i/>
          <w:iCs/>
        </w:rPr>
        <w:t>P</w:t>
      </w:r>
      <w:r w:rsidR="007A3BFF">
        <w:rPr>
          <w:i/>
          <w:iCs/>
        </w:rPr>
        <w:t>NM</w:t>
      </w:r>
      <w:r>
        <w:t>, 178 FERC ¶</w:t>
      </w:r>
      <w:r w:rsidR="00C05B45">
        <w:t> </w:t>
      </w:r>
      <w:r>
        <w:t xml:space="preserve">61,088 </w:t>
      </w:r>
      <w:r w:rsidR="00282F29">
        <w:t xml:space="preserve">      </w:t>
      </w:r>
      <w:r>
        <w:t>at P</w:t>
      </w:r>
      <w:r w:rsidR="00C05B45">
        <w:t> </w:t>
      </w:r>
      <w:r>
        <w:t xml:space="preserve">32; </w:t>
      </w:r>
      <w:r>
        <w:rPr>
          <w:i/>
          <w:iCs/>
        </w:rPr>
        <w:t>MISO</w:t>
      </w:r>
      <w:r>
        <w:t>, 182 FERC ¶</w:t>
      </w:r>
      <w:r w:rsidR="00C05B45">
        <w:t> </w:t>
      </w:r>
      <w:r>
        <w:t>61,033 at P</w:t>
      </w:r>
      <w:r w:rsidR="00C05B45">
        <w:t> </w:t>
      </w:r>
      <w:r>
        <w:t xml:space="preserve">67; MISO Rehearing </w:t>
      </w:r>
      <w:r w:rsidR="007A3BFF">
        <w:t>Order</w:t>
      </w:r>
      <w:r w:rsidRPr="00B16841" w:rsidR="00B16841">
        <w:t xml:space="preserve">, </w:t>
      </w:r>
      <w:r w:rsidRPr="00B16841" w:rsidR="00B16841">
        <w:t>184</w:t>
      </w:r>
      <w:r w:rsidRPr="00B16841" w:rsidR="00B16841">
        <w:t> </w:t>
      </w:r>
      <w:r w:rsidRPr="00B16841" w:rsidR="00B16841">
        <w:t>FERC ¶</w:t>
      </w:r>
      <w:r w:rsidRPr="00B16841" w:rsidR="00B16841">
        <w:t> </w:t>
      </w:r>
      <w:r w:rsidRPr="00B16841" w:rsidR="00B16841">
        <w:t>61,022</w:t>
      </w:r>
      <w:r w:rsidR="007A3BFF">
        <w:t xml:space="preserve"> </w:t>
      </w:r>
      <w:r>
        <w:t>at PP</w:t>
      </w:r>
      <w:r w:rsidR="00C05B45">
        <w:t> </w:t>
      </w:r>
      <w:r>
        <w:t>32-33.)</w:t>
      </w:r>
    </w:p>
  </w:footnote>
  <w:footnote w:id="579">
    <w:p w:rsidR="009B7DD3" w:rsidP="009B7DD3" w14:paraId="00E3D987" w14:textId="77777777">
      <w:pPr>
        <w:pStyle w:val="FootnoteText"/>
      </w:pPr>
      <w:r>
        <w:rPr>
          <w:rStyle w:val="FootnoteReference"/>
        </w:rPr>
        <w:footnoteRef/>
      </w:r>
      <w:r>
        <w:t xml:space="preserve"> Joint Customers Initial Comments at 18-21.</w:t>
      </w:r>
    </w:p>
  </w:footnote>
  <w:footnote w:id="580">
    <w:p w:rsidR="009B7DD3" w:rsidP="009B7DD3" w14:paraId="401CD2E1" w14:textId="77777777">
      <w:pPr>
        <w:pStyle w:val="FootnoteText"/>
      </w:pPr>
      <w:r>
        <w:rPr>
          <w:rStyle w:val="FootnoteReference"/>
        </w:rPr>
        <w:footnoteRef/>
      </w:r>
      <w:r>
        <w:t xml:space="preserve"> PGE Initial Comments at 5. </w:t>
      </w:r>
    </w:p>
  </w:footnote>
  <w:footnote w:id="581">
    <w:p w:rsidR="00B92F40" w:rsidP="00B92F40" w14:paraId="7B8B66DD" w14:textId="77777777">
      <w:pPr>
        <w:pStyle w:val="FootnoteText"/>
      </w:pPr>
      <w:r>
        <w:rPr>
          <w:rStyle w:val="FootnoteReference"/>
        </w:rPr>
        <w:footnoteRef/>
      </w:r>
      <w:r>
        <w:t xml:space="preserve"> </w:t>
      </w:r>
      <w:r w:rsidRPr="00EF0562">
        <w:t>Joint Customers Reply Comments at 9-10</w:t>
      </w:r>
      <w:r>
        <w:t xml:space="preserve">; </w:t>
      </w:r>
      <w:r w:rsidRPr="00D60960">
        <w:t>MISO Transmission Owners Initial Comments at 18-19</w:t>
      </w:r>
      <w:r>
        <w:t xml:space="preserve"> (noting that generating facilities have been on notice of the prospect of the elimination of reactive power compensation since Order No. 2003 and reminded of it routinely since then)</w:t>
      </w:r>
      <w:r w:rsidRPr="00D60960">
        <w:t>.</w:t>
      </w:r>
    </w:p>
  </w:footnote>
  <w:footnote w:id="582">
    <w:p w:rsidR="009B7DD3" w:rsidP="009B7DD3" w14:paraId="17EFFAFB" w14:textId="77777777">
      <w:pPr>
        <w:pStyle w:val="FootnoteText"/>
      </w:pPr>
      <w:r>
        <w:rPr>
          <w:rStyle w:val="FootnoteReference"/>
        </w:rPr>
        <w:footnoteRef/>
      </w:r>
      <w:r>
        <w:t xml:space="preserve"> Joint Customers Initial Comments at 21.</w:t>
      </w:r>
    </w:p>
  </w:footnote>
  <w:footnote w:id="583">
    <w:p w:rsidR="009B7DD3" w:rsidP="009B7DD3" w14:paraId="6C7C3131" w14:textId="77777777">
      <w:pPr>
        <w:pStyle w:val="FootnoteText"/>
      </w:pPr>
      <w:r>
        <w:rPr>
          <w:rStyle w:val="FootnoteReference"/>
        </w:rPr>
        <w:footnoteRef/>
      </w:r>
      <w:r>
        <w:t xml:space="preserve"> MISO Transmission Owners Initial Comments at 18-19.</w:t>
      </w:r>
    </w:p>
  </w:footnote>
  <w:footnote w:id="584">
    <w:p w:rsidR="006F29FC" w:rsidP="006F29FC" w14:paraId="61062805" w14:textId="65E9D711">
      <w:pPr>
        <w:pStyle w:val="FootnoteText"/>
      </w:pPr>
      <w:r>
        <w:rPr>
          <w:rStyle w:val="FootnoteReference"/>
        </w:rPr>
        <w:footnoteRef/>
      </w:r>
      <w:r w:rsidR="00FE2109">
        <w:t xml:space="preserve"> </w:t>
      </w:r>
      <w:r w:rsidR="00FE2109">
        <w:rPr>
          <w:i/>
          <w:iCs/>
        </w:rPr>
        <w:t>Id.</w:t>
      </w:r>
      <w:r>
        <w:t xml:space="preserve">; </w:t>
      </w:r>
      <w:r w:rsidRPr="001D3A68">
        <w:t>TAPS Initial Comments at 8.</w:t>
      </w:r>
    </w:p>
  </w:footnote>
  <w:footnote w:id="585">
    <w:p w:rsidR="009B7DD3" w:rsidP="009B7DD3" w14:paraId="6CCDB84F" w14:textId="5C81EEA4">
      <w:pPr>
        <w:pStyle w:val="FootnoteText"/>
      </w:pPr>
      <w:r>
        <w:rPr>
          <w:rStyle w:val="FootnoteReference"/>
        </w:rPr>
        <w:footnoteRef/>
      </w:r>
      <w:r>
        <w:t xml:space="preserve"> MISO Transmission Owners Initial Comments at 18 </w:t>
      </w:r>
      <w:r w:rsidR="00FE2109">
        <w:t>(</w:t>
      </w:r>
      <w:r>
        <w:t xml:space="preserve">citing </w:t>
      </w:r>
      <w:r w:rsidRPr="00C06B6B">
        <w:rPr>
          <w:i/>
          <w:iCs/>
        </w:rPr>
        <w:t>MISO</w:t>
      </w:r>
      <w:r w:rsidR="0009108D">
        <w:t>,</w:t>
      </w:r>
      <w:r>
        <w:t xml:space="preserve"> </w:t>
      </w:r>
      <w:r w:rsidRPr="009D2B9B" w:rsidR="009D2B9B">
        <w:t xml:space="preserve">182 FERC ¶ 61,033 </w:t>
      </w:r>
      <w:r>
        <w:t>at P</w:t>
      </w:r>
      <w:r w:rsidR="00C05B45">
        <w:t> </w:t>
      </w:r>
      <w:r>
        <w:t>67; MISO Rehearing Order</w:t>
      </w:r>
      <w:r w:rsidR="009D2B9B">
        <w:t>,</w:t>
      </w:r>
      <w:r>
        <w:t xml:space="preserve"> </w:t>
      </w:r>
      <w:r w:rsidRPr="0042576F" w:rsidR="0042576F">
        <w:t>184 FERC ¶ 61,022</w:t>
      </w:r>
      <w:r w:rsidR="0042576F">
        <w:t xml:space="preserve"> </w:t>
      </w:r>
      <w:r>
        <w:t>at P</w:t>
      </w:r>
      <w:r w:rsidR="00C05B45">
        <w:t> </w:t>
      </w:r>
      <w:r>
        <w:t>55 n.186 (rejecting an argument that the Commission should have declined to waive the 60-day notice requirement)</w:t>
      </w:r>
      <w:r w:rsidR="009D2B9B">
        <w:t>)</w:t>
      </w:r>
      <w:r>
        <w:t>.</w:t>
      </w:r>
    </w:p>
  </w:footnote>
  <w:footnote w:id="586">
    <w:p w:rsidR="009B7DD3" w:rsidP="009B7DD3" w14:paraId="2B24AF21" w14:textId="7FACF1CD">
      <w:pPr>
        <w:pStyle w:val="FootnoteText"/>
      </w:pPr>
      <w:r>
        <w:rPr>
          <w:rStyle w:val="FootnoteReference"/>
        </w:rPr>
        <w:footnoteRef/>
      </w:r>
      <w:r>
        <w:t xml:space="preserve"> </w:t>
      </w:r>
      <w:r w:rsidR="0042576F">
        <w:rPr>
          <w:i/>
          <w:iCs/>
        </w:rPr>
        <w:t>Id.</w:t>
      </w:r>
      <w:r>
        <w:t>at 17-18.</w:t>
      </w:r>
    </w:p>
  </w:footnote>
  <w:footnote w:id="587">
    <w:p w:rsidR="00F47610" w14:paraId="7FFB4AC9" w14:textId="28C538B7">
      <w:pPr>
        <w:pStyle w:val="FootnoteText"/>
      </w:pPr>
      <w:r>
        <w:rPr>
          <w:rStyle w:val="FootnoteReference"/>
        </w:rPr>
        <w:footnoteRef/>
      </w:r>
      <w:r>
        <w:t xml:space="preserve"> </w:t>
      </w:r>
      <w:r w:rsidR="0042576F">
        <w:rPr>
          <w:i/>
          <w:iCs/>
        </w:rPr>
        <w:t>Id.</w:t>
      </w:r>
      <w:r w:rsidRPr="006056E4" w:rsidR="0042576F">
        <w:rPr>
          <w:i/>
        </w:rPr>
        <w:t xml:space="preserve"> </w:t>
      </w:r>
      <w:r>
        <w:t>at 19.</w:t>
      </w:r>
    </w:p>
  </w:footnote>
  <w:footnote w:id="588">
    <w:p w:rsidR="009B7DD3" w:rsidP="009B7DD3" w14:paraId="395F455A" w14:textId="77777777">
      <w:pPr>
        <w:pStyle w:val="FootnoteText"/>
      </w:pPr>
      <w:r>
        <w:rPr>
          <w:rStyle w:val="FootnoteReference"/>
        </w:rPr>
        <w:footnoteRef/>
      </w:r>
      <w:r>
        <w:t xml:space="preserve"> </w:t>
      </w:r>
      <w:r w:rsidRPr="00B2758E">
        <w:t>TAPS Initial Comments at 8.</w:t>
      </w:r>
    </w:p>
  </w:footnote>
  <w:footnote w:id="589">
    <w:p w:rsidR="009B7DD3" w:rsidP="009B7DD3" w14:paraId="16F468A9" w14:textId="54AC2B5D">
      <w:pPr>
        <w:pStyle w:val="FootnoteText"/>
      </w:pPr>
      <w:r>
        <w:rPr>
          <w:rStyle w:val="FootnoteReference"/>
        </w:rPr>
        <w:footnoteRef/>
      </w:r>
      <w:r>
        <w:t xml:space="preserve"> </w:t>
      </w:r>
      <w:r w:rsidR="0042576F">
        <w:rPr>
          <w:i/>
          <w:iCs/>
        </w:rPr>
        <w:t>Id.</w:t>
      </w:r>
    </w:p>
  </w:footnote>
  <w:footnote w:id="590">
    <w:p w:rsidR="009B7DD3" w:rsidP="009B7DD3" w14:paraId="395FE281" w14:textId="77777777">
      <w:pPr>
        <w:pStyle w:val="FootnoteText"/>
      </w:pPr>
      <w:r>
        <w:rPr>
          <w:rStyle w:val="FootnoteReference"/>
        </w:rPr>
        <w:footnoteRef/>
      </w:r>
      <w:r>
        <w:t xml:space="preserve"> Joint Customers Reply Comments at 8.</w:t>
      </w:r>
    </w:p>
  </w:footnote>
  <w:footnote w:id="591">
    <w:p w:rsidR="009B7DD3" w:rsidP="009B7DD3" w14:paraId="2E8130CD" w14:textId="1EFBF765">
      <w:pPr>
        <w:pStyle w:val="FootnoteText"/>
      </w:pPr>
      <w:r>
        <w:rPr>
          <w:rStyle w:val="FootnoteReference"/>
        </w:rPr>
        <w:footnoteRef/>
      </w:r>
      <w:r>
        <w:t xml:space="preserve"> Calpine Initial Comments at 2</w:t>
      </w:r>
      <w:r w:rsidR="00000295">
        <w:t>-3</w:t>
      </w:r>
      <w:r>
        <w:t>.</w:t>
      </w:r>
    </w:p>
  </w:footnote>
  <w:footnote w:id="592">
    <w:p w:rsidR="009B7DD3" w:rsidP="009B7DD3" w14:paraId="2D39FC52" w14:textId="3132B60F">
      <w:pPr>
        <w:pStyle w:val="FootnoteText"/>
        <w:rPr>
          <w:rFonts w:cstheme="minorBidi"/>
          <w:kern w:val="2"/>
          <w:sz w:val="20"/>
          <w:szCs w:val="26"/>
          <w14:ligatures w14:val="standardContextual"/>
        </w:rPr>
      </w:pPr>
      <w:r>
        <w:rPr>
          <w:rStyle w:val="FootnoteReference"/>
          <w:szCs w:val="26"/>
        </w:rPr>
        <w:footnoteRef/>
      </w:r>
      <w:r>
        <w:rPr>
          <w:szCs w:val="26"/>
        </w:rPr>
        <w:t xml:space="preserve"> Indicated Trade Associations Initial Comments at 29</w:t>
      </w:r>
      <w:r w:rsidR="00E123B3">
        <w:rPr>
          <w:szCs w:val="26"/>
        </w:rPr>
        <w:t>-30</w:t>
      </w:r>
      <w:r>
        <w:rPr>
          <w:szCs w:val="26"/>
        </w:rPr>
        <w:t>.</w:t>
      </w:r>
    </w:p>
  </w:footnote>
  <w:footnote w:id="593">
    <w:p w:rsidR="009B7DD3" w:rsidP="009B7DD3" w14:paraId="24919315" w14:textId="3AE6CD77">
      <w:pPr>
        <w:pStyle w:val="FootnoteText"/>
      </w:pPr>
      <w:r>
        <w:rPr>
          <w:rStyle w:val="FootnoteReference"/>
        </w:rPr>
        <w:footnoteRef/>
      </w:r>
      <w:r>
        <w:t xml:space="preserve"> </w:t>
      </w:r>
      <w:r w:rsidRPr="009115D1">
        <w:t>Indicated Reactive Power Suppliers Initial Comment</w:t>
      </w:r>
      <w:r>
        <w:t>s</w:t>
      </w:r>
      <w:r w:rsidRPr="009115D1">
        <w:t xml:space="preserve"> at 2</w:t>
      </w:r>
      <w:r w:rsidR="00C507F4">
        <w:t>;</w:t>
      </w:r>
      <w:r w:rsidR="00F34223">
        <w:t xml:space="preserve"> Glenvale </w:t>
      </w:r>
      <w:r w:rsidR="00C507F4">
        <w:t>Initial Comments at 6-7</w:t>
      </w:r>
      <w:r>
        <w:t>.</w:t>
      </w:r>
    </w:p>
  </w:footnote>
  <w:footnote w:id="594">
    <w:p w:rsidR="009B7DD3" w:rsidP="009B7DD3" w14:paraId="7FC4566E" w14:textId="37203180">
      <w:pPr>
        <w:pStyle w:val="FootnoteText"/>
        <w:rPr>
          <w:sz w:val="20"/>
        </w:rPr>
      </w:pPr>
      <w:r>
        <w:rPr>
          <w:rStyle w:val="FootnoteReference"/>
        </w:rPr>
        <w:footnoteRef/>
      </w:r>
      <w:r>
        <w:t xml:space="preserve"> Middle River Power Initial Comments at 6-7 (</w:t>
      </w:r>
      <w:r w:rsidR="00E47A01">
        <w:t xml:space="preserve">citing </w:t>
      </w:r>
      <w:r>
        <w:t xml:space="preserve">Indicated Energy Trade Associations Initial Comments at 24;  </w:t>
      </w:r>
      <w:r>
        <w:rPr>
          <w:i/>
          <w:iCs/>
        </w:rPr>
        <w:t>PJM Interconnection, L.L.C.</w:t>
      </w:r>
      <w:r>
        <w:t>, 110 FERC ¶</w:t>
      </w:r>
      <w:r w:rsidR="00C05B45">
        <w:t> </w:t>
      </w:r>
      <w:r>
        <w:t>61,053</w:t>
      </w:r>
      <w:r w:rsidR="00BD57A1">
        <w:t>,</w:t>
      </w:r>
      <w:r>
        <w:t xml:space="preserve"> at P</w:t>
      </w:r>
      <w:r w:rsidR="00C05B45">
        <w:t> </w:t>
      </w:r>
      <w:r>
        <w:t xml:space="preserve">61, </w:t>
      </w:r>
      <w:r w:rsidRPr="00C06B6B" w:rsidR="00237A40">
        <w:rPr>
          <w:i/>
          <w:iCs/>
        </w:rPr>
        <w:t>order</w:t>
      </w:r>
      <w:r w:rsidR="00237A40">
        <w:t xml:space="preserve"> </w:t>
      </w:r>
      <w:r>
        <w:rPr>
          <w:i/>
          <w:iCs/>
        </w:rPr>
        <w:t>on reh’g</w:t>
      </w:r>
      <w:r>
        <w:t>, 112 FERC ¶</w:t>
      </w:r>
      <w:r w:rsidR="00C05B45">
        <w:t> </w:t>
      </w:r>
      <w:r>
        <w:t xml:space="preserve">61,031 (2005) (finding it appropriate to grandfather units for which construction commenced in reliance on a prior rule), </w:t>
      </w:r>
      <w:r w:rsidRPr="00C06B6B" w:rsidR="00800CA7">
        <w:rPr>
          <w:i/>
          <w:iCs/>
        </w:rPr>
        <w:t>order</w:t>
      </w:r>
      <w:r w:rsidR="00800CA7">
        <w:t xml:space="preserve"> </w:t>
      </w:r>
      <w:r>
        <w:rPr>
          <w:i/>
          <w:iCs/>
        </w:rPr>
        <w:t>on reh’g</w:t>
      </w:r>
      <w:r>
        <w:t xml:space="preserve">, </w:t>
      </w:r>
      <w:r w:rsidR="00282F29">
        <w:t xml:space="preserve">    </w:t>
      </w:r>
      <w:r>
        <w:t>114 FERC ¶</w:t>
      </w:r>
      <w:r w:rsidR="00C05B45">
        <w:t> </w:t>
      </w:r>
      <w:r>
        <w:t xml:space="preserve">61,302 (2006); </w:t>
      </w:r>
      <w:r>
        <w:rPr>
          <w:i/>
          <w:iCs/>
        </w:rPr>
        <w:t>Tenn</w:t>
      </w:r>
      <w:r w:rsidR="0050612F">
        <w:rPr>
          <w:i/>
          <w:iCs/>
        </w:rPr>
        <w:t>.</w:t>
      </w:r>
      <w:r>
        <w:rPr>
          <w:i/>
          <w:iCs/>
        </w:rPr>
        <w:t xml:space="preserve"> Gas Pipeline Co.</w:t>
      </w:r>
      <w:r>
        <w:t>, 62 FERC ¶</w:t>
      </w:r>
      <w:r w:rsidR="00C05B45">
        <w:t> </w:t>
      </w:r>
      <w:r>
        <w:t>61,062 (1993) (explaining that, the Commission had decided to “grandfather” prior storage arrangements “in light of the fact that . . . historical customers have already made their conversion elections in reliance on access to this storage”)).</w:t>
      </w:r>
    </w:p>
  </w:footnote>
  <w:footnote w:id="595">
    <w:p w:rsidR="009B7DD3" w:rsidP="009B7DD3" w14:paraId="2A34B6F1" w14:textId="62BE6F20">
      <w:pPr>
        <w:pStyle w:val="FootnoteText"/>
        <w:rPr>
          <w:rFonts w:cstheme="minorBidi"/>
          <w:kern w:val="2"/>
          <w14:ligatures w14:val="standardContextual"/>
        </w:rPr>
      </w:pPr>
      <w:r>
        <w:rPr>
          <w:rStyle w:val="FootnoteReference"/>
        </w:rPr>
        <w:footnoteRef/>
      </w:r>
      <w:r>
        <w:t xml:space="preserve"> Reactive Service Providers Initial Comments at </w:t>
      </w:r>
      <w:r w:rsidR="002F7116">
        <w:t>67</w:t>
      </w:r>
      <w:r>
        <w:t>-76.</w:t>
      </w:r>
    </w:p>
  </w:footnote>
  <w:footnote w:id="596">
    <w:p w:rsidR="009B7DD3" w:rsidRPr="009F4059" w:rsidP="009B7DD3" w14:paraId="435B147E" w14:textId="491C5329">
      <w:pPr>
        <w:pStyle w:val="FootnoteText"/>
        <w:rPr>
          <w:szCs w:val="26"/>
        </w:rPr>
      </w:pPr>
      <w:r w:rsidRPr="009F4059">
        <w:rPr>
          <w:rStyle w:val="FootnoteReference"/>
          <w:szCs w:val="26"/>
        </w:rPr>
        <w:footnoteRef/>
      </w:r>
      <w:r w:rsidRPr="009F4059">
        <w:rPr>
          <w:szCs w:val="26"/>
        </w:rPr>
        <w:t xml:space="preserve"> </w:t>
      </w:r>
      <w:r w:rsidRPr="00AE3B35">
        <w:rPr>
          <w:szCs w:val="26"/>
        </w:rPr>
        <w:t xml:space="preserve">Generation Developers </w:t>
      </w:r>
      <w:r>
        <w:rPr>
          <w:szCs w:val="26"/>
        </w:rPr>
        <w:t xml:space="preserve">Initial Comments at </w:t>
      </w:r>
      <w:r w:rsidR="005253DE">
        <w:rPr>
          <w:szCs w:val="26"/>
        </w:rPr>
        <w:t>33-</w:t>
      </w:r>
      <w:r w:rsidRPr="009F4059">
        <w:rPr>
          <w:szCs w:val="26"/>
        </w:rPr>
        <w:t>34.</w:t>
      </w:r>
    </w:p>
  </w:footnote>
  <w:footnote w:id="597">
    <w:p w:rsidR="00FA1EE8" w:rsidP="00FA1EE8" w14:paraId="38DD4B59" w14:textId="77777777">
      <w:pPr>
        <w:pStyle w:val="FootnoteText"/>
      </w:pPr>
      <w:r>
        <w:rPr>
          <w:rStyle w:val="FootnoteReference"/>
        </w:rPr>
        <w:footnoteRef/>
      </w:r>
      <w:r>
        <w:t xml:space="preserve"> EDPR Initial Comments at 5.</w:t>
      </w:r>
    </w:p>
  </w:footnote>
  <w:footnote w:id="598">
    <w:p w:rsidR="009B7DD3" w:rsidP="009B7DD3" w14:paraId="182DF08E" w14:textId="77777777">
      <w:pPr>
        <w:pStyle w:val="FootnoteText"/>
        <w:rPr>
          <w:rFonts w:cstheme="minorBidi"/>
          <w:kern w:val="2"/>
          <w:sz w:val="20"/>
          <w14:ligatures w14:val="standardContextual"/>
        </w:rPr>
      </w:pPr>
      <w:r>
        <w:rPr>
          <w:rStyle w:val="FootnoteReference"/>
        </w:rPr>
        <w:footnoteRef/>
      </w:r>
      <w:r>
        <w:t xml:space="preserve"> Eagle Creek Initial Comments at 5.</w:t>
      </w:r>
    </w:p>
  </w:footnote>
  <w:footnote w:id="599">
    <w:p w:rsidR="009B7DD3" w:rsidP="009B7DD3" w14:paraId="357235B4" w14:textId="77777777">
      <w:pPr>
        <w:pStyle w:val="FootnoteText"/>
        <w:rPr>
          <w:rFonts w:cstheme="minorBidi"/>
          <w:kern w:val="2"/>
          <w14:ligatures w14:val="standardContextual"/>
        </w:rPr>
      </w:pPr>
      <w:r>
        <w:rPr>
          <w:rStyle w:val="FootnoteReference"/>
        </w:rPr>
        <w:footnoteRef/>
      </w:r>
      <w:r>
        <w:t xml:space="preserve"> Reactive Service Providers Initial Comments at 75-76.</w:t>
      </w:r>
    </w:p>
  </w:footnote>
  <w:footnote w:id="600">
    <w:p w:rsidR="009B7DD3" w:rsidP="009B7DD3" w14:paraId="7983041E" w14:textId="77777777">
      <w:pPr>
        <w:pStyle w:val="FootnoteText"/>
      </w:pPr>
      <w:r>
        <w:rPr>
          <w:rStyle w:val="FootnoteReference"/>
        </w:rPr>
        <w:footnoteRef/>
      </w:r>
      <w:r>
        <w:t xml:space="preserve"> </w:t>
      </w:r>
      <w:r w:rsidRPr="00815BCC">
        <w:t>Indicated Reactive Power Suppliers Initial Comment</w:t>
      </w:r>
      <w:r>
        <w:t>s</w:t>
      </w:r>
      <w:r w:rsidRPr="00815BCC">
        <w:t xml:space="preserve"> at 2-3</w:t>
      </w:r>
      <w:r>
        <w:t>.</w:t>
      </w:r>
    </w:p>
  </w:footnote>
  <w:footnote w:id="601">
    <w:p w:rsidR="009B7DD3" w:rsidP="009B7DD3" w14:paraId="3241E8E9" w14:textId="19F3B289">
      <w:pPr>
        <w:pStyle w:val="FootnoteText"/>
      </w:pPr>
      <w:r>
        <w:rPr>
          <w:rStyle w:val="FootnoteReference"/>
        </w:rPr>
        <w:footnoteRef/>
      </w:r>
      <w:r>
        <w:t xml:space="preserve"> AEP Initial Comments at 7-8</w:t>
      </w:r>
      <w:r w:rsidR="002169FD">
        <w:t>.</w:t>
      </w:r>
    </w:p>
  </w:footnote>
  <w:footnote w:id="602">
    <w:p w:rsidR="009B7DD3" w:rsidP="009B7DD3" w14:paraId="25910FC8" w14:textId="77777777">
      <w:pPr>
        <w:pStyle w:val="FootnoteText"/>
        <w:rPr>
          <w:rFonts w:cstheme="minorBidi"/>
          <w:kern w:val="2"/>
          <w:sz w:val="20"/>
          <w14:ligatures w14:val="standardContextual"/>
        </w:rPr>
      </w:pPr>
      <w:r>
        <w:rPr>
          <w:rStyle w:val="FootnoteReference"/>
        </w:rPr>
        <w:footnoteRef/>
      </w:r>
      <w:r>
        <w:t xml:space="preserve"> ACORE Initial Comments at 4.</w:t>
      </w:r>
    </w:p>
  </w:footnote>
  <w:footnote w:id="603">
    <w:p w:rsidR="009B7DD3" w:rsidP="009B7DD3" w14:paraId="49173D07" w14:textId="15CEEE90">
      <w:pPr>
        <w:pStyle w:val="FootnoteText"/>
        <w:rPr>
          <w:rFonts w:cstheme="minorBidi"/>
          <w:kern w:val="2"/>
          <w14:ligatures w14:val="standardContextual"/>
        </w:rPr>
      </w:pPr>
      <w:r w:rsidRPr="002F647B">
        <w:rPr>
          <w:rStyle w:val="FootnoteReference"/>
        </w:rPr>
        <w:footnoteRef/>
      </w:r>
      <w:r w:rsidRPr="007E225F">
        <w:t xml:space="preserve"> </w:t>
      </w:r>
      <w:r>
        <w:t>Calpine Initial Comments at 4.</w:t>
      </w:r>
    </w:p>
  </w:footnote>
  <w:footnote w:id="604">
    <w:p w:rsidR="009B7DD3" w:rsidP="009B7DD3" w14:paraId="1B8D196D" w14:textId="46B7EDED">
      <w:pPr>
        <w:pStyle w:val="FootnoteText"/>
      </w:pPr>
      <w:r w:rsidRPr="007012C7">
        <w:rPr>
          <w:rStyle w:val="FootnoteReference"/>
        </w:rPr>
        <w:footnoteRef/>
      </w:r>
      <w:r>
        <w:t xml:space="preserve"> AEP Initial Comments at 7-8 (</w:t>
      </w:r>
      <w:r w:rsidR="007012C7">
        <w:t>citing</w:t>
      </w:r>
      <w:r>
        <w:rPr>
          <w:i/>
          <w:iCs/>
        </w:rPr>
        <w:t xml:space="preserve"> PJM Interconnection, L.L.C.</w:t>
      </w:r>
      <w:r>
        <w:t>, 117 FERC ¶</w:t>
      </w:r>
      <w:r w:rsidR="00C05B45">
        <w:t> </w:t>
      </w:r>
      <w:r>
        <w:t>61,331, at P</w:t>
      </w:r>
      <w:r w:rsidR="00C05B45">
        <w:t> </w:t>
      </w:r>
      <w:r>
        <w:t xml:space="preserve">73 (2006) (“The adoption of a transition period must strike a reasonable balance between the need to implement RPM to generate relevant prices, and the provision of some period to enable parties to understand and make adjustments to the new market.”), </w:t>
      </w:r>
      <w:r>
        <w:rPr>
          <w:i/>
          <w:iCs/>
        </w:rPr>
        <w:t>order on reh</w:t>
      </w:r>
      <w:r w:rsidR="00D374EE">
        <w:rPr>
          <w:i/>
          <w:iCs/>
        </w:rPr>
        <w:t>’</w:t>
      </w:r>
      <w:r>
        <w:rPr>
          <w:i/>
          <w:iCs/>
        </w:rPr>
        <w:t>g</w:t>
      </w:r>
      <w:r>
        <w:t>, 119 FERC ¶</w:t>
      </w:r>
      <w:r w:rsidR="00C05B45">
        <w:t> </w:t>
      </w:r>
      <w:r>
        <w:t xml:space="preserve">61,318 (2007); </w:t>
      </w:r>
      <w:r>
        <w:rPr>
          <w:i/>
          <w:iCs/>
        </w:rPr>
        <w:t>Midcontinent Independent System Operator</w:t>
      </w:r>
      <w:r>
        <w:t>, 180 FERC ¶</w:t>
      </w:r>
      <w:r w:rsidR="00C05B45">
        <w:t> </w:t>
      </w:r>
      <w:r>
        <w:t>61,141, at PP</w:t>
      </w:r>
      <w:r w:rsidR="00C05B45">
        <w:t> </w:t>
      </w:r>
      <w:r>
        <w:t xml:space="preserve">248-249 (2022) (“The transition period appropriately balances the need to implement the SAC methodology with the recognition that resource owners and LSEs may need to adjust their operations—including outage timing—and their contractual arrangements to maximize their potential SAC values.”); </w:t>
      </w:r>
      <w:r>
        <w:rPr>
          <w:i/>
          <w:iCs/>
        </w:rPr>
        <w:t>PJM Interconnection, L.L.C.</w:t>
      </w:r>
      <w:r>
        <w:t>, 155 FERC ¶</w:t>
      </w:r>
      <w:r w:rsidR="00C05B45">
        <w:t> </w:t>
      </w:r>
      <w:r>
        <w:t>61,157, at PP</w:t>
      </w:r>
      <w:r w:rsidR="00C05B45">
        <w:t> </w:t>
      </w:r>
      <w:r>
        <w:t>150-151 (2016) (accepting a phase-in of PJM</w:t>
      </w:r>
      <w:r w:rsidR="00D374EE">
        <w:t>’</w:t>
      </w:r>
      <w:r>
        <w:t>s capacity performance requirements as just and reasonable because the benefits of providing relevant entities adequate time to adjust Fixed Resource Requirement plans based on the new rules were weighed in conjunction with the interest in applying the requirements in an even-handed manner)).</w:t>
      </w:r>
    </w:p>
  </w:footnote>
  <w:footnote w:id="605">
    <w:p w:rsidR="009B7DD3" w:rsidP="009B7DD3" w14:paraId="0F1522F2" w14:textId="0C35BFBB">
      <w:pPr>
        <w:pStyle w:val="FootnoteText"/>
      </w:pPr>
      <w:r>
        <w:rPr>
          <w:rStyle w:val="FootnoteReference"/>
        </w:rPr>
        <w:footnoteRef/>
      </w:r>
      <w:r>
        <w:t xml:space="preserve"> EDPR Initial Comments at </w:t>
      </w:r>
      <w:r w:rsidR="00805062">
        <w:t>3-</w:t>
      </w:r>
      <w:r>
        <w:t>4.</w:t>
      </w:r>
    </w:p>
  </w:footnote>
  <w:footnote w:id="606">
    <w:p w:rsidR="009B7DD3" w:rsidP="009B7DD3" w14:paraId="13AB13B0" w14:textId="77777777">
      <w:pPr>
        <w:pStyle w:val="FootnoteText"/>
      </w:pPr>
      <w:r>
        <w:rPr>
          <w:rStyle w:val="FootnoteReference"/>
        </w:rPr>
        <w:footnoteRef/>
      </w:r>
      <w:r>
        <w:t xml:space="preserve"> </w:t>
      </w:r>
      <w:r>
        <w:rPr>
          <w:szCs w:val="26"/>
        </w:rPr>
        <w:t>Indicated Reactive Power Suppliers Initial Comments at 2.</w:t>
      </w:r>
    </w:p>
  </w:footnote>
  <w:footnote w:id="607">
    <w:p w:rsidR="009B7DD3" w:rsidP="009B7DD3" w14:paraId="251F0727" w14:textId="77777777">
      <w:pPr>
        <w:pStyle w:val="FootnoteText"/>
      </w:pPr>
      <w:r>
        <w:rPr>
          <w:rStyle w:val="FootnoteReference"/>
        </w:rPr>
        <w:footnoteRef/>
      </w:r>
      <w:r>
        <w:t xml:space="preserve"> </w:t>
      </w:r>
      <w:r>
        <w:rPr>
          <w:szCs w:val="26"/>
        </w:rPr>
        <w:t>Glenvale Initial Comments at 5.</w:t>
      </w:r>
    </w:p>
  </w:footnote>
  <w:footnote w:id="608">
    <w:p w:rsidR="009B7DD3" w:rsidP="009B7DD3" w14:paraId="32623032" w14:textId="397BB4D1">
      <w:pPr>
        <w:pStyle w:val="FootnoteText"/>
      </w:pPr>
      <w:r>
        <w:rPr>
          <w:rStyle w:val="FootnoteReference"/>
        </w:rPr>
        <w:footnoteRef/>
      </w:r>
      <w:r>
        <w:t xml:space="preserve"> </w:t>
      </w:r>
      <w:r w:rsidR="007E225F">
        <w:rPr>
          <w:i/>
          <w:iCs/>
        </w:rPr>
        <w:t>Id.</w:t>
      </w:r>
    </w:p>
  </w:footnote>
  <w:footnote w:id="609">
    <w:p w:rsidR="009B7DD3" w:rsidP="009B7DD3" w14:paraId="7BDFBD83" w14:textId="77777777">
      <w:pPr>
        <w:pStyle w:val="FootnoteText"/>
      </w:pPr>
      <w:r>
        <w:rPr>
          <w:rStyle w:val="FootnoteReference"/>
        </w:rPr>
        <w:footnoteRef/>
      </w:r>
      <w:r>
        <w:t xml:space="preserve"> NHA Initial Comments at 9-10.</w:t>
      </w:r>
    </w:p>
  </w:footnote>
  <w:footnote w:id="610">
    <w:p w:rsidR="009B7DD3" w:rsidP="009B7DD3" w14:paraId="51763224" w14:textId="77777777">
      <w:pPr>
        <w:pStyle w:val="FootnoteText"/>
      </w:pPr>
      <w:r>
        <w:rPr>
          <w:rStyle w:val="FootnoteReference"/>
        </w:rPr>
        <w:footnoteRef/>
      </w:r>
      <w:r>
        <w:rPr>
          <w:szCs w:val="26"/>
        </w:rPr>
        <w:t xml:space="preserve"> Generation Developers Initial Comments at 35.</w:t>
      </w:r>
    </w:p>
  </w:footnote>
  <w:footnote w:id="611">
    <w:p w:rsidR="009B7DD3" w:rsidP="009B7DD3" w14:paraId="3E6E6A1E" w14:textId="77777777">
      <w:pPr>
        <w:pStyle w:val="FootnoteText"/>
      </w:pPr>
      <w:r>
        <w:rPr>
          <w:rStyle w:val="FootnoteReference"/>
        </w:rPr>
        <w:footnoteRef/>
      </w:r>
      <w:r>
        <w:t xml:space="preserve"> NAGF Initial Comments at 2.</w:t>
      </w:r>
    </w:p>
  </w:footnote>
  <w:footnote w:id="612">
    <w:p w:rsidR="009B7DD3" w:rsidP="009B7DD3" w14:paraId="2CE9CEFA" w14:textId="43EF0DB2">
      <w:pPr>
        <w:pStyle w:val="FootnoteText"/>
      </w:pPr>
      <w:r w:rsidRPr="01D5E437">
        <w:rPr>
          <w:rStyle w:val="FootnoteReference"/>
        </w:rPr>
        <w:footnoteRef/>
      </w:r>
      <w:r>
        <w:t xml:space="preserve"> Clean Energy Associations Initial Comments at 2-3</w:t>
      </w:r>
      <w:r w:rsidR="00BF4E62">
        <w:t>, 9-10</w:t>
      </w:r>
      <w:r>
        <w:t>.</w:t>
      </w:r>
    </w:p>
  </w:footnote>
  <w:footnote w:id="613">
    <w:p w:rsidR="003D0AE3" w:rsidRPr="004C1D1E" w:rsidP="003D0AE3" w14:paraId="11BFE44C" w14:textId="77777777">
      <w:pPr>
        <w:pStyle w:val="FootnoteText"/>
        <w:rPr>
          <w:szCs w:val="26"/>
        </w:rPr>
      </w:pPr>
      <w:r w:rsidRPr="004C1D1E">
        <w:rPr>
          <w:rStyle w:val="FootnoteReference"/>
          <w:szCs w:val="26"/>
        </w:rPr>
        <w:footnoteRef/>
      </w:r>
      <w:r w:rsidRPr="004C1D1E">
        <w:rPr>
          <w:szCs w:val="26"/>
        </w:rPr>
        <w:t xml:space="preserve"> Indicated Trade Associations Initial Comments at 14-15.</w:t>
      </w:r>
    </w:p>
  </w:footnote>
  <w:footnote w:id="614">
    <w:p w:rsidR="003D0AE3" w:rsidP="003D0AE3" w14:paraId="09A5EC4A" w14:textId="77777777">
      <w:pPr>
        <w:pStyle w:val="FootnoteText"/>
        <w:rPr>
          <w:rFonts w:cstheme="minorBidi"/>
          <w:kern w:val="2"/>
          <w:sz w:val="20"/>
          <w14:ligatures w14:val="standardContextual"/>
        </w:rPr>
      </w:pPr>
      <w:r>
        <w:rPr>
          <w:rStyle w:val="FootnoteReference"/>
        </w:rPr>
        <w:footnoteRef/>
      </w:r>
      <w:r>
        <w:t xml:space="preserve"> Reactive Service Providers Initial Comments at 57.</w:t>
      </w:r>
    </w:p>
  </w:footnote>
  <w:footnote w:id="615">
    <w:p w:rsidR="00EA2DC7" w14:paraId="654B1F1C" w14:textId="50E34BEC">
      <w:pPr>
        <w:pStyle w:val="FootnoteText"/>
      </w:pPr>
      <w:r>
        <w:rPr>
          <w:rStyle w:val="FootnoteReference"/>
        </w:rPr>
        <w:footnoteRef/>
      </w:r>
      <w:r>
        <w:t xml:space="preserve"> NYISO Initial Comments at 9-10.</w:t>
      </w:r>
    </w:p>
  </w:footnote>
  <w:footnote w:id="616">
    <w:p w:rsidR="009B7DD3" w:rsidP="009B7DD3" w14:paraId="20B60AA3" w14:textId="77777777">
      <w:pPr>
        <w:pStyle w:val="FootnoteText"/>
      </w:pPr>
      <w:r>
        <w:rPr>
          <w:rStyle w:val="FootnoteReference"/>
        </w:rPr>
        <w:footnoteRef/>
      </w:r>
      <w:r>
        <w:t xml:space="preserve"> PJM Initial Comments at 6.</w:t>
      </w:r>
    </w:p>
  </w:footnote>
  <w:footnote w:id="617">
    <w:p w:rsidR="009B7DD3" w:rsidP="009B7DD3" w14:paraId="02C2E370" w14:textId="77777777">
      <w:pPr>
        <w:pStyle w:val="FootnoteText"/>
      </w:pPr>
      <w:r>
        <w:rPr>
          <w:rStyle w:val="FootnoteReference"/>
        </w:rPr>
        <w:footnoteRef/>
      </w:r>
      <w:r>
        <w:t xml:space="preserve"> NAGF Initial Comments at 3.</w:t>
      </w:r>
    </w:p>
  </w:footnote>
  <w:footnote w:id="618">
    <w:p w:rsidR="009B7DD3" w:rsidP="009B7DD3" w14:paraId="099BF976" w14:textId="77777777">
      <w:pPr>
        <w:pStyle w:val="FootnoteText"/>
      </w:pPr>
      <w:r>
        <w:rPr>
          <w:rStyle w:val="FootnoteReference"/>
        </w:rPr>
        <w:footnoteRef/>
      </w:r>
      <w:r>
        <w:t xml:space="preserve"> PJM Initial Comments at 4-6.</w:t>
      </w:r>
    </w:p>
  </w:footnote>
  <w:footnote w:id="619">
    <w:p w:rsidR="009B7DD3" w:rsidP="009B7DD3" w14:paraId="3FBDD912" w14:textId="1C72D5EC">
      <w:pPr>
        <w:pStyle w:val="FootnoteText"/>
      </w:pPr>
      <w:r>
        <w:rPr>
          <w:rStyle w:val="FootnoteReference"/>
        </w:rPr>
        <w:footnoteRef/>
      </w:r>
      <w:r>
        <w:t xml:space="preserve"> </w:t>
      </w:r>
      <w:r w:rsidR="00985214">
        <w:rPr>
          <w:i/>
          <w:iCs/>
        </w:rPr>
        <w:t>Id.</w:t>
      </w:r>
      <w:r w:rsidR="00E016C8">
        <w:rPr>
          <w:i/>
          <w:iCs/>
        </w:rPr>
        <w:t xml:space="preserve"> </w:t>
      </w:r>
      <w:r w:rsidRPr="00212438" w:rsidR="00E016C8">
        <w:t>(</w:t>
      </w:r>
      <w:r w:rsidR="001F29F8">
        <w:t>requesting that “</w:t>
      </w:r>
      <w:r w:rsidRPr="00CF79CB" w:rsidR="001F29F8">
        <w:t>transmission providers in regions with centralized capacity markets such as PJM be permitted flexibility to propose effective dates on compliance that will align with applicable capacity market and billing and settlements timelines</w:t>
      </w:r>
      <w:r w:rsidR="001F29F8">
        <w:t>” to “</w:t>
      </w:r>
      <w:r w:rsidRPr="00D579D1" w:rsidR="001F29F8">
        <w:t>allow costs associated with reactive power production to be incorporated into capacity market bids, and also ensure alignment with applicable billing and settlements dates.</w:t>
      </w:r>
      <w:r w:rsidR="00973B0B">
        <w:t>”)</w:t>
      </w:r>
    </w:p>
  </w:footnote>
  <w:footnote w:id="620">
    <w:p w:rsidR="009B7DD3" w:rsidP="00484FF4" w14:paraId="713D50A8" w14:textId="391974EE">
      <w:pPr>
        <w:pStyle w:val="FootnoteText"/>
        <w:widowControl/>
      </w:pPr>
      <w:r w:rsidRPr="007012C7">
        <w:rPr>
          <w:rStyle w:val="FootnoteReference"/>
        </w:rPr>
        <w:footnoteRef/>
      </w:r>
      <w:r>
        <w:t xml:space="preserve"> Calpine Initial Comments at 4</w:t>
      </w:r>
      <w:r w:rsidR="002720EF">
        <w:t xml:space="preserve"> &amp; n.7</w:t>
      </w:r>
      <w:r>
        <w:t xml:space="preserve"> (</w:t>
      </w:r>
      <w:r w:rsidR="00AF1DB1">
        <w:t>noting that</w:t>
      </w:r>
      <w:r w:rsidRPr="001A7B2F">
        <w:t xml:space="preserve"> the Commission has recently approved a transition period associated with PJM’s implementation of generator interconnection reforms </w:t>
      </w:r>
      <w:r w:rsidR="00AF1DB1">
        <w:t xml:space="preserve">(citing </w:t>
      </w:r>
      <w:r w:rsidRPr="006056E4">
        <w:rPr>
          <w:i/>
        </w:rPr>
        <w:t>PJM Interconnection, L.L.C.</w:t>
      </w:r>
      <w:r w:rsidRPr="001A7B2F">
        <w:t>, 181 FERC ¶</w:t>
      </w:r>
      <w:r w:rsidR="00C05B45">
        <w:t> </w:t>
      </w:r>
      <w:r w:rsidRPr="001A7B2F">
        <w:t xml:space="preserve">61,162, </w:t>
      </w:r>
      <w:r w:rsidR="00282F29">
        <w:t xml:space="preserve">          </w:t>
      </w:r>
      <w:r w:rsidRPr="001A7B2F">
        <w:t>at PP</w:t>
      </w:r>
      <w:r w:rsidR="00C05B45">
        <w:t> </w:t>
      </w:r>
      <w:r w:rsidRPr="001A7B2F">
        <w:t>8, 60 (2022)</w:t>
      </w:r>
      <w:r w:rsidR="00AF1DB1">
        <w:t>)</w:t>
      </w:r>
      <w:r w:rsidR="00E86428">
        <w:t>)</w:t>
      </w:r>
      <w:r w:rsidR="00163212">
        <w:t xml:space="preserve">; </w:t>
      </w:r>
      <w:r w:rsidR="00F81428">
        <w:t>PJM</w:t>
      </w:r>
      <w:r w:rsidR="00BD73B3">
        <w:t xml:space="preserve"> Initial Comments</w:t>
      </w:r>
      <w:r w:rsidR="00F81428">
        <w:t xml:space="preserve"> at </w:t>
      </w:r>
      <w:r w:rsidR="00BD73B3">
        <w:t>4-6 (</w:t>
      </w:r>
      <w:r w:rsidR="00E00E99">
        <w:t xml:space="preserve">explaining </w:t>
      </w:r>
      <w:r w:rsidR="004E49F7">
        <w:t>that</w:t>
      </w:r>
      <w:r w:rsidR="00FE0BEB">
        <w:t xml:space="preserve"> a transition period </w:t>
      </w:r>
      <w:r w:rsidR="00E511C3">
        <w:t>could be “</w:t>
      </w:r>
      <w:r w:rsidRPr="00E00E99" w:rsidR="00E00E99">
        <w:t>to permit generators who are currently receiving reactive power revenues under Tariff, Schedule 2 to continue to do so until the Delivery Year of the first Base Residual Auction (“BRA”) where the removal of these reactive revenues from the Energy and Ancillary Services (“E&amp;AS”) offset can be reflected in the auction parameters.  This concept would be based on the idea that these generators submitted their bids in prior auctions without the knowledge that Tariff, Schedule 2 revenues would no longer exist, which may have impacted the bids they ultimately submitted.</w:t>
      </w:r>
      <w:r w:rsidR="00C54EBC">
        <w:t>”)</w:t>
      </w:r>
      <w:r w:rsidR="00282F29">
        <w:t>.</w:t>
      </w:r>
    </w:p>
  </w:footnote>
  <w:footnote w:id="621">
    <w:p w:rsidR="009B7DD3" w:rsidP="009B7DD3" w14:paraId="584C38BD" w14:textId="77777777">
      <w:pPr>
        <w:pStyle w:val="FootnoteText"/>
      </w:pPr>
      <w:r>
        <w:rPr>
          <w:rStyle w:val="FootnoteReference"/>
        </w:rPr>
        <w:footnoteRef/>
      </w:r>
      <w:r>
        <w:t xml:space="preserve"> NAGF Initial Comments at 3.</w:t>
      </w:r>
    </w:p>
  </w:footnote>
  <w:footnote w:id="622">
    <w:p w:rsidR="009B7DD3" w:rsidP="009B7DD3" w14:paraId="7F29804D" w14:textId="77777777">
      <w:pPr>
        <w:pStyle w:val="FootnoteText"/>
      </w:pPr>
      <w:r>
        <w:rPr>
          <w:rStyle w:val="FootnoteReference"/>
        </w:rPr>
        <w:footnoteRef/>
      </w:r>
      <w:r>
        <w:t xml:space="preserve"> PJM Initial Comments at 4-6.</w:t>
      </w:r>
    </w:p>
  </w:footnote>
  <w:footnote w:id="623">
    <w:p w:rsidR="0002606F" w:rsidP="0002606F" w14:paraId="50F89B5C" w14:textId="77777777">
      <w:pPr>
        <w:pStyle w:val="FootnoteText"/>
      </w:pPr>
      <w:r>
        <w:rPr>
          <w:rStyle w:val="FootnoteReference"/>
        </w:rPr>
        <w:footnoteRef/>
      </w:r>
      <w:r>
        <w:t xml:space="preserve"> PJM IMM Initial Comments at 14.</w:t>
      </w:r>
    </w:p>
  </w:footnote>
  <w:footnote w:id="624">
    <w:p w:rsidR="002C466F" w14:paraId="1F7091BF" w14:textId="524DBAE4">
      <w:pPr>
        <w:pStyle w:val="FootnoteText"/>
      </w:pPr>
      <w:r>
        <w:rPr>
          <w:rStyle w:val="FootnoteReference"/>
        </w:rPr>
        <w:footnoteRef/>
      </w:r>
      <w:r>
        <w:t xml:space="preserve"> </w:t>
      </w:r>
      <w:r w:rsidR="00266E81">
        <w:t>PJM IMM Initial Comments at 15 (“</w:t>
      </w:r>
      <w:r w:rsidRPr="00266E81" w:rsidR="00266E81">
        <w:t xml:space="preserve">Given the schedule for upcoming capacity market auctions in PJM, the timing for the transition will be a direct result of the effective date of a final rule.  Given this schedule, there will be a significant lag before the Offset can be removed for an identified delivery year. </w:t>
      </w:r>
      <w:r w:rsidR="000A0DC1">
        <w:t xml:space="preserve"> </w:t>
      </w:r>
      <w:r w:rsidRPr="00266E81" w:rsidR="00266E81">
        <w:t>For example, if the effective date of the final rule were March 1, 2025, the Offset could be eliminated and payments under Schedule 2 eliminated effective June 1, 2027, the start of the delivery year for the base residual auction scheduled to be run in June 2025</w:t>
      </w:r>
      <w:r w:rsidR="001C0972">
        <w:t>.”)</w:t>
      </w:r>
      <w:r w:rsidR="00AC1E51">
        <w:t>.</w:t>
      </w:r>
    </w:p>
  </w:footnote>
  <w:footnote w:id="625">
    <w:p w:rsidR="009B7DD3" w:rsidP="009B7DD3" w14:paraId="1058EBA6" w14:textId="1D8E31D8">
      <w:pPr>
        <w:pStyle w:val="FootnoteText"/>
      </w:pPr>
      <w:r>
        <w:rPr>
          <w:rStyle w:val="FootnoteReference"/>
        </w:rPr>
        <w:footnoteRef/>
      </w:r>
      <w:r>
        <w:t xml:space="preserve"> </w:t>
      </w:r>
      <w:r w:rsidR="00FF2012">
        <w:rPr>
          <w:i/>
          <w:iCs/>
        </w:rPr>
        <w:t>Id.</w:t>
      </w:r>
    </w:p>
  </w:footnote>
  <w:footnote w:id="626">
    <w:p w:rsidR="009B7DD3" w:rsidP="009B7DD3" w14:paraId="5EE9922F" w14:textId="48C5B6F6">
      <w:pPr>
        <w:pStyle w:val="FootnoteText"/>
      </w:pPr>
      <w:r>
        <w:rPr>
          <w:rStyle w:val="FootnoteReference"/>
        </w:rPr>
        <w:footnoteRef/>
      </w:r>
      <w:r>
        <w:t xml:space="preserve"> PJM Initial Comments at 4-6.</w:t>
      </w:r>
      <w:r w:rsidR="00935554">
        <w:t xml:space="preserve">  </w:t>
      </w:r>
    </w:p>
  </w:footnote>
  <w:footnote w:id="627">
    <w:p w:rsidR="006745EE" w:rsidP="006745EE" w14:paraId="29236F48" w14:textId="77777777">
      <w:pPr>
        <w:pStyle w:val="FootnoteText"/>
      </w:pPr>
      <w:r>
        <w:rPr>
          <w:rStyle w:val="FootnoteReference"/>
        </w:rPr>
        <w:footnoteRef/>
      </w:r>
      <w:r>
        <w:t xml:space="preserve"> NOPR, </w:t>
      </w:r>
      <w:r w:rsidRPr="004F19E7">
        <w:t>186 FERC ¶</w:t>
      </w:r>
      <w:r>
        <w:t> </w:t>
      </w:r>
      <w:r w:rsidRPr="004F19E7">
        <w:t>61,203</w:t>
      </w:r>
      <w:r>
        <w:t xml:space="preserve"> at P 54.</w:t>
      </w:r>
    </w:p>
  </w:footnote>
  <w:footnote w:id="628">
    <w:p w:rsidR="001405E5" w14:paraId="683C8326" w14:textId="42479648">
      <w:pPr>
        <w:pStyle w:val="FootnoteText"/>
      </w:pPr>
      <w:r>
        <w:rPr>
          <w:rStyle w:val="FootnoteReference"/>
        </w:rPr>
        <w:footnoteRef/>
      </w:r>
      <w:r>
        <w:t xml:space="preserve"> </w:t>
      </w:r>
      <w:r w:rsidRPr="008459A9" w:rsidR="008459A9">
        <w:t xml:space="preserve">Any RTO/ISO that proposes an effective date </w:t>
      </w:r>
      <w:r w:rsidRPr="00282F29" w:rsidR="00247FFE">
        <w:t>longer</w:t>
      </w:r>
      <w:r w:rsidRPr="008459A9" w:rsidR="00247FFE">
        <w:t xml:space="preserve"> </w:t>
      </w:r>
      <w:r w:rsidRPr="008459A9" w:rsidR="008459A9">
        <w:t xml:space="preserve">than </w:t>
      </w:r>
      <w:r w:rsidR="00106429">
        <w:t>9</w:t>
      </w:r>
      <w:r w:rsidRPr="008459A9" w:rsidR="00106429">
        <w:t xml:space="preserve">0 </w:t>
      </w:r>
      <w:r w:rsidRPr="008459A9" w:rsidR="008459A9">
        <w:t xml:space="preserve">days from the date of the compliance filing </w:t>
      </w:r>
      <w:r w:rsidR="008459A9">
        <w:t>must</w:t>
      </w:r>
      <w:r w:rsidRPr="008459A9" w:rsidR="008459A9">
        <w:t xml:space="preserve"> include an indeterminate 12/31/9998 effective date in eTariff with their compliance filing </w:t>
      </w:r>
      <w:r w:rsidR="008459A9">
        <w:t xml:space="preserve">and must </w:t>
      </w:r>
      <w:r w:rsidRPr="008459A9" w:rsidR="008459A9">
        <w:t xml:space="preserve">provide the Commission with an estimate of when the changes will become effective and must make a filing with the Commission if they are unable to meet their estimated effective date.  Further, the RTO/ISO must also notify the Commission at least </w:t>
      </w:r>
      <w:r w:rsidR="00C54063">
        <w:t>7</w:t>
      </w:r>
      <w:r w:rsidRPr="008459A9" w:rsidR="008459A9">
        <w:t xml:space="preserve"> days prior to the effective date of their proposed changes so that Commission staff may make the required changes in eTariff.</w:t>
      </w:r>
    </w:p>
  </w:footnote>
  <w:footnote w:id="629">
    <w:p w:rsidR="00E20A23" w:rsidP="00E20A23" w14:paraId="5A525E94" w14:textId="77777777">
      <w:pPr>
        <w:pStyle w:val="FootnoteText"/>
      </w:pPr>
      <w:r>
        <w:rPr>
          <w:rStyle w:val="FootnoteReference"/>
        </w:rPr>
        <w:footnoteRef/>
      </w:r>
      <w:r>
        <w:t xml:space="preserve"> PJM Initial Comments at 7.</w:t>
      </w:r>
    </w:p>
  </w:footnote>
  <w:footnote w:id="630">
    <w:p w:rsidR="00CF4D05" w:rsidP="00CF4D05" w14:paraId="60F4E6C6" w14:textId="18F46672">
      <w:pPr>
        <w:pStyle w:val="FootnoteText"/>
      </w:pPr>
      <w:r>
        <w:rPr>
          <w:rStyle w:val="FootnoteReference"/>
        </w:rPr>
        <w:footnoteRef/>
      </w:r>
      <w:r>
        <w:t xml:space="preserve"> </w:t>
      </w:r>
      <w:r w:rsidRPr="00571CD7">
        <w:t>Generation Developers Initial Comments at 34-35 (</w:t>
      </w:r>
      <w:r w:rsidR="002E175D">
        <w:t>“</w:t>
      </w:r>
      <w:r w:rsidRPr="002E175D" w:rsidR="002E175D">
        <w:t>Additionally, as part of any compliance filings submitted in response to a final rule in this</w:t>
      </w:r>
      <w:r w:rsidR="002E175D">
        <w:t xml:space="preserve"> </w:t>
      </w:r>
      <w:r w:rsidRPr="002E175D" w:rsidR="002E175D">
        <w:t xml:space="preserve">proceeding, the Commission should require RTOs and </w:t>
      </w:r>
      <w:r w:rsidR="002E175D">
        <w:t>[ISOs]</w:t>
      </w:r>
      <w:r w:rsidRPr="002E175D" w:rsidR="002E175D">
        <w:t xml:space="preserve"> to</w:t>
      </w:r>
      <w:r w:rsidR="002E175D">
        <w:t xml:space="preserve"> </w:t>
      </w:r>
      <w:r w:rsidRPr="002E175D" w:rsidR="002E175D">
        <w:t>make revisions to their tariffs eliminating existing barriers to the recovery of reactive power costs</w:t>
      </w:r>
      <w:r w:rsidRPr="002E175D" w:rsidR="002E175D">
        <w:t xml:space="preserve"> </w:t>
      </w:r>
      <w:r w:rsidR="002E175D">
        <w:t>through sales of other products. This would include, for instance, requiring RTOs/ISOs with organized capacity markets to revise their tariffs to permit resources to accurately reflect their investment in reactive power in their capacity offers. The Commission also should require RTOs/ISOs to revise their market power mitigation frameworks to permit generation resources to reflect reactive power costs in their cost-based energy curves.”</w:t>
      </w:r>
      <w:r w:rsidRPr="00571CD7">
        <w:t>).</w:t>
      </w:r>
    </w:p>
  </w:footnote>
  <w:footnote w:id="631">
    <w:p w:rsidR="001228DF" w:rsidRPr="00336587" w:rsidP="001228DF" w14:paraId="2140C9BD" w14:textId="77777777">
      <w:pPr>
        <w:pStyle w:val="FootnoteText"/>
      </w:pPr>
      <w:r>
        <w:rPr>
          <w:rStyle w:val="FootnoteReference"/>
        </w:rPr>
        <w:footnoteRef/>
      </w:r>
      <w:r>
        <w:t xml:space="preserve"> </w:t>
      </w:r>
      <w:r>
        <w:rPr>
          <w:i/>
          <w:iCs/>
        </w:rPr>
        <w:t>See, e.g.</w:t>
      </w:r>
      <w:r w:rsidRPr="00D374EE">
        <w:t>,</w:t>
      </w:r>
      <w:r>
        <w:t xml:space="preserve"> PJM IMM Reply Comments at 5 (“</w:t>
      </w:r>
      <w:r w:rsidRPr="00336587">
        <w:t>When buyers and sellers</w:t>
      </w:r>
      <w:r>
        <w:t xml:space="preserve"> </w:t>
      </w:r>
      <w:r w:rsidRPr="00336587">
        <w:t>enter into power purchase agreements, the contracting parties define and assign regulatory</w:t>
      </w:r>
      <w:r>
        <w:t xml:space="preserve"> </w:t>
      </w:r>
      <w:r w:rsidRPr="00336587">
        <w:t>risk. Customers are not responsible to manage or pay for suppliers’ risks</w:t>
      </w:r>
      <w:r>
        <w:t>.”).</w:t>
      </w:r>
    </w:p>
  </w:footnote>
  <w:footnote w:id="632">
    <w:p w:rsidR="001228DF" w:rsidP="001228DF" w14:paraId="7C4A53E5" w14:textId="195BDCA5">
      <w:pPr>
        <w:pStyle w:val="FootnoteText"/>
      </w:pPr>
      <w:r>
        <w:rPr>
          <w:rStyle w:val="FootnoteReference"/>
        </w:rPr>
        <w:footnoteRef/>
      </w:r>
      <w:r>
        <w:t xml:space="preserve"> </w:t>
      </w:r>
      <w:r>
        <w:rPr>
          <w:i/>
          <w:iCs/>
        </w:rPr>
        <w:t>See, e.g.</w:t>
      </w:r>
      <w:r>
        <w:t xml:space="preserve">, </w:t>
      </w:r>
      <w:r>
        <w:rPr>
          <w:i/>
          <w:iCs/>
        </w:rPr>
        <w:t>Nev Power Co.</w:t>
      </w:r>
      <w:r>
        <w:t xml:space="preserve">, 179 FERC ¶ 61,103; </w:t>
      </w:r>
      <w:r>
        <w:rPr>
          <w:i/>
          <w:iCs/>
        </w:rPr>
        <w:t>PNM</w:t>
      </w:r>
      <w:r>
        <w:t xml:space="preserve">, 178 FERC ¶ 61,088 </w:t>
      </w:r>
      <w:r w:rsidR="00484FF4">
        <w:t xml:space="preserve">         </w:t>
      </w:r>
      <w:r>
        <w:t xml:space="preserve">at PP 26-36; </w:t>
      </w:r>
      <w:r>
        <w:rPr>
          <w:i/>
          <w:iCs/>
        </w:rPr>
        <w:t>SPP</w:t>
      </w:r>
      <w:r>
        <w:t>, 119 FERC ¶ 61,199 at PP 20, 30-33.</w:t>
      </w:r>
    </w:p>
  </w:footnote>
  <w:footnote w:id="633">
    <w:p w:rsidR="008E36B2" w:rsidP="008E36B2" w14:paraId="36F75745" w14:textId="0DC410EA">
      <w:pPr>
        <w:pStyle w:val="FootnoteText"/>
      </w:pPr>
      <w:r>
        <w:rPr>
          <w:rStyle w:val="FootnoteReference"/>
        </w:rPr>
        <w:footnoteRef/>
      </w:r>
      <w:r>
        <w:t xml:space="preserve"> Calpine Initial Comments at 2-3; EDPR Initial Comments at 5; Generation Developers Initial Comments at 33-34; Glenvale Initial Comments at 6-7; Indicated Trade Associations Initial Comments at 29-30; Middle River Power Initial Comments </w:t>
      </w:r>
      <w:r w:rsidR="00484FF4">
        <w:t xml:space="preserve">     </w:t>
      </w:r>
      <w:r>
        <w:t>at 6-7; Reactive Service Providers Initial Comments at 67-76.</w:t>
      </w:r>
    </w:p>
  </w:footnote>
  <w:footnote w:id="634">
    <w:p w:rsidR="00C4096C" w:rsidP="00C4096C" w14:paraId="3B4C36D3" w14:textId="4EA66DAC">
      <w:pPr>
        <w:pStyle w:val="FootnoteText"/>
      </w:pPr>
      <w:r>
        <w:rPr>
          <w:rStyle w:val="FootnoteReference"/>
        </w:rPr>
        <w:footnoteRef/>
      </w:r>
      <w:r>
        <w:t xml:space="preserve"> </w:t>
      </w:r>
      <w:r>
        <w:rPr>
          <w:i/>
          <w:iCs/>
        </w:rPr>
        <w:t>See</w:t>
      </w:r>
      <w:r>
        <w:rPr>
          <w:i/>
        </w:rPr>
        <w:t xml:space="preserve"> </w:t>
      </w:r>
      <w:r w:rsidRPr="00511943">
        <w:rPr>
          <w:i/>
        </w:rPr>
        <w:t>Dynegy Midwest Generation, Inc. v. FERC</w:t>
      </w:r>
      <w:r w:rsidRPr="00A33C17">
        <w:t>, 633 F.3d 1122</w:t>
      </w:r>
      <w:r>
        <w:t>.</w:t>
      </w:r>
    </w:p>
  </w:footnote>
  <w:footnote w:id="635">
    <w:p w:rsidR="00C4096C" w:rsidP="00484FF4" w14:paraId="75E00F72" w14:textId="71827B2B">
      <w:pPr>
        <w:pStyle w:val="FootnoteText"/>
        <w:widowControl/>
      </w:pPr>
      <w:r>
        <w:rPr>
          <w:rStyle w:val="FootnoteReference"/>
        </w:rPr>
        <w:footnoteRef/>
      </w:r>
      <w:r>
        <w:t xml:space="preserve"> </w:t>
      </w:r>
      <w:r>
        <w:rPr>
          <w:i/>
          <w:iCs/>
        </w:rPr>
        <w:t>See, e.g.</w:t>
      </w:r>
      <w:r>
        <w:t>, Reactive Service Providers Initial Comments at 6</w:t>
      </w:r>
      <w:r w:rsidR="00251CBA">
        <w:t>7</w:t>
      </w:r>
      <w:r>
        <w:t>-7</w:t>
      </w:r>
      <w:r w:rsidR="00251CBA">
        <w:t>6</w:t>
      </w:r>
      <w:r>
        <w:t xml:space="preserve"> (citing Order No. 2003, </w:t>
      </w:r>
      <w:r w:rsidRPr="009742D7">
        <w:t>104 FERC ¶</w:t>
      </w:r>
      <w:r w:rsidR="00C05B45">
        <w:t> </w:t>
      </w:r>
      <w:r w:rsidRPr="009742D7">
        <w:t>61,103</w:t>
      </w:r>
      <w:r>
        <w:t>; Order No. 661</w:t>
      </w:r>
      <w:r w:rsidRPr="008D4F11">
        <w:t>, 111 FERC ¶</w:t>
      </w:r>
      <w:r w:rsidR="00C05B45">
        <w:t> </w:t>
      </w:r>
      <w:r w:rsidRPr="008D4F11">
        <w:t>61,353</w:t>
      </w:r>
      <w:r>
        <w:t xml:space="preserve">; Order No. </w:t>
      </w:r>
      <w:r w:rsidRPr="002802B9">
        <w:t xml:space="preserve">827, </w:t>
      </w:r>
      <w:r w:rsidR="00282F29">
        <w:t xml:space="preserve">    </w:t>
      </w:r>
      <w:r w:rsidRPr="002802B9">
        <w:t>155 FERC ¶</w:t>
      </w:r>
      <w:r w:rsidR="00C05B45">
        <w:t> </w:t>
      </w:r>
      <w:r w:rsidRPr="002802B9">
        <w:t>61,277</w:t>
      </w:r>
      <w:r>
        <w:t xml:space="preserve">; </w:t>
      </w:r>
      <w:r w:rsidRPr="00F80B53">
        <w:t>Order</w:t>
      </w:r>
      <w:r w:rsidR="00D374EE">
        <w:t xml:space="preserve"> </w:t>
      </w:r>
      <w:r w:rsidRPr="00F80B53">
        <w:t>No.</w:t>
      </w:r>
      <w:r w:rsidR="00D374EE">
        <w:t xml:space="preserve"> </w:t>
      </w:r>
      <w:r w:rsidRPr="00F80B53">
        <w:t>2023, 184 FERC ¶</w:t>
      </w:r>
      <w:r w:rsidR="00C05B45">
        <w:t> </w:t>
      </w:r>
      <w:r w:rsidRPr="00F80B53">
        <w:t>61,054</w:t>
      </w:r>
      <w:r>
        <w:t xml:space="preserve">; </w:t>
      </w:r>
      <w:r w:rsidRPr="00D6334A">
        <w:rPr>
          <w:i/>
          <w:iCs/>
        </w:rPr>
        <w:t>Cal</w:t>
      </w:r>
      <w:r w:rsidR="009C4BE6">
        <w:rPr>
          <w:i/>
          <w:iCs/>
        </w:rPr>
        <w:t>.</w:t>
      </w:r>
      <w:r w:rsidRPr="00D6334A">
        <w:rPr>
          <w:i/>
          <w:iCs/>
        </w:rPr>
        <w:t xml:space="preserve"> Indep</w:t>
      </w:r>
      <w:r w:rsidR="009C4BE6">
        <w:rPr>
          <w:i/>
          <w:iCs/>
        </w:rPr>
        <w:t>.</w:t>
      </w:r>
      <w:r w:rsidRPr="00D6334A">
        <w:rPr>
          <w:i/>
          <w:iCs/>
        </w:rPr>
        <w:t xml:space="preserve"> Sys</w:t>
      </w:r>
      <w:r w:rsidR="009C4BE6">
        <w:rPr>
          <w:i/>
          <w:iCs/>
        </w:rPr>
        <w:t>.</w:t>
      </w:r>
      <w:r w:rsidRPr="00D6334A">
        <w:rPr>
          <w:i/>
          <w:iCs/>
        </w:rPr>
        <w:t xml:space="preserve"> Op</w:t>
      </w:r>
      <w:r w:rsidR="009C4BE6">
        <w:rPr>
          <w:i/>
          <w:iCs/>
        </w:rPr>
        <w:t>.</w:t>
      </w:r>
      <w:r w:rsidRPr="00D6334A">
        <w:t xml:space="preserve">, </w:t>
      </w:r>
      <w:r w:rsidR="00282F29">
        <w:t xml:space="preserve">         </w:t>
      </w:r>
      <w:r w:rsidRPr="00D6334A">
        <w:t>124 FERC ¶</w:t>
      </w:r>
      <w:r w:rsidR="00C05B45">
        <w:t> </w:t>
      </w:r>
      <w:r w:rsidRPr="00D6334A">
        <w:t>61,031</w:t>
      </w:r>
      <w:r w:rsidR="00D374EE">
        <w:t>,</w:t>
      </w:r>
      <w:r w:rsidRPr="00D6334A">
        <w:t xml:space="preserve"> at PP</w:t>
      </w:r>
      <w:r w:rsidR="00C05B45">
        <w:t> </w:t>
      </w:r>
      <w:r w:rsidRPr="00D6334A">
        <w:t>12, 13, 20 (2008)</w:t>
      </w:r>
      <w:r>
        <w:t xml:space="preserve">; </w:t>
      </w:r>
      <w:r w:rsidRPr="00B625BA">
        <w:rPr>
          <w:i/>
          <w:iCs/>
        </w:rPr>
        <w:t>Midcontinent Independent System Operator, Inc</w:t>
      </w:r>
      <w:r w:rsidRPr="00B625BA">
        <w:t>., 158 FERC ¶</w:t>
      </w:r>
      <w:r w:rsidR="00C05B45">
        <w:t> </w:t>
      </w:r>
      <w:r w:rsidRPr="00B625BA">
        <w:t>61,003</w:t>
      </w:r>
      <w:r w:rsidR="00D374EE">
        <w:t>,</w:t>
      </w:r>
      <w:r w:rsidRPr="00B625BA">
        <w:t xml:space="preserve"> at PP</w:t>
      </w:r>
      <w:r w:rsidR="00C05B45">
        <w:t> </w:t>
      </w:r>
      <w:r w:rsidRPr="00B625BA">
        <w:t>44, 45, 59 (2017)</w:t>
      </w:r>
      <w:r>
        <w:t xml:space="preserve">; </w:t>
      </w:r>
      <w:r w:rsidRPr="00902D1D">
        <w:rPr>
          <w:i/>
          <w:iCs/>
        </w:rPr>
        <w:t>S</w:t>
      </w:r>
      <w:r>
        <w:rPr>
          <w:i/>
          <w:iCs/>
        </w:rPr>
        <w:t>w.</w:t>
      </w:r>
      <w:r w:rsidRPr="00902D1D">
        <w:rPr>
          <w:i/>
          <w:iCs/>
        </w:rPr>
        <w:t xml:space="preserve"> Power Pool, Inc</w:t>
      </w:r>
      <w:r w:rsidRPr="00902D1D">
        <w:t xml:space="preserve">., </w:t>
      </w:r>
      <w:r w:rsidR="00282F29">
        <w:t xml:space="preserve">       </w:t>
      </w:r>
      <w:r w:rsidRPr="00902D1D">
        <w:t>167 FERC ¶</w:t>
      </w:r>
      <w:r w:rsidR="00C05B45">
        <w:t> </w:t>
      </w:r>
      <w:r w:rsidRPr="00902D1D">
        <w:t>61,275</w:t>
      </w:r>
      <w:r w:rsidR="00D374EE">
        <w:t>,</w:t>
      </w:r>
      <w:r w:rsidRPr="00902D1D">
        <w:t xml:space="preserve"> at P</w:t>
      </w:r>
      <w:r w:rsidR="00C05B45">
        <w:t> </w:t>
      </w:r>
      <w:r w:rsidRPr="00902D1D">
        <w:t>19 (2019)</w:t>
      </w:r>
      <w:r>
        <w:t>) (noting that “[i]t is common for the Commission to allow grandfathering of existing agreements and rate schedules when making sweeping industry changes,” that the Commission “has long implemented new Tariff rules in view of the economic impact to late-stage projects,” and “woven throughout each transition period ordered by the [Commission] is a need to carefully balance interests and preserve the expectations of the parties”)</w:t>
      </w:r>
      <w:r w:rsidR="009F6C10">
        <w:t>)</w:t>
      </w:r>
      <w:r>
        <w:t xml:space="preserve">; Indicated Trade Associations Initial Comments </w:t>
      </w:r>
      <w:r w:rsidR="00282F29">
        <w:t xml:space="preserve">            </w:t>
      </w:r>
      <w:r>
        <w:t xml:space="preserve">at 29-30 (citing </w:t>
      </w:r>
      <w:r w:rsidRPr="00B75EBB">
        <w:rPr>
          <w:i/>
          <w:iCs/>
        </w:rPr>
        <w:t>PJM Interconnection, L.L.C.</w:t>
      </w:r>
      <w:r>
        <w:t>, 110 FERC ¶</w:t>
      </w:r>
      <w:r w:rsidR="00C05B45">
        <w:t> </w:t>
      </w:r>
      <w:r>
        <w:t>61,053 at P</w:t>
      </w:r>
      <w:r w:rsidR="00C05B45">
        <w:t> </w:t>
      </w:r>
      <w:r>
        <w:t xml:space="preserve">61; </w:t>
      </w:r>
      <w:r w:rsidRPr="00B75EBB">
        <w:rPr>
          <w:i/>
          <w:iCs/>
        </w:rPr>
        <w:t>Tenn</w:t>
      </w:r>
      <w:r w:rsidR="00CF57CA">
        <w:rPr>
          <w:i/>
          <w:iCs/>
        </w:rPr>
        <w:t>.</w:t>
      </w:r>
      <w:r w:rsidRPr="00B75EBB">
        <w:rPr>
          <w:i/>
          <w:iCs/>
        </w:rPr>
        <w:t xml:space="preserve"> Gas Pipeline Co.</w:t>
      </w:r>
      <w:r>
        <w:t xml:space="preserve">, 62 FERC at 61,306) (noting that when the Commission eliminated an exemption from market power mitigation, the Commission provided legacy treatment for units that commenced construction in reliance of the rule)). </w:t>
      </w:r>
    </w:p>
  </w:footnote>
  <w:footnote w:id="636">
    <w:p w:rsidR="009C17AE" w:rsidRPr="00CD2C9F" w:rsidP="009C17AE" w14:paraId="35CD3ACD" w14:textId="6A4F04E8">
      <w:pPr>
        <w:pStyle w:val="FootnoteText"/>
      </w:pPr>
      <w:r w:rsidRPr="00CD2C9F">
        <w:rPr>
          <w:rStyle w:val="FootnoteReference"/>
        </w:rPr>
        <w:footnoteRef/>
      </w:r>
      <w:r w:rsidRPr="00CD2C9F">
        <w:t xml:space="preserve"> “Burden” is the total time, effort, or financial resources expended by persons to generate, maintain, retain, or disclose or provide information to or for a Federal agency. For further explanation of what is included in the estimated burden, refer to </w:t>
      </w:r>
      <w:r w:rsidR="005C0257">
        <w:t xml:space="preserve">                     </w:t>
      </w:r>
      <w:r w:rsidRPr="00CD2C9F">
        <w:t>5 CFR</w:t>
      </w:r>
      <w:r w:rsidR="00C05B45">
        <w:t> </w:t>
      </w:r>
      <w:r w:rsidRPr="00CD2C9F">
        <w:t>1320.</w:t>
      </w:r>
      <w:r>
        <w:t>3</w:t>
      </w:r>
      <w:r w:rsidRPr="00CD2C9F">
        <w:t>.</w:t>
      </w:r>
    </w:p>
  </w:footnote>
  <w:footnote w:id="637">
    <w:p w:rsidR="009C17AE" w:rsidRPr="00CD2C9F" w:rsidP="009C17AE" w14:paraId="1D55A690" w14:textId="77889550">
      <w:pPr>
        <w:pStyle w:val="FootnoteText"/>
      </w:pPr>
      <w:r w:rsidRPr="00CD2C9F">
        <w:rPr>
          <w:rStyle w:val="FootnoteReference"/>
        </w:rPr>
        <w:footnoteRef/>
      </w:r>
      <w:r w:rsidRPr="00CD2C9F">
        <w:t xml:space="preserve"> Commission staff estimates that the respondents’ skill set (and wages and benefits) for Docket No. RM22-</w:t>
      </w:r>
      <w:r w:rsidR="004256EF">
        <w:t>2</w:t>
      </w:r>
      <w:r w:rsidRPr="00CD2C9F">
        <w:t>-000 are comparable to those of Commission employees.  Based on the Commission’s Fiscal Year 2024 average cost of $207,786/year (for wages plus benefits, for one full-time employee), $100/hour is used.</w:t>
      </w:r>
    </w:p>
  </w:footnote>
  <w:footnote w:id="638">
    <w:p w:rsidR="00861B13" w:rsidRPr="00CD2C9F" w:rsidP="00861B13" w14:paraId="0E549809" w14:textId="654DF0C6">
      <w:pPr>
        <w:pStyle w:val="FootnoteText"/>
      </w:pPr>
      <w:r w:rsidRPr="00CD2C9F">
        <w:rPr>
          <w:rStyle w:val="FootnoteReference"/>
        </w:rPr>
        <w:footnoteRef/>
      </w:r>
      <w:r w:rsidRPr="00CD2C9F">
        <w:rPr>
          <w:i/>
          <w:iCs/>
        </w:rPr>
        <w:t xml:space="preserve"> Regul</w:t>
      </w:r>
      <w:r>
        <w:rPr>
          <w:i/>
          <w:iCs/>
        </w:rPr>
        <w:t>s.</w:t>
      </w:r>
      <w:r w:rsidRPr="00CD2C9F">
        <w:rPr>
          <w:i/>
          <w:iCs/>
        </w:rPr>
        <w:t xml:space="preserve"> Implementing the Nat</w:t>
      </w:r>
      <w:r>
        <w:rPr>
          <w:i/>
          <w:iCs/>
        </w:rPr>
        <w:t>’</w:t>
      </w:r>
      <w:r w:rsidRPr="00CD2C9F">
        <w:rPr>
          <w:i/>
          <w:iCs/>
        </w:rPr>
        <w:t>l Env</w:t>
      </w:r>
      <w:r>
        <w:rPr>
          <w:i/>
          <w:iCs/>
        </w:rPr>
        <w:t>’</w:t>
      </w:r>
      <w:r w:rsidRPr="00CD2C9F">
        <w:rPr>
          <w:i/>
          <w:iCs/>
        </w:rPr>
        <w:t>t Pol</w:t>
      </w:r>
      <w:r>
        <w:rPr>
          <w:i/>
          <w:iCs/>
        </w:rPr>
        <w:t>’</w:t>
      </w:r>
      <w:r w:rsidRPr="00CD2C9F">
        <w:rPr>
          <w:i/>
          <w:iCs/>
        </w:rPr>
        <w:t>y Act</w:t>
      </w:r>
      <w:r w:rsidRPr="00CD2C9F">
        <w:t>, Order No. 486, 52 FR 47897 (Dec. 17, 1987), FERC Stats. &amp; Regs. Preambles 1986-1990 ¶</w:t>
      </w:r>
      <w:r w:rsidR="00C05B45">
        <w:t> </w:t>
      </w:r>
      <w:r w:rsidRPr="00CD2C9F">
        <w:t>30,783 (1987)</w:t>
      </w:r>
      <w:r w:rsidR="005C0257">
        <w:t xml:space="preserve">           </w:t>
      </w:r>
      <w:r w:rsidRPr="00CD2C9F">
        <w:t>(cross-referenced at 41 FERC ¶</w:t>
      </w:r>
      <w:r w:rsidR="00C05B45">
        <w:t> </w:t>
      </w:r>
      <w:r w:rsidRPr="00CD2C9F">
        <w:t>61,284).</w:t>
      </w:r>
    </w:p>
  </w:footnote>
  <w:footnote w:id="639">
    <w:p w:rsidR="00861B13" w:rsidRPr="00CD2C9F" w:rsidP="00861B13" w14:paraId="5E59395B" w14:textId="345B4E52">
      <w:pPr>
        <w:pStyle w:val="FootnoteText"/>
      </w:pPr>
      <w:r w:rsidRPr="00CD2C9F">
        <w:rPr>
          <w:rStyle w:val="FootnoteReference"/>
        </w:rPr>
        <w:footnoteRef/>
      </w:r>
      <w:r w:rsidRPr="00CD2C9F">
        <w:t xml:space="preserve"> 18 CFR</w:t>
      </w:r>
      <w:r w:rsidR="00D374EE">
        <w:t xml:space="preserve"> </w:t>
      </w:r>
      <w:r w:rsidRPr="00CD2C9F">
        <w:t>380.4(a)(15).</w:t>
      </w:r>
    </w:p>
  </w:footnote>
  <w:footnote w:id="640">
    <w:p w:rsidR="001175DD" w:rsidP="001175DD" w14:paraId="291D23FE" w14:textId="613B2FA3">
      <w:pPr>
        <w:pStyle w:val="FootnoteText"/>
      </w:pPr>
      <w:r>
        <w:rPr>
          <w:rStyle w:val="FootnoteReference"/>
        </w:rPr>
        <w:footnoteRef/>
      </w:r>
      <w:r>
        <w:t xml:space="preserve"> </w:t>
      </w:r>
      <w:r w:rsidRPr="00CD2C9F">
        <w:t>5 U.S.C.</w:t>
      </w:r>
      <w:r w:rsidR="00D374EE">
        <w:t xml:space="preserve"> </w:t>
      </w:r>
      <w:r w:rsidRPr="00CD2C9F">
        <w:t>601-612.</w:t>
      </w:r>
    </w:p>
  </w:footnote>
  <w:footnote w:id="641">
    <w:p w:rsidR="001175DD" w:rsidRPr="00CD2C9F" w:rsidP="001175DD" w14:paraId="5DFA8F47" w14:textId="1DD25448">
      <w:pPr>
        <w:pStyle w:val="FootnoteText"/>
        <w:rPr>
          <w:szCs w:val="26"/>
        </w:rPr>
      </w:pPr>
      <w:r w:rsidRPr="00CD2C9F">
        <w:rPr>
          <w:rStyle w:val="FootnoteReference"/>
        </w:rPr>
        <w:footnoteRef/>
      </w:r>
      <w:r w:rsidRPr="00CD2C9F">
        <w:rPr>
          <w:szCs w:val="26"/>
        </w:rPr>
        <w:t xml:space="preserve"> </w:t>
      </w:r>
      <w:r w:rsidRPr="00CD2C9F">
        <w:rPr>
          <w:rFonts w:eastAsia="Arial Unicode MS"/>
          <w:szCs w:val="26"/>
        </w:rPr>
        <w:t>13 CFR</w:t>
      </w:r>
      <w:r w:rsidR="00D374EE">
        <w:rPr>
          <w:rFonts w:eastAsia="Arial Unicode MS"/>
          <w:szCs w:val="26"/>
        </w:rPr>
        <w:t xml:space="preserve"> </w:t>
      </w:r>
      <w:r w:rsidRPr="00CD2C9F">
        <w:rPr>
          <w:rFonts w:eastAsia="Arial Unicode MS"/>
          <w:szCs w:val="26"/>
        </w:rPr>
        <w:t>121.201.</w:t>
      </w:r>
    </w:p>
  </w:footnote>
  <w:footnote w:id="642">
    <w:p w:rsidR="001175DD" w:rsidRPr="00CD2C9F" w:rsidP="001175DD" w14:paraId="705785FC" w14:textId="3B712DD0">
      <w:pPr>
        <w:pStyle w:val="FootnoteText"/>
        <w:widowControl/>
        <w:rPr>
          <w:szCs w:val="26"/>
        </w:rPr>
      </w:pPr>
      <w:r w:rsidRPr="00CD2C9F">
        <w:rPr>
          <w:rStyle w:val="FootnoteReference"/>
        </w:rPr>
        <w:footnoteRef/>
      </w:r>
      <w:r w:rsidRPr="00CD2C9F">
        <w:rPr>
          <w:szCs w:val="26"/>
        </w:rPr>
        <w:t xml:space="preserve"> The RFA definition of “small entity” refers to the definition provided in the Small Business Act, which defines a “small business concern” as a business that is independently owned and operated and that is not dominant in its field of operation.  The Small Business Administrations’ regulations at 13 CFR 121.201 define the threshold for a small Electric Bulk Power Transmission and Control entity (NAICS code 221121) to be 500 employees.  </w:t>
      </w:r>
      <w:r w:rsidRPr="00CD2C9F">
        <w:rPr>
          <w:i/>
          <w:szCs w:val="26"/>
        </w:rPr>
        <w:t>See</w:t>
      </w:r>
      <w:r w:rsidRPr="00CD2C9F">
        <w:rPr>
          <w:szCs w:val="26"/>
        </w:rPr>
        <w:t xml:space="preserve"> 5 U</w:t>
      </w:r>
      <w:r w:rsidR="005C0257">
        <w:rPr>
          <w:szCs w:val="26"/>
        </w:rPr>
        <w:t>.</w:t>
      </w:r>
      <w:r w:rsidRPr="00CD2C9F">
        <w:rPr>
          <w:szCs w:val="26"/>
        </w:rPr>
        <w:t>S</w:t>
      </w:r>
      <w:r w:rsidR="005C0257">
        <w:rPr>
          <w:szCs w:val="26"/>
        </w:rPr>
        <w:t>.</w:t>
      </w:r>
      <w:r w:rsidRPr="00CD2C9F">
        <w:rPr>
          <w:szCs w:val="26"/>
        </w:rPr>
        <w:t>C</w:t>
      </w:r>
      <w:r w:rsidR="005C0257">
        <w:rPr>
          <w:szCs w:val="26"/>
        </w:rPr>
        <w:t>.</w:t>
      </w:r>
      <w:r w:rsidR="00D374EE">
        <w:rPr>
          <w:szCs w:val="26"/>
        </w:rPr>
        <w:t xml:space="preserve"> </w:t>
      </w:r>
      <w:r w:rsidRPr="00CD2C9F">
        <w:rPr>
          <w:szCs w:val="26"/>
        </w:rPr>
        <w:t xml:space="preserve">601(3) (citing to Section 3 of the Small Business Act, </w:t>
      </w:r>
      <w:r w:rsidR="005C0257">
        <w:rPr>
          <w:szCs w:val="26"/>
        </w:rPr>
        <w:t xml:space="preserve">         </w:t>
      </w:r>
      <w:r w:rsidRPr="00CD2C9F">
        <w:rPr>
          <w:szCs w:val="26"/>
        </w:rPr>
        <w:t>15 U</w:t>
      </w:r>
      <w:r w:rsidR="00D94C0F">
        <w:rPr>
          <w:szCs w:val="26"/>
        </w:rPr>
        <w:t>.</w:t>
      </w:r>
      <w:r w:rsidRPr="00CD2C9F">
        <w:rPr>
          <w:szCs w:val="26"/>
        </w:rPr>
        <w:t>S</w:t>
      </w:r>
      <w:r w:rsidR="00D94C0F">
        <w:rPr>
          <w:szCs w:val="26"/>
        </w:rPr>
        <w:t>.</w:t>
      </w:r>
      <w:r w:rsidRPr="00CD2C9F">
        <w:rPr>
          <w:szCs w:val="26"/>
        </w:rPr>
        <w:t>C</w:t>
      </w:r>
      <w:r w:rsidR="00D94C0F">
        <w:rPr>
          <w:szCs w:val="26"/>
        </w:rPr>
        <w:t>.</w:t>
      </w:r>
      <w:r w:rsidR="00D374EE">
        <w:rPr>
          <w:szCs w:val="26"/>
        </w:rPr>
        <w:t xml:space="preserve"> </w:t>
      </w:r>
      <w:r w:rsidRPr="00CD2C9F">
        <w:rPr>
          <w:szCs w:val="26"/>
        </w:rPr>
        <w:t>632).</w:t>
      </w:r>
    </w:p>
  </w:footnote>
  <w:footnote w:id="643">
    <w:p w:rsidR="001175DD" w:rsidRPr="00CD2C9F" w:rsidP="001175DD" w14:paraId="68BC03AA" w14:textId="1FCFEF83">
      <w:pPr>
        <w:pStyle w:val="FootnoteText"/>
      </w:pPr>
      <w:r w:rsidRPr="00CD2C9F">
        <w:rPr>
          <w:rStyle w:val="FootnoteReference"/>
        </w:rPr>
        <w:footnoteRef/>
      </w:r>
      <w:r w:rsidRPr="00CD2C9F">
        <w:t xml:space="preserve"> </w:t>
      </w:r>
      <w:r w:rsidR="00AF7B65">
        <w:t>NERC</w:t>
      </w:r>
      <w:r w:rsidRPr="00CD2C9F">
        <w:t xml:space="preserve">, </w:t>
      </w:r>
      <w:r w:rsidRPr="00CD2C9F">
        <w:rPr>
          <w:i/>
          <w:iCs/>
        </w:rPr>
        <w:t>NCR Active Entities List</w:t>
      </w:r>
      <w:r w:rsidRPr="00CD2C9F">
        <w:t xml:space="preserve">, (Jan. 12, 2024), </w:t>
      </w:r>
      <w:r w:rsidRPr="008154DE">
        <w:t>NERC_Compliance_Registry_Matrix_Excel.xlsx</w:t>
      </w:r>
      <w:r>
        <w:t>.</w:t>
      </w:r>
    </w:p>
  </w:footnote>
  <w:footnote w:id="644">
    <w:p w:rsidR="001175DD" w:rsidRPr="00CD2C9F" w:rsidP="005C0257" w14:paraId="0FE578FC" w14:textId="77777777">
      <w:pPr>
        <w:pStyle w:val="FootnoteText"/>
        <w:widowControl/>
        <w:rPr>
          <w:szCs w:val="26"/>
        </w:rPr>
      </w:pPr>
      <w:r w:rsidRPr="00CD2C9F">
        <w:rPr>
          <w:rStyle w:val="FootnoteReference"/>
        </w:rPr>
        <w:footnoteRef/>
      </w:r>
      <w:r w:rsidRPr="00CD2C9F">
        <w:rPr>
          <w:szCs w:val="26"/>
        </w:rPr>
        <w:t xml:space="preserve"> U.S. Small Business Administration, </w:t>
      </w:r>
      <w:r w:rsidRPr="00CD2C9F">
        <w:rPr>
          <w:i/>
          <w:szCs w:val="26"/>
        </w:rPr>
        <w:t>A Guide for Government Agencies How to Comply with the Regulatory Flexibility Act</w:t>
      </w:r>
      <w:r w:rsidRPr="00CD2C9F">
        <w:rPr>
          <w:szCs w:val="26"/>
        </w:rPr>
        <w:t>,</w:t>
      </w:r>
      <w:r>
        <w:rPr>
          <w:szCs w:val="26"/>
        </w:rPr>
        <w:t xml:space="preserve"> </w:t>
      </w:r>
      <w:r w:rsidRPr="00CD2C9F">
        <w:rPr>
          <w:szCs w:val="26"/>
        </w:rPr>
        <w:t>18 (Aug. 2017),</w:t>
      </w:r>
      <w:r w:rsidRPr="007B79C1">
        <w:t xml:space="preserve"> </w:t>
      </w:r>
      <w:r w:rsidRPr="00CD2C9F">
        <w:t>https://cdn.advocacy.sba.gov/wp-content/uploads/2019/06/21110349/How-to-Comply-with-the-RFA.pdf</w:t>
      </w:r>
      <w:r w:rsidRPr="00CD2C9F">
        <w:rPr>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A10" w14:paraId="00412653" w14:textId="14903085">
    <w:pPr>
      <w:pStyle w:val="Head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443865" cy="443865"/>
              <wp:effectExtent l="0" t="0" r="1270" b="635"/>
              <wp:wrapNone/>
              <wp:docPr id="2" name="Text Box 2"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A720F" w:rsidRPr="001A720F" w:rsidP="001A720F" w14:textId="0FB04A25">
                          <w:pPr>
                            <w:rPr>
                              <w:rFonts w:eastAsia="Times New Roman"/>
                              <w:noProof/>
                              <w:color w:val="FF0000"/>
                              <w:szCs w:val="26"/>
                            </w:rPr>
                          </w:pPr>
                          <w:r w:rsidRPr="001A720F">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1A720F" w:rsidRPr="001A720F" w:rsidP="001A720F" w14:paraId="3C9DE03D" w14:textId="0FB04A25">
                    <w:pPr>
                      <w:rPr>
                        <w:rFonts w:eastAsia="Times New Roman"/>
                        <w:noProof/>
                        <w:color w:val="FF0000"/>
                        <w:szCs w:val="26"/>
                      </w:rPr>
                    </w:pPr>
                    <w:r w:rsidRPr="001A720F">
                      <w:rPr>
                        <w:rFonts w:eastAsia="Times New Roman"/>
                        <w:noProof/>
                        <w:color w:val="FF0000"/>
                        <w:szCs w:val="26"/>
                      </w:rPr>
                      <w:t>CUI</w:t>
                    </w:r>
                  </w:p>
                </w:txbxContent>
              </v:textbox>
            </v:shape>
          </w:pict>
        </mc:Fallback>
      </mc:AlternateContent>
    </w:r>
    <w:r w:rsidR="002C4A10">
      <w:rPr>
        <w:rStyle w:val="PageNumber"/>
      </w:rPr>
      <w:fldChar w:fldCharType="begin"/>
    </w:r>
    <w:r w:rsidR="002C4A10">
      <w:rPr>
        <w:rStyle w:val="PageNumber"/>
      </w:rPr>
      <w:instrText xml:space="preserve">PAGE  </w:instrText>
    </w:r>
    <w:r w:rsidR="002C4A10">
      <w:rPr>
        <w:rStyle w:val="PageNumber"/>
      </w:rPr>
      <w:fldChar w:fldCharType="separate"/>
    </w:r>
    <w:r w:rsidR="004805B7">
      <w:rPr>
        <w:rStyle w:val="PageNumber"/>
        <w:noProof/>
      </w:rPr>
      <w:t>i</w:t>
    </w:r>
    <w:r w:rsidR="002C4A10">
      <w:rPr>
        <w:rStyle w:val="PageNumber"/>
      </w:rPr>
      <w:fldChar w:fldCharType="end"/>
    </w:r>
  </w:p>
  <w:p w:rsidR="002C4A10" w14:paraId="5E67F23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A10" w:rsidP="002C4A10" w14:paraId="5A0449D0" w14:textId="17B4A27C">
    <w:pPr>
      <w:pStyle w:val="Header"/>
      <w:tabs>
        <w:tab w:val="clear" w:pos="4680"/>
      </w:tabs>
      <w:spacing w:after="240"/>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top</wp:align>
              </wp:positionV>
              <wp:extent cx="443865" cy="443865"/>
              <wp:effectExtent l="0" t="0" r="1270" b="635"/>
              <wp:wrapNone/>
              <wp:docPr id="3" name="Text Box 3"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A720F" w:rsidRPr="001A720F" w:rsidP="001A720F" w14:textId="1F432F9C">
                          <w:pPr>
                            <w:rPr>
                              <w:rFonts w:eastAsia="Times New Roman"/>
                              <w:noProof/>
                              <w:color w:val="FF0000"/>
                              <w:szCs w:val="2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3360" filled="f" stroked="f">
              <v:textbox style="mso-fit-shape-to-text:t" inset="0,15pt,0,0">
                <w:txbxContent>
                  <w:p w:rsidR="001A720F" w:rsidRPr="001A720F" w:rsidP="001A720F" w14:paraId="16B91FA7" w14:textId="1F432F9C">
                    <w:pPr>
                      <w:rPr>
                        <w:rFonts w:eastAsia="Times New Roman"/>
                        <w:noProof/>
                        <w:color w:val="FF0000"/>
                        <w:szCs w:val="26"/>
                      </w:rPr>
                    </w:pPr>
                  </w:p>
                </w:txbxContent>
              </v:textbox>
            </v:shape>
          </w:pict>
        </mc:Fallback>
      </mc:AlternateContent>
    </w:r>
    <w:r w:rsidR="002C4A10">
      <w:t xml:space="preserve">Docket No. RM22-2-000 </w:t>
    </w:r>
    <w:r w:rsidR="002C4A10">
      <w:tab/>
    </w:r>
    <w:r w:rsidR="002C4A10">
      <w:fldChar w:fldCharType="begin"/>
    </w:r>
    <w:r w:rsidR="002C4A10">
      <w:instrText xml:space="preserve"> PAGE  \* MERGEFORMAT </w:instrText>
    </w:r>
    <w:r w:rsidR="002C4A10">
      <w:fldChar w:fldCharType="separate"/>
    </w:r>
    <w:r w:rsidR="002C4A10">
      <w:rPr>
        <w:noProof/>
      </w:rPr>
      <w:t>i</w:t>
    </w:r>
    <w:r w:rsidR="002C4A10">
      <w:fldChar w:fldCharType="end"/>
    </w:r>
    <w:r w:rsidR="002C4A1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A10" w14:paraId="5099AC25" w14:textId="46CB0E7F">
    <w:pPr>
      <w:pStyle w:val="Head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443865" cy="443865"/>
              <wp:effectExtent l="0" t="0" r="1270" b="635"/>
              <wp:wrapNone/>
              <wp:docPr id="1" name="Text Box 1"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A720F" w:rsidRPr="001A720F" w:rsidP="001A720F" w14:textId="133E4D8A">
                          <w:pPr>
                            <w:rPr>
                              <w:rFonts w:eastAsia="Times New Roman"/>
                              <w:noProof/>
                              <w:color w:val="FF0000"/>
                              <w:szCs w:val="2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1A720F" w:rsidRPr="001A720F" w:rsidP="001A720F" w14:paraId="3B7B793C" w14:textId="133E4D8A">
                    <w:pPr>
                      <w:rPr>
                        <w:rFonts w:eastAsia="Times New Roman"/>
                        <w:noProof/>
                        <w:color w:val="FF0000"/>
                        <w:szCs w:val="26"/>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24B5C821" w14:textId="48C78E56">
    <w:pPr>
      <w:pStyle w:val="Header"/>
      <w:framePr w:wrap="around" w:vAnchor="text" w:hAnchor="margin" w:xAlign="right" w:y="1"/>
      <w:rPr>
        <w:rStyle w:val="PageNumber"/>
      </w:rPr>
    </w:pPr>
    <w:r>
      <w:rPr>
        <w:noProof/>
      </w:rPr>
      <mc:AlternateContent>
        <mc:Choice Requires="wps">
          <w:drawing>
            <wp:anchor distT="0" distB="0" distL="0" distR="0" simplePos="0" relativeHeight="251666432" behindDoc="0" locked="0" layoutInCell="1" allowOverlap="1">
              <wp:simplePos x="0" y="0"/>
              <wp:positionH relativeFrom="page">
                <wp:align>center</wp:align>
              </wp:positionH>
              <wp:positionV relativeFrom="page">
                <wp:align>top</wp:align>
              </wp:positionV>
              <wp:extent cx="443865" cy="443865"/>
              <wp:effectExtent l="0" t="0" r="1270" b="635"/>
              <wp:wrapNone/>
              <wp:docPr id="5" name="Text Box 5"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A720F" w:rsidRPr="001A720F" w:rsidP="001A720F" w14:textId="0AFAF6D1">
                          <w:pPr>
                            <w:rPr>
                              <w:rFonts w:eastAsia="Times New Roman"/>
                              <w:noProof/>
                              <w:color w:val="FF0000"/>
                              <w:szCs w:val="26"/>
                            </w:rPr>
                          </w:pPr>
                          <w:r w:rsidRPr="001A720F">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2"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7456" filled="f" stroked="f">
              <v:textbox style="mso-fit-shape-to-text:t" inset="0,15pt,0,0">
                <w:txbxContent>
                  <w:p w:rsidR="001A720F" w:rsidRPr="001A720F" w:rsidP="001A720F" w14:paraId="71BA166B" w14:textId="0AFAF6D1">
                    <w:pPr>
                      <w:rPr>
                        <w:rFonts w:eastAsia="Times New Roman"/>
                        <w:noProof/>
                        <w:color w:val="FF0000"/>
                        <w:szCs w:val="26"/>
                      </w:rPr>
                    </w:pPr>
                    <w:r w:rsidRPr="001A720F">
                      <w:rPr>
                        <w:rFonts w:eastAsia="Times New Roman"/>
                        <w:noProof/>
                        <w:color w:val="FF0000"/>
                        <w:szCs w:val="26"/>
                      </w:rPr>
                      <w:t>CUI</w:t>
                    </w:r>
                  </w:p>
                </w:txbxContent>
              </v:textbox>
            </v:shape>
          </w:pict>
        </mc:Fallback>
      </mc:AlternateConten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14:paraId="6CCB5BD9" w14:textId="7777777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2C4A10" w14:paraId="2D3DA577" w14:textId="5FCAF6A9">
    <w:pPr>
      <w:pStyle w:val="Header"/>
      <w:tabs>
        <w:tab w:val="clear" w:pos="4680"/>
      </w:tabs>
      <w:spacing w:after="240"/>
    </w:pPr>
    <w:r>
      <w:rPr>
        <w:noProof/>
      </w:rPr>
      <mc:AlternateContent>
        <mc:Choice Requires="wps">
          <w:drawing>
            <wp:anchor distT="0" distB="0" distL="0" distR="0" simplePos="0" relativeHeight="251668480" behindDoc="0" locked="0" layoutInCell="1" allowOverlap="1">
              <wp:simplePos x="0" y="0"/>
              <wp:positionH relativeFrom="page">
                <wp:align>center</wp:align>
              </wp:positionH>
              <wp:positionV relativeFrom="page">
                <wp:align>top</wp:align>
              </wp:positionV>
              <wp:extent cx="443865" cy="443865"/>
              <wp:effectExtent l="0" t="0" r="1270" b="635"/>
              <wp:wrapNone/>
              <wp:docPr id="6" name="Text Box 6" descr="CUI" hidden="1">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A720F" w:rsidRPr="001A720F" w:rsidP="001A720F" w14:textId="6C9260F9">
                          <w:pPr>
                            <w:rPr>
                              <w:rFonts w:eastAsia="Times New Roman"/>
                              <w:noProof/>
                              <w:color w:val="FF0000"/>
                              <w:szCs w:val="26"/>
                            </w:rPr>
                          </w:pPr>
                          <w:r w:rsidRPr="001A720F">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2053"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hidden;v-text-anchor:top;z-index:251669504" filled="f" stroked="f">
              <v:textbox style="mso-fit-shape-to-text:t" inset="0,15pt,0,0">
                <w:txbxContent>
                  <w:p w:rsidR="001A720F" w:rsidRPr="001A720F" w:rsidP="001A720F" w14:paraId="1A91F5E0" w14:textId="6C9260F9">
                    <w:pPr>
                      <w:rPr>
                        <w:rFonts w:eastAsia="Times New Roman"/>
                        <w:noProof/>
                        <w:color w:val="FF0000"/>
                        <w:szCs w:val="26"/>
                      </w:rPr>
                    </w:pPr>
                    <w:r w:rsidRPr="001A720F">
                      <w:rPr>
                        <w:rFonts w:eastAsia="Times New Roman"/>
                        <w:noProof/>
                        <w:color w:val="FF0000"/>
                        <w:szCs w:val="26"/>
                      </w:rPr>
                      <w:t>CUI</w:t>
                    </w:r>
                  </w:p>
                </w:txbxContent>
              </v:textbox>
            </v:shape>
          </w:pict>
        </mc:Fallback>
      </mc:AlternateContent>
    </w:r>
    <w:r w:rsidR="002C4A10">
      <w:t xml:space="preserve">Docket No. RM22-2-000 </w:t>
    </w:r>
    <w:r w:rsidR="002C4A10">
      <w:tab/>
    </w:r>
    <w:r w:rsidR="002C4A10">
      <w:fldChar w:fldCharType="begin"/>
    </w:r>
    <w:r w:rsidR="002C4A10">
      <w:instrText xml:space="preserve"> PAGE  \* MERGEFORMAT </w:instrText>
    </w:r>
    <w:r w:rsidR="002C4A10">
      <w:fldChar w:fldCharType="separate"/>
    </w:r>
    <w:r w:rsidR="002C4A10">
      <w:rPr>
        <w:noProof/>
      </w:rPr>
      <w:t>- 1 -</w:t>
    </w:r>
    <w:r w:rsidR="002C4A1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2607C87B" w14:textId="5CF7288E">
    <w:pPr>
      <w:pStyle w:val="Header"/>
      <w:tabs>
        <w:tab w:val="clear" w:pos="4680"/>
      </w:tabs>
    </w:pPr>
    <w:r>
      <w:rPr>
        <w:noProof/>
      </w:rP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top</wp:align>
              </wp:positionV>
              <wp:extent cx="443865" cy="443865"/>
              <wp:effectExtent l="0" t="0" r="1270" b="635"/>
              <wp:wrapNone/>
              <wp:docPr id="4" name="Text Box 4"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1A720F" w:rsidRPr="001A720F" w:rsidP="001A720F" w14:textId="534CD3DC">
                          <w:pPr>
                            <w:rPr>
                              <w:rFonts w:eastAsia="Times New Roman"/>
                              <w:noProof/>
                              <w:color w:val="FF0000"/>
                              <w:szCs w:val="2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4"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5408" filled="f" stroked="f">
              <v:textbox style="mso-fit-shape-to-text:t" inset="0,15pt,0,0">
                <w:txbxContent>
                  <w:p w:rsidR="001A720F" w:rsidRPr="001A720F" w:rsidP="001A720F" w14:paraId="15F22AB2" w14:textId="534CD3DC">
                    <w:pPr>
                      <w:rPr>
                        <w:rFonts w:eastAsia="Times New Roman"/>
                        <w:noProof/>
                        <w:color w:val="FF0000"/>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1A805BD"/>
    <w:multiLevelType w:val="hybridMultilevel"/>
    <w:tmpl w:val="CC02F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DA5B1F"/>
    <w:multiLevelType w:val="multilevel"/>
    <w:tmpl w:val="67AA5D0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3960"/>
        </w:tabs>
        <w:ind w:left="1440" w:hanging="720"/>
      </w:pPr>
      <w:rPr>
        <w:rFonts w:hint="default"/>
      </w:rPr>
    </w:lvl>
    <w:lvl w:ilvl="2">
      <w:start w:val="1"/>
      <w:numFmt w:val="decimal"/>
      <w:lvlText w:val="%3."/>
      <w:lvlJc w:val="left"/>
      <w:pPr>
        <w:tabs>
          <w:tab w:val="num" w:pos="2160"/>
        </w:tabs>
        <w:ind w:left="2160" w:hanging="720"/>
      </w:pPr>
      <w:rPr>
        <w:rFonts w:hint="default"/>
        <w:i w:val="0"/>
        <w:iCs/>
      </w:rPr>
    </w:lvl>
    <w:lvl w:ilvl="3">
      <w:start w:val="1"/>
      <w:numFmt w:val="lowerLetter"/>
      <w:lvlText w:val="%4."/>
      <w:lvlJc w:val="left"/>
      <w:pPr>
        <w:tabs>
          <w:tab w:val="num" w:pos="2880"/>
        </w:tabs>
        <w:ind w:left="2880" w:hanging="720"/>
      </w:pPr>
      <w:rPr>
        <w:rFonts w:hint="default"/>
        <w:i w:val="0"/>
        <w:iCs/>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Roman"/>
      <w:lvlText w:val="(%8)"/>
      <w:lvlJc w:val="left"/>
      <w:pPr>
        <w:tabs>
          <w:tab w:val="num" w:pos="5760"/>
        </w:tabs>
        <w:ind w:left="5760" w:hanging="720"/>
      </w:pPr>
      <w:rPr>
        <w:rFonts w:hint="default"/>
      </w:rPr>
    </w:lvl>
    <w:lvl w:ilvl="8">
      <w:start w:val="1"/>
      <w:numFmt w:val="decimalZero"/>
      <w:lvlText w:val="(%9)"/>
      <w:lvlJc w:val="left"/>
      <w:pPr>
        <w:tabs>
          <w:tab w:val="num" w:pos="6480"/>
        </w:tabs>
        <w:ind w:left="6480" w:hanging="720"/>
      </w:pPr>
      <w:rPr>
        <w:rFonts w:hint="default"/>
      </w:rPr>
    </w:lvl>
  </w:abstractNum>
  <w:abstractNum w:abstractNumId="15">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6">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F2868E6"/>
    <w:multiLevelType w:val="hybridMultilevel"/>
    <w:tmpl w:val="3B360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AE5DEC"/>
    <w:multiLevelType w:val="hybridMultilevel"/>
    <w:tmpl w:val="FD0C636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510204FD"/>
    <w:multiLevelType w:val="hybridMultilevel"/>
    <w:tmpl w:val="2CE4A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517A19"/>
    <w:multiLevelType w:val="hybridMultilevel"/>
    <w:tmpl w:val="EC98027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5B6502FF"/>
    <w:multiLevelType w:val="multilevel"/>
    <w:tmpl w:val="C99A8E3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4">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92156AA"/>
    <w:multiLevelType w:val="hybridMultilevel"/>
    <w:tmpl w:val="DBFE453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6">
    <w:nsid w:val="6ECD7544"/>
    <w:multiLevelType w:val="hybridMultilevel"/>
    <w:tmpl w:val="013CA0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8">
    <w:nsid w:val="717028BB"/>
    <w:multiLevelType w:val="hybridMultilevel"/>
    <w:tmpl w:val="A22E693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9">
    <w:nsid w:val="7487408D"/>
    <w:multiLevelType w:val="hybridMultilevel"/>
    <w:tmpl w:val="A4D87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DA20D2"/>
    <w:multiLevelType w:val="hybridMultilevel"/>
    <w:tmpl w:val="895AB74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7D3B09D3"/>
    <w:multiLevelType w:val="hybridMultilevel"/>
    <w:tmpl w:val="5BF2C360"/>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39767732">
    <w:abstractNumId w:val="9"/>
  </w:num>
  <w:num w:numId="2" w16cid:durableId="643050925">
    <w:abstractNumId w:val="7"/>
  </w:num>
  <w:num w:numId="3" w16cid:durableId="803234533">
    <w:abstractNumId w:val="6"/>
  </w:num>
  <w:num w:numId="4" w16cid:durableId="1505591115">
    <w:abstractNumId w:val="5"/>
  </w:num>
  <w:num w:numId="5" w16cid:durableId="645279824">
    <w:abstractNumId w:val="4"/>
  </w:num>
  <w:num w:numId="6" w16cid:durableId="1064109807">
    <w:abstractNumId w:val="8"/>
  </w:num>
  <w:num w:numId="7" w16cid:durableId="1510756871">
    <w:abstractNumId w:val="3"/>
  </w:num>
  <w:num w:numId="8" w16cid:durableId="618874814">
    <w:abstractNumId w:val="2"/>
  </w:num>
  <w:num w:numId="9" w16cid:durableId="1781023399">
    <w:abstractNumId w:val="1"/>
  </w:num>
  <w:num w:numId="10" w16cid:durableId="406194681">
    <w:abstractNumId w:val="0"/>
  </w:num>
  <w:num w:numId="11" w16cid:durableId="1085224637">
    <w:abstractNumId w:val="31"/>
  </w:num>
  <w:num w:numId="12" w16cid:durableId="1046641253">
    <w:abstractNumId w:val="24"/>
  </w:num>
  <w:num w:numId="13" w16cid:durableId="463234762">
    <w:abstractNumId w:val="15"/>
  </w:num>
  <w:num w:numId="14" w16cid:durableId="932123818">
    <w:abstractNumId w:val="27"/>
  </w:num>
  <w:num w:numId="15" w16cid:durableId="775561873">
    <w:abstractNumId w:val="23"/>
  </w:num>
  <w:num w:numId="16" w16cid:durableId="19893590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1729003">
    <w:abstractNumId w:val="11"/>
  </w:num>
  <w:num w:numId="18" w16cid:durableId="554435275">
    <w:abstractNumId w:val="10"/>
  </w:num>
  <w:num w:numId="19" w16cid:durableId="21245318">
    <w:abstractNumId w:val="16"/>
  </w:num>
  <w:num w:numId="20" w16cid:durableId="878127098">
    <w:abstractNumId w:val="13"/>
  </w:num>
  <w:num w:numId="21" w16cid:durableId="1425302438">
    <w:abstractNumId w:val="32"/>
  </w:num>
  <w:num w:numId="22" w16cid:durableId="1169441522">
    <w:abstractNumId w:val="17"/>
  </w:num>
  <w:num w:numId="23" w16cid:durableId="1243182538">
    <w:abstractNumId w:val="28"/>
  </w:num>
  <w:num w:numId="24" w16cid:durableId="1570732520">
    <w:abstractNumId w:val="30"/>
  </w:num>
  <w:num w:numId="25" w16cid:durableId="1715080478">
    <w:abstractNumId w:val="25"/>
  </w:num>
  <w:num w:numId="26" w16cid:durableId="784733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7214505">
    <w:abstractNumId w:val="20"/>
  </w:num>
  <w:num w:numId="28" w16cid:durableId="1935085339">
    <w:abstractNumId w:val="26"/>
  </w:num>
  <w:num w:numId="29" w16cid:durableId="550310251">
    <w:abstractNumId w:val="12"/>
  </w:num>
  <w:num w:numId="30" w16cid:durableId="26563406">
    <w:abstractNumId w:val="21"/>
  </w:num>
  <w:num w:numId="31" w16cid:durableId="403332845">
    <w:abstractNumId w:val="29"/>
  </w:num>
  <w:num w:numId="32" w16cid:durableId="1567521958">
    <w:abstractNumId w:val="19"/>
  </w:num>
  <w:num w:numId="33" w16cid:durableId="61567035">
    <w:abstractNumId w:val="14"/>
  </w:num>
  <w:num w:numId="34" w16cid:durableId="4781143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46060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375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7183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4969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415652">
    <w:abstractNumId w:val="18"/>
  </w:num>
  <w:num w:numId="40" w16cid:durableId="12897019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10"/>
    <w:rsid w:val="00000048"/>
    <w:rsid w:val="000000A0"/>
    <w:rsid w:val="000000C4"/>
    <w:rsid w:val="000001F8"/>
    <w:rsid w:val="0000020E"/>
    <w:rsid w:val="00000277"/>
    <w:rsid w:val="00000295"/>
    <w:rsid w:val="000002AF"/>
    <w:rsid w:val="000002CD"/>
    <w:rsid w:val="0000036F"/>
    <w:rsid w:val="000003DB"/>
    <w:rsid w:val="000003E1"/>
    <w:rsid w:val="00000424"/>
    <w:rsid w:val="00000436"/>
    <w:rsid w:val="000004CF"/>
    <w:rsid w:val="000007A5"/>
    <w:rsid w:val="00000801"/>
    <w:rsid w:val="00000814"/>
    <w:rsid w:val="00000815"/>
    <w:rsid w:val="0000091D"/>
    <w:rsid w:val="00000AAC"/>
    <w:rsid w:val="00000BB9"/>
    <w:rsid w:val="00000BD8"/>
    <w:rsid w:val="00000BDB"/>
    <w:rsid w:val="00000D17"/>
    <w:rsid w:val="00000FB6"/>
    <w:rsid w:val="00000FD6"/>
    <w:rsid w:val="00000FE0"/>
    <w:rsid w:val="00001034"/>
    <w:rsid w:val="00001146"/>
    <w:rsid w:val="000011AC"/>
    <w:rsid w:val="00001236"/>
    <w:rsid w:val="00001399"/>
    <w:rsid w:val="000013C7"/>
    <w:rsid w:val="000013DD"/>
    <w:rsid w:val="000013E6"/>
    <w:rsid w:val="00001443"/>
    <w:rsid w:val="000014DE"/>
    <w:rsid w:val="00001578"/>
    <w:rsid w:val="00001674"/>
    <w:rsid w:val="0000184E"/>
    <w:rsid w:val="00001965"/>
    <w:rsid w:val="000019D1"/>
    <w:rsid w:val="000019DC"/>
    <w:rsid w:val="00001A7F"/>
    <w:rsid w:val="00001BC4"/>
    <w:rsid w:val="00001BCF"/>
    <w:rsid w:val="00001C9F"/>
    <w:rsid w:val="00001CDB"/>
    <w:rsid w:val="00001DA0"/>
    <w:rsid w:val="00001DC2"/>
    <w:rsid w:val="00001DCF"/>
    <w:rsid w:val="00001F00"/>
    <w:rsid w:val="00001F69"/>
    <w:rsid w:val="00001FA2"/>
    <w:rsid w:val="000020BD"/>
    <w:rsid w:val="000022C2"/>
    <w:rsid w:val="000022CC"/>
    <w:rsid w:val="000023F0"/>
    <w:rsid w:val="00002443"/>
    <w:rsid w:val="00002481"/>
    <w:rsid w:val="00002526"/>
    <w:rsid w:val="0000252D"/>
    <w:rsid w:val="0000252E"/>
    <w:rsid w:val="00002786"/>
    <w:rsid w:val="0000296C"/>
    <w:rsid w:val="00002980"/>
    <w:rsid w:val="000029BC"/>
    <w:rsid w:val="000029DE"/>
    <w:rsid w:val="00002B34"/>
    <w:rsid w:val="00002CF7"/>
    <w:rsid w:val="00002E87"/>
    <w:rsid w:val="00002FD2"/>
    <w:rsid w:val="000030BE"/>
    <w:rsid w:val="00003113"/>
    <w:rsid w:val="00003196"/>
    <w:rsid w:val="000031C0"/>
    <w:rsid w:val="00003340"/>
    <w:rsid w:val="0000335D"/>
    <w:rsid w:val="00003365"/>
    <w:rsid w:val="00003388"/>
    <w:rsid w:val="00003406"/>
    <w:rsid w:val="0000345D"/>
    <w:rsid w:val="00003572"/>
    <w:rsid w:val="00003611"/>
    <w:rsid w:val="00003681"/>
    <w:rsid w:val="000036F5"/>
    <w:rsid w:val="00003733"/>
    <w:rsid w:val="000037E5"/>
    <w:rsid w:val="0000390D"/>
    <w:rsid w:val="00003930"/>
    <w:rsid w:val="000039AB"/>
    <w:rsid w:val="00003AE6"/>
    <w:rsid w:val="00003CF6"/>
    <w:rsid w:val="00003D9F"/>
    <w:rsid w:val="00003EDC"/>
    <w:rsid w:val="000041C0"/>
    <w:rsid w:val="000041C1"/>
    <w:rsid w:val="000042F3"/>
    <w:rsid w:val="00004345"/>
    <w:rsid w:val="00004351"/>
    <w:rsid w:val="0000436D"/>
    <w:rsid w:val="0000444E"/>
    <w:rsid w:val="000044F9"/>
    <w:rsid w:val="00004599"/>
    <w:rsid w:val="0000460B"/>
    <w:rsid w:val="00004661"/>
    <w:rsid w:val="00004786"/>
    <w:rsid w:val="00004984"/>
    <w:rsid w:val="00004A8F"/>
    <w:rsid w:val="00004ADD"/>
    <w:rsid w:val="00004B53"/>
    <w:rsid w:val="00004BC0"/>
    <w:rsid w:val="00004C69"/>
    <w:rsid w:val="00004C89"/>
    <w:rsid w:val="00004D1A"/>
    <w:rsid w:val="00004D48"/>
    <w:rsid w:val="00004D4C"/>
    <w:rsid w:val="00004E70"/>
    <w:rsid w:val="00004EB6"/>
    <w:rsid w:val="00004F03"/>
    <w:rsid w:val="000050C9"/>
    <w:rsid w:val="00005104"/>
    <w:rsid w:val="00005184"/>
    <w:rsid w:val="0000518C"/>
    <w:rsid w:val="00005243"/>
    <w:rsid w:val="0000524C"/>
    <w:rsid w:val="000052AE"/>
    <w:rsid w:val="000052ED"/>
    <w:rsid w:val="0000534F"/>
    <w:rsid w:val="0000535A"/>
    <w:rsid w:val="00005366"/>
    <w:rsid w:val="000053F8"/>
    <w:rsid w:val="00005522"/>
    <w:rsid w:val="0000565B"/>
    <w:rsid w:val="0000568A"/>
    <w:rsid w:val="000056A8"/>
    <w:rsid w:val="00005714"/>
    <w:rsid w:val="0000572F"/>
    <w:rsid w:val="000058FE"/>
    <w:rsid w:val="00005928"/>
    <w:rsid w:val="00005967"/>
    <w:rsid w:val="00005C54"/>
    <w:rsid w:val="00005CD6"/>
    <w:rsid w:val="00005D90"/>
    <w:rsid w:val="00005E03"/>
    <w:rsid w:val="00005E54"/>
    <w:rsid w:val="00005E8B"/>
    <w:rsid w:val="00005FBC"/>
    <w:rsid w:val="0000606A"/>
    <w:rsid w:val="00006085"/>
    <w:rsid w:val="000060AE"/>
    <w:rsid w:val="00006297"/>
    <w:rsid w:val="000063AC"/>
    <w:rsid w:val="0000642F"/>
    <w:rsid w:val="00006471"/>
    <w:rsid w:val="00006579"/>
    <w:rsid w:val="00006699"/>
    <w:rsid w:val="00006772"/>
    <w:rsid w:val="000067A4"/>
    <w:rsid w:val="000067BA"/>
    <w:rsid w:val="00006826"/>
    <w:rsid w:val="000069E2"/>
    <w:rsid w:val="00006A46"/>
    <w:rsid w:val="00006B9E"/>
    <w:rsid w:val="00006C45"/>
    <w:rsid w:val="00006CB2"/>
    <w:rsid w:val="00006CE4"/>
    <w:rsid w:val="00006CE8"/>
    <w:rsid w:val="00006D0A"/>
    <w:rsid w:val="00006E35"/>
    <w:rsid w:val="00006F4E"/>
    <w:rsid w:val="0000709A"/>
    <w:rsid w:val="000070FB"/>
    <w:rsid w:val="0000723A"/>
    <w:rsid w:val="0000723D"/>
    <w:rsid w:val="00007299"/>
    <w:rsid w:val="000072A6"/>
    <w:rsid w:val="0000731D"/>
    <w:rsid w:val="00007416"/>
    <w:rsid w:val="0000742B"/>
    <w:rsid w:val="000074CB"/>
    <w:rsid w:val="0000753F"/>
    <w:rsid w:val="000076BA"/>
    <w:rsid w:val="00007870"/>
    <w:rsid w:val="0000788F"/>
    <w:rsid w:val="0000792C"/>
    <w:rsid w:val="00007955"/>
    <w:rsid w:val="0000799A"/>
    <w:rsid w:val="00007A12"/>
    <w:rsid w:val="00007A85"/>
    <w:rsid w:val="00007B55"/>
    <w:rsid w:val="00007B67"/>
    <w:rsid w:val="00007B91"/>
    <w:rsid w:val="00007CD5"/>
    <w:rsid w:val="00007D0A"/>
    <w:rsid w:val="00007D23"/>
    <w:rsid w:val="00007E53"/>
    <w:rsid w:val="00007EBC"/>
    <w:rsid w:val="00007ECF"/>
    <w:rsid w:val="00007FA5"/>
    <w:rsid w:val="0001014F"/>
    <w:rsid w:val="00010347"/>
    <w:rsid w:val="0001034D"/>
    <w:rsid w:val="00010468"/>
    <w:rsid w:val="00010528"/>
    <w:rsid w:val="000105D9"/>
    <w:rsid w:val="000106A1"/>
    <w:rsid w:val="00010706"/>
    <w:rsid w:val="00010867"/>
    <w:rsid w:val="00010964"/>
    <w:rsid w:val="000109AA"/>
    <w:rsid w:val="00010B2E"/>
    <w:rsid w:val="00010BCE"/>
    <w:rsid w:val="00010CE6"/>
    <w:rsid w:val="00010E1C"/>
    <w:rsid w:val="00010F02"/>
    <w:rsid w:val="00010F1C"/>
    <w:rsid w:val="00010F8A"/>
    <w:rsid w:val="00010FA6"/>
    <w:rsid w:val="00011092"/>
    <w:rsid w:val="0001110D"/>
    <w:rsid w:val="00011134"/>
    <w:rsid w:val="000112E4"/>
    <w:rsid w:val="00011399"/>
    <w:rsid w:val="000113F0"/>
    <w:rsid w:val="0001150D"/>
    <w:rsid w:val="00011572"/>
    <w:rsid w:val="00011639"/>
    <w:rsid w:val="0001177C"/>
    <w:rsid w:val="000118C8"/>
    <w:rsid w:val="00011979"/>
    <w:rsid w:val="000119E2"/>
    <w:rsid w:val="00011A5C"/>
    <w:rsid w:val="00011A69"/>
    <w:rsid w:val="00011ACB"/>
    <w:rsid w:val="00011AE1"/>
    <w:rsid w:val="00011B4C"/>
    <w:rsid w:val="00011B90"/>
    <w:rsid w:val="00012125"/>
    <w:rsid w:val="00012141"/>
    <w:rsid w:val="000122AE"/>
    <w:rsid w:val="000122E5"/>
    <w:rsid w:val="0001233E"/>
    <w:rsid w:val="00012632"/>
    <w:rsid w:val="0001273B"/>
    <w:rsid w:val="00012776"/>
    <w:rsid w:val="0001277C"/>
    <w:rsid w:val="000128AC"/>
    <w:rsid w:val="000128DF"/>
    <w:rsid w:val="0001293D"/>
    <w:rsid w:val="000129FB"/>
    <w:rsid w:val="00012A62"/>
    <w:rsid w:val="00012B3E"/>
    <w:rsid w:val="00012BB0"/>
    <w:rsid w:val="00012BE6"/>
    <w:rsid w:val="00012C35"/>
    <w:rsid w:val="00012CB2"/>
    <w:rsid w:val="00012E67"/>
    <w:rsid w:val="00012E84"/>
    <w:rsid w:val="00012EB3"/>
    <w:rsid w:val="00012EFE"/>
    <w:rsid w:val="00012F54"/>
    <w:rsid w:val="00012FDC"/>
    <w:rsid w:val="0001308B"/>
    <w:rsid w:val="00013092"/>
    <w:rsid w:val="000131F7"/>
    <w:rsid w:val="0001321F"/>
    <w:rsid w:val="000133A7"/>
    <w:rsid w:val="000133B7"/>
    <w:rsid w:val="000134B5"/>
    <w:rsid w:val="000134FC"/>
    <w:rsid w:val="00013585"/>
    <w:rsid w:val="000136D4"/>
    <w:rsid w:val="00013747"/>
    <w:rsid w:val="00013807"/>
    <w:rsid w:val="0001395D"/>
    <w:rsid w:val="00013985"/>
    <w:rsid w:val="000139DC"/>
    <w:rsid w:val="00013A4B"/>
    <w:rsid w:val="00013B33"/>
    <w:rsid w:val="00013BBA"/>
    <w:rsid w:val="00013BCC"/>
    <w:rsid w:val="00013C9B"/>
    <w:rsid w:val="00013C9C"/>
    <w:rsid w:val="00013D8B"/>
    <w:rsid w:val="00013D91"/>
    <w:rsid w:val="00013FFB"/>
    <w:rsid w:val="00014078"/>
    <w:rsid w:val="00014152"/>
    <w:rsid w:val="00014190"/>
    <w:rsid w:val="000142E4"/>
    <w:rsid w:val="000142F7"/>
    <w:rsid w:val="000143AA"/>
    <w:rsid w:val="000143DA"/>
    <w:rsid w:val="00014401"/>
    <w:rsid w:val="0001449F"/>
    <w:rsid w:val="000144A5"/>
    <w:rsid w:val="00014509"/>
    <w:rsid w:val="00014668"/>
    <w:rsid w:val="000146A3"/>
    <w:rsid w:val="00014879"/>
    <w:rsid w:val="0001496D"/>
    <w:rsid w:val="00014A06"/>
    <w:rsid w:val="00014ADD"/>
    <w:rsid w:val="00014B5C"/>
    <w:rsid w:val="00014C97"/>
    <w:rsid w:val="00014D59"/>
    <w:rsid w:val="00014DC7"/>
    <w:rsid w:val="00014E3B"/>
    <w:rsid w:val="00014FF6"/>
    <w:rsid w:val="000150E4"/>
    <w:rsid w:val="00015106"/>
    <w:rsid w:val="00015111"/>
    <w:rsid w:val="00015251"/>
    <w:rsid w:val="0001540A"/>
    <w:rsid w:val="00015481"/>
    <w:rsid w:val="000155F6"/>
    <w:rsid w:val="0001562F"/>
    <w:rsid w:val="0001567B"/>
    <w:rsid w:val="00015764"/>
    <w:rsid w:val="00015766"/>
    <w:rsid w:val="00015773"/>
    <w:rsid w:val="000157A9"/>
    <w:rsid w:val="000157F5"/>
    <w:rsid w:val="000158A1"/>
    <w:rsid w:val="000158AC"/>
    <w:rsid w:val="00015925"/>
    <w:rsid w:val="000159D9"/>
    <w:rsid w:val="00015A5A"/>
    <w:rsid w:val="00015BF5"/>
    <w:rsid w:val="00015C40"/>
    <w:rsid w:val="00015C5F"/>
    <w:rsid w:val="00015D23"/>
    <w:rsid w:val="00015D99"/>
    <w:rsid w:val="00015DCD"/>
    <w:rsid w:val="00015DFF"/>
    <w:rsid w:val="00015E91"/>
    <w:rsid w:val="00015ECE"/>
    <w:rsid w:val="000160F8"/>
    <w:rsid w:val="0001615E"/>
    <w:rsid w:val="00016286"/>
    <w:rsid w:val="0001630A"/>
    <w:rsid w:val="00016352"/>
    <w:rsid w:val="00016379"/>
    <w:rsid w:val="000163CA"/>
    <w:rsid w:val="0001651D"/>
    <w:rsid w:val="00016540"/>
    <w:rsid w:val="0001654F"/>
    <w:rsid w:val="00016592"/>
    <w:rsid w:val="0001665A"/>
    <w:rsid w:val="000166B6"/>
    <w:rsid w:val="000166E2"/>
    <w:rsid w:val="0001670B"/>
    <w:rsid w:val="00016748"/>
    <w:rsid w:val="0001674F"/>
    <w:rsid w:val="00016826"/>
    <w:rsid w:val="00016900"/>
    <w:rsid w:val="000169D2"/>
    <w:rsid w:val="00016ABB"/>
    <w:rsid w:val="00016B97"/>
    <w:rsid w:val="00016C90"/>
    <w:rsid w:val="00016D51"/>
    <w:rsid w:val="00016D8D"/>
    <w:rsid w:val="00016DC8"/>
    <w:rsid w:val="00016DD4"/>
    <w:rsid w:val="00016DF2"/>
    <w:rsid w:val="00016E4A"/>
    <w:rsid w:val="00016EDA"/>
    <w:rsid w:val="00016FBA"/>
    <w:rsid w:val="00016FFA"/>
    <w:rsid w:val="00017058"/>
    <w:rsid w:val="000170BA"/>
    <w:rsid w:val="000170DC"/>
    <w:rsid w:val="0001716A"/>
    <w:rsid w:val="000171FC"/>
    <w:rsid w:val="0001723E"/>
    <w:rsid w:val="00017253"/>
    <w:rsid w:val="000172DB"/>
    <w:rsid w:val="0001731B"/>
    <w:rsid w:val="00017398"/>
    <w:rsid w:val="000175A7"/>
    <w:rsid w:val="00017663"/>
    <w:rsid w:val="0001769B"/>
    <w:rsid w:val="000176FB"/>
    <w:rsid w:val="0001771A"/>
    <w:rsid w:val="0001775F"/>
    <w:rsid w:val="0001777F"/>
    <w:rsid w:val="000178EE"/>
    <w:rsid w:val="00017AC3"/>
    <w:rsid w:val="00017B27"/>
    <w:rsid w:val="00017B33"/>
    <w:rsid w:val="00017B52"/>
    <w:rsid w:val="00017C2A"/>
    <w:rsid w:val="00017C93"/>
    <w:rsid w:val="00017CA9"/>
    <w:rsid w:val="00017DD4"/>
    <w:rsid w:val="00017E23"/>
    <w:rsid w:val="00017E39"/>
    <w:rsid w:val="00017E74"/>
    <w:rsid w:val="00017F75"/>
    <w:rsid w:val="00020138"/>
    <w:rsid w:val="00020233"/>
    <w:rsid w:val="000202AB"/>
    <w:rsid w:val="000202CB"/>
    <w:rsid w:val="000202D4"/>
    <w:rsid w:val="0002034E"/>
    <w:rsid w:val="00020371"/>
    <w:rsid w:val="000203C9"/>
    <w:rsid w:val="0002042F"/>
    <w:rsid w:val="0002053A"/>
    <w:rsid w:val="000205A4"/>
    <w:rsid w:val="000205B1"/>
    <w:rsid w:val="00020738"/>
    <w:rsid w:val="0002073D"/>
    <w:rsid w:val="000207DF"/>
    <w:rsid w:val="00020804"/>
    <w:rsid w:val="000208A2"/>
    <w:rsid w:val="000208E2"/>
    <w:rsid w:val="00020924"/>
    <w:rsid w:val="00020944"/>
    <w:rsid w:val="00020975"/>
    <w:rsid w:val="000209E7"/>
    <w:rsid w:val="00020A0D"/>
    <w:rsid w:val="00020A3F"/>
    <w:rsid w:val="00020A87"/>
    <w:rsid w:val="00020AB7"/>
    <w:rsid w:val="00020AFD"/>
    <w:rsid w:val="00020C52"/>
    <w:rsid w:val="00020DDB"/>
    <w:rsid w:val="00020E10"/>
    <w:rsid w:val="00020E2E"/>
    <w:rsid w:val="00020E6C"/>
    <w:rsid w:val="00020EE7"/>
    <w:rsid w:val="00020F3D"/>
    <w:rsid w:val="00020F8E"/>
    <w:rsid w:val="00020F9A"/>
    <w:rsid w:val="00020FBE"/>
    <w:rsid w:val="00020FEE"/>
    <w:rsid w:val="00021086"/>
    <w:rsid w:val="00021103"/>
    <w:rsid w:val="000211BD"/>
    <w:rsid w:val="000211DE"/>
    <w:rsid w:val="000211EC"/>
    <w:rsid w:val="00021211"/>
    <w:rsid w:val="00021360"/>
    <w:rsid w:val="00021363"/>
    <w:rsid w:val="000213E5"/>
    <w:rsid w:val="00021411"/>
    <w:rsid w:val="0002145E"/>
    <w:rsid w:val="000214BC"/>
    <w:rsid w:val="000214E2"/>
    <w:rsid w:val="000216EA"/>
    <w:rsid w:val="000216F5"/>
    <w:rsid w:val="000217E7"/>
    <w:rsid w:val="00021A8D"/>
    <w:rsid w:val="00021AD1"/>
    <w:rsid w:val="00021B85"/>
    <w:rsid w:val="00021BB6"/>
    <w:rsid w:val="00021C5F"/>
    <w:rsid w:val="00021C74"/>
    <w:rsid w:val="00021CE6"/>
    <w:rsid w:val="00021F0F"/>
    <w:rsid w:val="00021F5E"/>
    <w:rsid w:val="00021FA7"/>
    <w:rsid w:val="00022029"/>
    <w:rsid w:val="0002203F"/>
    <w:rsid w:val="0002209F"/>
    <w:rsid w:val="000220B0"/>
    <w:rsid w:val="000220D5"/>
    <w:rsid w:val="00022138"/>
    <w:rsid w:val="000221CA"/>
    <w:rsid w:val="000221D2"/>
    <w:rsid w:val="000221E5"/>
    <w:rsid w:val="00022415"/>
    <w:rsid w:val="000225FE"/>
    <w:rsid w:val="00022625"/>
    <w:rsid w:val="000226C3"/>
    <w:rsid w:val="000226DB"/>
    <w:rsid w:val="0002270D"/>
    <w:rsid w:val="000228E9"/>
    <w:rsid w:val="00022951"/>
    <w:rsid w:val="00022A13"/>
    <w:rsid w:val="00022A33"/>
    <w:rsid w:val="00022CF6"/>
    <w:rsid w:val="00022DC4"/>
    <w:rsid w:val="000230CE"/>
    <w:rsid w:val="00023166"/>
    <w:rsid w:val="0002319E"/>
    <w:rsid w:val="0002326A"/>
    <w:rsid w:val="000232B6"/>
    <w:rsid w:val="00023300"/>
    <w:rsid w:val="0002351C"/>
    <w:rsid w:val="0002355F"/>
    <w:rsid w:val="00023623"/>
    <w:rsid w:val="00023627"/>
    <w:rsid w:val="00023646"/>
    <w:rsid w:val="00023676"/>
    <w:rsid w:val="000236A9"/>
    <w:rsid w:val="000236BC"/>
    <w:rsid w:val="0002373F"/>
    <w:rsid w:val="0002377F"/>
    <w:rsid w:val="000237DB"/>
    <w:rsid w:val="00023827"/>
    <w:rsid w:val="0002387C"/>
    <w:rsid w:val="0002393A"/>
    <w:rsid w:val="00023B75"/>
    <w:rsid w:val="00023BC2"/>
    <w:rsid w:val="00023BF6"/>
    <w:rsid w:val="00023C2E"/>
    <w:rsid w:val="00023C95"/>
    <w:rsid w:val="00023D2B"/>
    <w:rsid w:val="00023D98"/>
    <w:rsid w:val="00023F26"/>
    <w:rsid w:val="00023F2F"/>
    <w:rsid w:val="00023F48"/>
    <w:rsid w:val="00023F9A"/>
    <w:rsid w:val="00023F9F"/>
    <w:rsid w:val="0002402D"/>
    <w:rsid w:val="00024056"/>
    <w:rsid w:val="00024306"/>
    <w:rsid w:val="00024503"/>
    <w:rsid w:val="000245C9"/>
    <w:rsid w:val="00024683"/>
    <w:rsid w:val="000246E0"/>
    <w:rsid w:val="0002470F"/>
    <w:rsid w:val="0002476D"/>
    <w:rsid w:val="00024777"/>
    <w:rsid w:val="0002481F"/>
    <w:rsid w:val="00024876"/>
    <w:rsid w:val="000249E9"/>
    <w:rsid w:val="00024C81"/>
    <w:rsid w:val="00024D9A"/>
    <w:rsid w:val="00024E1F"/>
    <w:rsid w:val="00024E72"/>
    <w:rsid w:val="00024F05"/>
    <w:rsid w:val="00024F42"/>
    <w:rsid w:val="00025118"/>
    <w:rsid w:val="000252DB"/>
    <w:rsid w:val="0002530A"/>
    <w:rsid w:val="00025364"/>
    <w:rsid w:val="000255FC"/>
    <w:rsid w:val="0002563C"/>
    <w:rsid w:val="00025695"/>
    <w:rsid w:val="000256D4"/>
    <w:rsid w:val="00025822"/>
    <w:rsid w:val="000258F1"/>
    <w:rsid w:val="000258F5"/>
    <w:rsid w:val="000259A5"/>
    <w:rsid w:val="000259FE"/>
    <w:rsid w:val="00025A7F"/>
    <w:rsid w:val="00025A8C"/>
    <w:rsid w:val="00025B5C"/>
    <w:rsid w:val="00025B6A"/>
    <w:rsid w:val="00025C36"/>
    <w:rsid w:val="00025D20"/>
    <w:rsid w:val="00025F32"/>
    <w:rsid w:val="00025F74"/>
    <w:rsid w:val="0002606F"/>
    <w:rsid w:val="00026107"/>
    <w:rsid w:val="00026108"/>
    <w:rsid w:val="00026267"/>
    <w:rsid w:val="00026288"/>
    <w:rsid w:val="000262E3"/>
    <w:rsid w:val="00026337"/>
    <w:rsid w:val="0002638E"/>
    <w:rsid w:val="00026445"/>
    <w:rsid w:val="00026466"/>
    <w:rsid w:val="00026497"/>
    <w:rsid w:val="000264BB"/>
    <w:rsid w:val="0002655C"/>
    <w:rsid w:val="000266D1"/>
    <w:rsid w:val="00026721"/>
    <w:rsid w:val="00026774"/>
    <w:rsid w:val="000267F2"/>
    <w:rsid w:val="00026815"/>
    <w:rsid w:val="000268AB"/>
    <w:rsid w:val="00026912"/>
    <w:rsid w:val="0002697E"/>
    <w:rsid w:val="00026A28"/>
    <w:rsid w:val="00026A37"/>
    <w:rsid w:val="00026CA5"/>
    <w:rsid w:val="00026D12"/>
    <w:rsid w:val="00026D59"/>
    <w:rsid w:val="00026DE1"/>
    <w:rsid w:val="00026F06"/>
    <w:rsid w:val="00026F0C"/>
    <w:rsid w:val="00026F6F"/>
    <w:rsid w:val="0002705B"/>
    <w:rsid w:val="000270C6"/>
    <w:rsid w:val="0002716C"/>
    <w:rsid w:val="00027330"/>
    <w:rsid w:val="0002738B"/>
    <w:rsid w:val="0002750C"/>
    <w:rsid w:val="0002759F"/>
    <w:rsid w:val="000275C6"/>
    <w:rsid w:val="000276DD"/>
    <w:rsid w:val="00027775"/>
    <w:rsid w:val="000277EF"/>
    <w:rsid w:val="00027A12"/>
    <w:rsid w:val="00027B3B"/>
    <w:rsid w:val="00027C9F"/>
    <w:rsid w:val="00027CF1"/>
    <w:rsid w:val="00027DE4"/>
    <w:rsid w:val="00027F67"/>
    <w:rsid w:val="00027F95"/>
    <w:rsid w:val="00030019"/>
    <w:rsid w:val="000300DE"/>
    <w:rsid w:val="000300E6"/>
    <w:rsid w:val="00030187"/>
    <w:rsid w:val="00030222"/>
    <w:rsid w:val="00030458"/>
    <w:rsid w:val="0003061D"/>
    <w:rsid w:val="00030841"/>
    <w:rsid w:val="000308E2"/>
    <w:rsid w:val="00030914"/>
    <w:rsid w:val="00030B4D"/>
    <w:rsid w:val="00030BD6"/>
    <w:rsid w:val="00030C1F"/>
    <w:rsid w:val="00030CD4"/>
    <w:rsid w:val="00030D24"/>
    <w:rsid w:val="00030E21"/>
    <w:rsid w:val="00030E7E"/>
    <w:rsid w:val="00030EF4"/>
    <w:rsid w:val="00030F38"/>
    <w:rsid w:val="00030F3D"/>
    <w:rsid w:val="000312CB"/>
    <w:rsid w:val="00031302"/>
    <w:rsid w:val="0003135B"/>
    <w:rsid w:val="00031442"/>
    <w:rsid w:val="0003145B"/>
    <w:rsid w:val="00031494"/>
    <w:rsid w:val="000314FE"/>
    <w:rsid w:val="00031671"/>
    <w:rsid w:val="00031697"/>
    <w:rsid w:val="0003177F"/>
    <w:rsid w:val="000317E9"/>
    <w:rsid w:val="00031980"/>
    <w:rsid w:val="000319F4"/>
    <w:rsid w:val="00031A3A"/>
    <w:rsid w:val="00031A8A"/>
    <w:rsid w:val="00031B49"/>
    <w:rsid w:val="00031BAD"/>
    <w:rsid w:val="00031BC4"/>
    <w:rsid w:val="00031C1C"/>
    <w:rsid w:val="00031D14"/>
    <w:rsid w:val="00031E30"/>
    <w:rsid w:val="00031F76"/>
    <w:rsid w:val="00031F7D"/>
    <w:rsid w:val="00031F8C"/>
    <w:rsid w:val="00032036"/>
    <w:rsid w:val="00032059"/>
    <w:rsid w:val="000320B7"/>
    <w:rsid w:val="00032141"/>
    <w:rsid w:val="000321A7"/>
    <w:rsid w:val="000321FA"/>
    <w:rsid w:val="00032368"/>
    <w:rsid w:val="00032388"/>
    <w:rsid w:val="0003239E"/>
    <w:rsid w:val="00032402"/>
    <w:rsid w:val="000326CD"/>
    <w:rsid w:val="0003276B"/>
    <w:rsid w:val="0003282F"/>
    <w:rsid w:val="00032832"/>
    <w:rsid w:val="000328CC"/>
    <w:rsid w:val="00032922"/>
    <w:rsid w:val="00032998"/>
    <w:rsid w:val="00032A04"/>
    <w:rsid w:val="00032A6E"/>
    <w:rsid w:val="00032B2D"/>
    <w:rsid w:val="00032BA2"/>
    <w:rsid w:val="00032DAC"/>
    <w:rsid w:val="00032E45"/>
    <w:rsid w:val="00032EFA"/>
    <w:rsid w:val="00032F97"/>
    <w:rsid w:val="00033029"/>
    <w:rsid w:val="00033037"/>
    <w:rsid w:val="0003306D"/>
    <w:rsid w:val="00033244"/>
    <w:rsid w:val="00033379"/>
    <w:rsid w:val="00033457"/>
    <w:rsid w:val="0003363B"/>
    <w:rsid w:val="000336A0"/>
    <w:rsid w:val="000336CC"/>
    <w:rsid w:val="000336F6"/>
    <w:rsid w:val="00033722"/>
    <w:rsid w:val="0003373B"/>
    <w:rsid w:val="00033752"/>
    <w:rsid w:val="00033826"/>
    <w:rsid w:val="0003382F"/>
    <w:rsid w:val="00033937"/>
    <w:rsid w:val="00033A2B"/>
    <w:rsid w:val="00033B24"/>
    <w:rsid w:val="00033B2F"/>
    <w:rsid w:val="00033C1D"/>
    <w:rsid w:val="00033CE8"/>
    <w:rsid w:val="00033DC7"/>
    <w:rsid w:val="00033F87"/>
    <w:rsid w:val="00034012"/>
    <w:rsid w:val="00034086"/>
    <w:rsid w:val="000340ED"/>
    <w:rsid w:val="000341DD"/>
    <w:rsid w:val="00034253"/>
    <w:rsid w:val="000344F9"/>
    <w:rsid w:val="000346E6"/>
    <w:rsid w:val="000346FD"/>
    <w:rsid w:val="0003479B"/>
    <w:rsid w:val="000347C1"/>
    <w:rsid w:val="0003487C"/>
    <w:rsid w:val="00034889"/>
    <w:rsid w:val="000348EA"/>
    <w:rsid w:val="0003495B"/>
    <w:rsid w:val="000349B4"/>
    <w:rsid w:val="00034A9B"/>
    <w:rsid w:val="00034ACB"/>
    <w:rsid w:val="00034B3F"/>
    <w:rsid w:val="00034B9E"/>
    <w:rsid w:val="00034C9C"/>
    <w:rsid w:val="00034D85"/>
    <w:rsid w:val="00034EB7"/>
    <w:rsid w:val="00034F53"/>
    <w:rsid w:val="00034FCB"/>
    <w:rsid w:val="0003509F"/>
    <w:rsid w:val="000351A6"/>
    <w:rsid w:val="000351E5"/>
    <w:rsid w:val="000352CC"/>
    <w:rsid w:val="00035304"/>
    <w:rsid w:val="00035319"/>
    <w:rsid w:val="00035393"/>
    <w:rsid w:val="000354E9"/>
    <w:rsid w:val="0003555E"/>
    <w:rsid w:val="000355DC"/>
    <w:rsid w:val="000355F0"/>
    <w:rsid w:val="000356C5"/>
    <w:rsid w:val="00035757"/>
    <w:rsid w:val="00035795"/>
    <w:rsid w:val="000358F1"/>
    <w:rsid w:val="00035936"/>
    <w:rsid w:val="00035ABF"/>
    <w:rsid w:val="00035AD8"/>
    <w:rsid w:val="00035CBD"/>
    <w:rsid w:val="00035CE4"/>
    <w:rsid w:val="00035CFF"/>
    <w:rsid w:val="00035DE6"/>
    <w:rsid w:val="00035DE7"/>
    <w:rsid w:val="00035E1E"/>
    <w:rsid w:val="000360B9"/>
    <w:rsid w:val="00036127"/>
    <w:rsid w:val="00036177"/>
    <w:rsid w:val="000361DA"/>
    <w:rsid w:val="0003623F"/>
    <w:rsid w:val="000362E3"/>
    <w:rsid w:val="000362EA"/>
    <w:rsid w:val="0003634D"/>
    <w:rsid w:val="00036458"/>
    <w:rsid w:val="00036485"/>
    <w:rsid w:val="000364EC"/>
    <w:rsid w:val="00036545"/>
    <w:rsid w:val="00036599"/>
    <w:rsid w:val="000365A5"/>
    <w:rsid w:val="000366A8"/>
    <w:rsid w:val="00036717"/>
    <w:rsid w:val="000369CA"/>
    <w:rsid w:val="00036B25"/>
    <w:rsid w:val="00036D8C"/>
    <w:rsid w:val="00036EF2"/>
    <w:rsid w:val="00036F9B"/>
    <w:rsid w:val="00037018"/>
    <w:rsid w:val="00037025"/>
    <w:rsid w:val="0003707A"/>
    <w:rsid w:val="0003713C"/>
    <w:rsid w:val="00037161"/>
    <w:rsid w:val="00037213"/>
    <w:rsid w:val="00037247"/>
    <w:rsid w:val="000372D7"/>
    <w:rsid w:val="00037529"/>
    <w:rsid w:val="000375B2"/>
    <w:rsid w:val="0003782B"/>
    <w:rsid w:val="000379C9"/>
    <w:rsid w:val="00037A46"/>
    <w:rsid w:val="00037BAF"/>
    <w:rsid w:val="00037BEA"/>
    <w:rsid w:val="00037C64"/>
    <w:rsid w:val="00037CE6"/>
    <w:rsid w:val="00037CE7"/>
    <w:rsid w:val="00037D18"/>
    <w:rsid w:val="00037D80"/>
    <w:rsid w:val="00037DBB"/>
    <w:rsid w:val="00037E05"/>
    <w:rsid w:val="00037E0C"/>
    <w:rsid w:val="00037E35"/>
    <w:rsid w:val="00037EC2"/>
    <w:rsid w:val="00037F1B"/>
    <w:rsid w:val="00037F29"/>
    <w:rsid w:val="00037F2E"/>
    <w:rsid w:val="000400EC"/>
    <w:rsid w:val="0004025C"/>
    <w:rsid w:val="00040262"/>
    <w:rsid w:val="0004028C"/>
    <w:rsid w:val="000402B2"/>
    <w:rsid w:val="000403A6"/>
    <w:rsid w:val="000403AB"/>
    <w:rsid w:val="0004041E"/>
    <w:rsid w:val="000404EC"/>
    <w:rsid w:val="00040584"/>
    <w:rsid w:val="000405A7"/>
    <w:rsid w:val="0004060F"/>
    <w:rsid w:val="0004068F"/>
    <w:rsid w:val="00040716"/>
    <w:rsid w:val="000407E4"/>
    <w:rsid w:val="00040800"/>
    <w:rsid w:val="000408E6"/>
    <w:rsid w:val="00040A8F"/>
    <w:rsid w:val="00040A93"/>
    <w:rsid w:val="00040B79"/>
    <w:rsid w:val="00040BD5"/>
    <w:rsid w:val="00040BE5"/>
    <w:rsid w:val="00040C71"/>
    <w:rsid w:val="00040CB4"/>
    <w:rsid w:val="00040DC3"/>
    <w:rsid w:val="00040E8C"/>
    <w:rsid w:val="00040ECE"/>
    <w:rsid w:val="00041079"/>
    <w:rsid w:val="0004108B"/>
    <w:rsid w:val="000411FD"/>
    <w:rsid w:val="000412C5"/>
    <w:rsid w:val="000412E9"/>
    <w:rsid w:val="000413A2"/>
    <w:rsid w:val="000415AF"/>
    <w:rsid w:val="000415BD"/>
    <w:rsid w:val="0004170A"/>
    <w:rsid w:val="00041777"/>
    <w:rsid w:val="0004178B"/>
    <w:rsid w:val="0004188D"/>
    <w:rsid w:val="0004188E"/>
    <w:rsid w:val="0004194B"/>
    <w:rsid w:val="000419DF"/>
    <w:rsid w:val="000419F2"/>
    <w:rsid w:val="00041AE0"/>
    <w:rsid w:val="00041C3B"/>
    <w:rsid w:val="00041F97"/>
    <w:rsid w:val="0004201B"/>
    <w:rsid w:val="00042098"/>
    <w:rsid w:val="0004211B"/>
    <w:rsid w:val="0004214B"/>
    <w:rsid w:val="000421C7"/>
    <w:rsid w:val="000421E5"/>
    <w:rsid w:val="000423AC"/>
    <w:rsid w:val="0004246E"/>
    <w:rsid w:val="00042482"/>
    <w:rsid w:val="000424B0"/>
    <w:rsid w:val="0004258D"/>
    <w:rsid w:val="00042641"/>
    <w:rsid w:val="00042646"/>
    <w:rsid w:val="0004264A"/>
    <w:rsid w:val="000426C2"/>
    <w:rsid w:val="0004283E"/>
    <w:rsid w:val="000428C4"/>
    <w:rsid w:val="00042C5F"/>
    <w:rsid w:val="00042E9A"/>
    <w:rsid w:val="0004304E"/>
    <w:rsid w:val="000430E9"/>
    <w:rsid w:val="000431B5"/>
    <w:rsid w:val="0004333E"/>
    <w:rsid w:val="000433FC"/>
    <w:rsid w:val="000434B3"/>
    <w:rsid w:val="00043623"/>
    <w:rsid w:val="000436CA"/>
    <w:rsid w:val="000437C4"/>
    <w:rsid w:val="000437FD"/>
    <w:rsid w:val="00043944"/>
    <w:rsid w:val="00043945"/>
    <w:rsid w:val="00043A2C"/>
    <w:rsid w:val="00043B6A"/>
    <w:rsid w:val="00043C28"/>
    <w:rsid w:val="00043DA4"/>
    <w:rsid w:val="00043DB9"/>
    <w:rsid w:val="00043DCB"/>
    <w:rsid w:val="00043E0F"/>
    <w:rsid w:val="00043EFE"/>
    <w:rsid w:val="00043F34"/>
    <w:rsid w:val="00044092"/>
    <w:rsid w:val="00044191"/>
    <w:rsid w:val="000441B4"/>
    <w:rsid w:val="000441E3"/>
    <w:rsid w:val="0004445C"/>
    <w:rsid w:val="000444FB"/>
    <w:rsid w:val="00044523"/>
    <w:rsid w:val="0004456A"/>
    <w:rsid w:val="000445A9"/>
    <w:rsid w:val="00044644"/>
    <w:rsid w:val="000446D1"/>
    <w:rsid w:val="000446DA"/>
    <w:rsid w:val="000446E6"/>
    <w:rsid w:val="0004470D"/>
    <w:rsid w:val="000448AF"/>
    <w:rsid w:val="0004497D"/>
    <w:rsid w:val="00044B7B"/>
    <w:rsid w:val="00044BC5"/>
    <w:rsid w:val="00044D74"/>
    <w:rsid w:val="00044DCA"/>
    <w:rsid w:val="00045015"/>
    <w:rsid w:val="00045164"/>
    <w:rsid w:val="0004517C"/>
    <w:rsid w:val="00045229"/>
    <w:rsid w:val="000452BB"/>
    <w:rsid w:val="0004530E"/>
    <w:rsid w:val="000453BC"/>
    <w:rsid w:val="0004555E"/>
    <w:rsid w:val="000455B7"/>
    <w:rsid w:val="000456CD"/>
    <w:rsid w:val="00045710"/>
    <w:rsid w:val="00045866"/>
    <w:rsid w:val="00045ACB"/>
    <w:rsid w:val="00045AD9"/>
    <w:rsid w:val="00045B75"/>
    <w:rsid w:val="00045BB1"/>
    <w:rsid w:val="00045C4B"/>
    <w:rsid w:val="00045C89"/>
    <w:rsid w:val="00045CB5"/>
    <w:rsid w:val="00045CCB"/>
    <w:rsid w:val="00045D26"/>
    <w:rsid w:val="00045E2E"/>
    <w:rsid w:val="00045E70"/>
    <w:rsid w:val="00045F1C"/>
    <w:rsid w:val="00045FBE"/>
    <w:rsid w:val="00045FD7"/>
    <w:rsid w:val="00045FF8"/>
    <w:rsid w:val="00046022"/>
    <w:rsid w:val="0004612D"/>
    <w:rsid w:val="000461AC"/>
    <w:rsid w:val="000461FA"/>
    <w:rsid w:val="0004620E"/>
    <w:rsid w:val="0004624A"/>
    <w:rsid w:val="00046291"/>
    <w:rsid w:val="000463A0"/>
    <w:rsid w:val="000463DB"/>
    <w:rsid w:val="00046428"/>
    <w:rsid w:val="00046439"/>
    <w:rsid w:val="00046534"/>
    <w:rsid w:val="0004655A"/>
    <w:rsid w:val="000465FF"/>
    <w:rsid w:val="0004674A"/>
    <w:rsid w:val="000468C3"/>
    <w:rsid w:val="000468E3"/>
    <w:rsid w:val="00046908"/>
    <w:rsid w:val="00046A66"/>
    <w:rsid w:val="00046BBC"/>
    <w:rsid w:val="00046BEF"/>
    <w:rsid w:val="00046C56"/>
    <w:rsid w:val="00046CB1"/>
    <w:rsid w:val="00046D5D"/>
    <w:rsid w:val="00046F26"/>
    <w:rsid w:val="00046FB0"/>
    <w:rsid w:val="00046FBE"/>
    <w:rsid w:val="00047068"/>
    <w:rsid w:val="0004706C"/>
    <w:rsid w:val="0004707E"/>
    <w:rsid w:val="00047121"/>
    <w:rsid w:val="00047176"/>
    <w:rsid w:val="000472A4"/>
    <w:rsid w:val="000472CA"/>
    <w:rsid w:val="00047420"/>
    <w:rsid w:val="00047424"/>
    <w:rsid w:val="00047513"/>
    <w:rsid w:val="000476BB"/>
    <w:rsid w:val="000476F5"/>
    <w:rsid w:val="0004774F"/>
    <w:rsid w:val="00047801"/>
    <w:rsid w:val="000478EA"/>
    <w:rsid w:val="000478F7"/>
    <w:rsid w:val="00047AEC"/>
    <w:rsid w:val="00047B08"/>
    <w:rsid w:val="00047CC6"/>
    <w:rsid w:val="00047CD6"/>
    <w:rsid w:val="00047DB0"/>
    <w:rsid w:val="00047E12"/>
    <w:rsid w:val="00047ED4"/>
    <w:rsid w:val="00047F4F"/>
    <w:rsid w:val="00047F70"/>
    <w:rsid w:val="000500D7"/>
    <w:rsid w:val="00050149"/>
    <w:rsid w:val="000501D8"/>
    <w:rsid w:val="00050209"/>
    <w:rsid w:val="00050461"/>
    <w:rsid w:val="000504B6"/>
    <w:rsid w:val="000504D2"/>
    <w:rsid w:val="00050538"/>
    <w:rsid w:val="000505FF"/>
    <w:rsid w:val="00050730"/>
    <w:rsid w:val="00050784"/>
    <w:rsid w:val="000507AF"/>
    <w:rsid w:val="000508A0"/>
    <w:rsid w:val="00050920"/>
    <w:rsid w:val="00050A53"/>
    <w:rsid w:val="00050AE5"/>
    <w:rsid w:val="00050BEF"/>
    <w:rsid w:val="00050CD6"/>
    <w:rsid w:val="00050D7A"/>
    <w:rsid w:val="00050D80"/>
    <w:rsid w:val="00050DA6"/>
    <w:rsid w:val="00050EFB"/>
    <w:rsid w:val="00050F99"/>
    <w:rsid w:val="00051115"/>
    <w:rsid w:val="0005114F"/>
    <w:rsid w:val="000511BC"/>
    <w:rsid w:val="000511BF"/>
    <w:rsid w:val="000511DE"/>
    <w:rsid w:val="000511F6"/>
    <w:rsid w:val="00051314"/>
    <w:rsid w:val="0005135D"/>
    <w:rsid w:val="000513FF"/>
    <w:rsid w:val="00051471"/>
    <w:rsid w:val="00051580"/>
    <w:rsid w:val="0005176E"/>
    <w:rsid w:val="00051806"/>
    <w:rsid w:val="0005186D"/>
    <w:rsid w:val="00051876"/>
    <w:rsid w:val="00051AF6"/>
    <w:rsid w:val="00051C27"/>
    <w:rsid w:val="00051C50"/>
    <w:rsid w:val="00051CCA"/>
    <w:rsid w:val="00051D2B"/>
    <w:rsid w:val="00051DEC"/>
    <w:rsid w:val="00051E54"/>
    <w:rsid w:val="000520CD"/>
    <w:rsid w:val="000520D1"/>
    <w:rsid w:val="0005218B"/>
    <w:rsid w:val="0005230B"/>
    <w:rsid w:val="000523ED"/>
    <w:rsid w:val="0005249D"/>
    <w:rsid w:val="0005258F"/>
    <w:rsid w:val="000525AB"/>
    <w:rsid w:val="000525C0"/>
    <w:rsid w:val="00052706"/>
    <w:rsid w:val="00052754"/>
    <w:rsid w:val="0005278A"/>
    <w:rsid w:val="0005293B"/>
    <w:rsid w:val="000529BB"/>
    <w:rsid w:val="00052AA4"/>
    <w:rsid w:val="00052C41"/>
    <w:rsid w:val="00052CAB"/>
    <w:rsid w:val="00052D5F"/>
    <w:rsid w:val="00052DB1"/>
    <w:rsid w:val="00052E70"/>
    <w:rsid w:val="00052F07"/>
    <w:rsid w:val="00052F55"/>
    <w:rsid w:val="00052FA7"/>
    <w:rsid w:val="00052FCC"/>
    <w:rsid w:val="000530B1"/>
    <w:rsid w:val="000530B7"/>
    <w:rsid w:val="00053122"/>
    <w:rsid w:val="0005315F"/>
    <w:rsid w:val="0005322D"/>
    <w:rsid w:val="000532C9"/>
    <w:rsid w:val="000533F0"/>
    <w:rsid w:val="000534AE"/>
    <w:rsid w:val="0005355C"/>
    <w:rsid w:val="00053845"/>
    <w:rsid w:val="0005389B"/>
    <w:rsid w:val="00053A04"/>
    <w:rsid w:val="00053B51"/>
    <w:rsid w:val="00053B54"/>
    <w:rsid w:val="00053B68"/>
    <w:rsid w:val="00053D04"/>
    <w:rsid w:val="00053D44"/>
    <w:rsid w:val="00053DC6"/>
    <w:rsid w:val="00053F2A"/>
    <w:rsid w:val="00053F30"/>
    <w:rsid w:val="00053FB4"/>
    <w:rsid w:val="00053FCA"/>
    <w:rsid w:val="00054104"/>
    <w:rsid w:val="00054276"/>
    <w:rsid w:val="0005429A"/>
    <w:rsid w:val="000542A6"/>
    <w:rsid w:val="0005430E"/>
    <w:rsid w:val="000543B3"/>
    <w:rsid w:val="00054435"/>
    <w:rsid w:val="00054458"/>
    <w:rsid w:val="0005449D"/>
    <w:rsid w:val="000544B7"/>
    <w:rsid w:val="0005450F"/>
    <w:rsid w:val="00054683"/>
    <w:rsid w:val="0005476D"/>
    <w:rsid w:val="00054878"/>
    <w:rsid w:val="0005487F"/>
    <w:rsid w:val="00054882"/>
    <w:rsid w:val="000548D1"/>
    <w:rsid w:val="000548D7"/>
    <w:rsid w:val="00054955"/>
    <w:rsid w:val="000549B3"/>
    <w:rsid w:val="00054A84"/>
    <w:rsid w:val="00054C33"/>
    <w:rsid w:val="00054C6B"/>
    <w:rsid w:val="00054D9A"/>
    <w:rsid w:val="00054DB3"/>
    <w:rsid w:val="00054E0F"/>
    <w:rsid w:val="00054E56"/>
    <w:rsid w:val="000550DC"/>
    <w:rsid w:val="00055276"/>
    <w:rsid w:val="000552D3"/>
    <w:rsid w:val="0005533C"/>
    <w:rsid w:val="000553FF"/>
    <w:rsid w:val="00055442"/>
    <w:rsid w:val="00055492"/>
    <w:rsid w:val="0005553C"/>
    <w:rsid w:val="00055679"/>
    <w:rsid w:val="00055841"/>
    <w:rsid w:val="0005584D"/>
    <w:rsid w:val="00055984"/>
    <w:rsid w:val="000559DB"/>
    <w:rsid w:val="00055DB8"/>
    <w:rsid w:val="00055F1F"/>
    <w:rsid w:val="00055F5F"/>
    <w:rsid w:val="000561C9"/>
    <w:rsid w:val="000562C8"/>
    <w:rsid w:val="00056308"/>
    <w:rsid w:val="0005634E"/>
    <w:rsid w:val="000563DD"/>
    <w:rsid w:val="000563E2"/>
    <w:rsid w:val="0005640A"/>
    <w:rsid w:val="0005641E"/>
    <w:rsid w:val="00056437"/>
    <w:rsid w:val="00056457"/>
    <w:rsid w:val="000564EA"/>
    <w:rsid w:val="000565A4"/>
    <w:rsid w:val="000566C3"/>
    <w:rsid w:val="0005671F"/>
    <w:rsid w:val="00056730"/>
    <w:rsid w:val="000567FF"/>
    <w:rsid w:val="000569E6"/>
    <w:rsid w:val="00056B2D"/>
    <w:rsid w:val="00056BD8"/>
    <w:rsid w:val="00056D9D"/>
    <w:rsid w:val="00056E9F"/>
    <w:rsid w:val="00056F42"/>
    <w:rsid w:val="0005708B"/>
    <w:rsid w:val="0005712E"/>
    <w:rsid w:val="0005730F"/>
    <w:rsid w:val="00057372"/>
    <w:rsid w:val="00057380"/>
    <w:rsid w:val="0005741C"/>
    <w:rsid w:val="00057520"/>
    <w:rsid w:val="00057614"/>
    <w:rsid w:val="00057635"/>
    <w:rsid w:val="000576D9"/>
    <w:rsid w:val="0005774E"/>
    <w:rsid w:val="00057864"/>
    <w:rsid w:val="000578F3"/>
    <w:rsid w:val="000578FE"/>
    <w:rsid w:val="00057A27"/>
    <w:rsid w:val="00057A2E"/>
    <w:rsid w:val="00057A59"/>
    <w:rsid w:val="00057B52"/>
    <w:rsid w:val="00057B71"/>
    <w:rsid w:val="00057B88"/>
    <w:rsid w:val="00057C12"/>
    <w:rsid w:val="00057CFF"/>
    <w:rsid w:val="00057DEE"/>
    <w:rsid w:val="00057EB0"/>
    <w:rsid w:val="00057ED7"/>
    <w:rsid w:val="000600AC"/>
    <w:rsid w:val="0006030C"/>
    <w:rsid w:val="00060609"/>
    <w:rsid w:val="0006068B"/>
    <w:rsid w:val="000606C1"/>
    <w:rsid w:val="00060759"/>
    <w:rsid w:val="0006086D"/>
    <w:rsid w:val="00060875"/>
    <w:rsid w:val="000608AD"/>
    <w:rsid w:val="0006094D"/>
    <w:rsid w:val="0006099F"/>
    <w:rsid w:val="000609B3"/>
    <w:rsid w:val="00060A05"/>
    <w:rsid w:val="00060A4E"/>
    <w:rsid w:val="00060A8D"/>
    <w:rsid w:val="00060AD0"/>
    <w:rsid w:val="00060CC1"/>
    <w:rsid w:val="00060CEB"/>
    <w:rsid w:val="00060D95"/>
    <w:rsid w:val="00060DC2"/>
    <w:rsid w:val="00060DF6"/>
    <w:rsid w:val="00060E92"/>
    <w:rsid w:val="00060FEF"/>
    <w:rsid w:val="00061027"/>
    <w:rsid w:val="00061112"/>
    <w:rsid w:val="0006117F"/>
    <w:rsid w:val="000611B5"/>
    <w:rsid w:val="000611C0"/>
    <w:rsid w:val="00061390"/>
    <w:rsid w:val="00061422"/>
    <w:rsid w:val="0006150E"/>
    <w:rsid w:val="00061579"/>
    <w:rsid w:val="000616AB"/>
    <w:rsid w:val="000616BE"/>
    <w:rsid w:val="000616D0"/>
    <w:rsid w:val="000618C2"/>
    <w:rsid w:val="00061932"/>
    <w:rsid w:val="00061945"/>
    <w:rsid w:val="00061956"/>
    <w:rsid w:val="000619A3"/>
    <w:rsid w:val="00061AEB"/>
    <w:rsid w:val="00061B8D"/>
    <w:rsid w:val="00061DBC"/>
    <w:rsid w:val="00061DCD"/>
    <w:rsid w:val="00061DF2"/>
    <w:rsid w:val="00061E20"/>
    <w:rsid w:val="00061EE9"/>
    <w:rsid w:val="00061F90"/>
    <w:rsid w:val="00061FCA"/>
    <w:rsid w:val="00061FFC"/>
    <w:rsid w:val="0006202D"/>
    <w:rsid w:val="000620A5"/>
    <w:rsid w:val="000620E7"/>
    <w:rsid w:val="0006217B"/>
    <w:rsid w:val="0006224A"/>
    <w:rsid w:val="000622AC"/>
    <w:rsid w:val="000622E9"/>
    <w:rsid w:val="000622EE"/>
    <w:rsid w:val="0006240C"/>
    <w:rsid w:val="000625F1"/>
    <w:rsid w:val="00062652"/>
    <w:rsid w:val="00062732"/>
    <w:rsid w:val="00062795"/>
    <w:rsid w:val="00062809"/>
    <w:rsid w:val="000628C7"/>
    <w:rsid w:val="00062A0E"/>
    <w:rsid w:val="00062A26"/>
    <w:rsid w:val="00062A41"/>
    <w:rsid w:val="00062AB5"/>
    <w:rsid w:val="00062B14"/>
    <w:rsid w:val="00062B1B"/>
    <w:rsid w:val="00062B34"/>
    <w:rsid w:val="00062BA6"/>
    <w:rsid w:val="00062CE9"/>
    <w:rsid w:val="00062D14"/>
    <w:rsid w:val="00062DA0"/>
    <w:rsid w:val="00062DDA"/>
    <w:rsid w:val="00062F0F"/>
    <w:rsid w:val="00062F51"/>
    <w:rsid w:val="00063139"/>
    <w:rsid w:val="00063178"/>
    <w:rsid w:val="000631E5"/>
    <w:rsid w:val="0006322D"/>
    <w:rsid w:val="00063261"/>
    <w:rsid w:val="00063348"/>
    <w:rsid w:val="0006334E"/>
    <w:rsid w:val="000635F0"/>
    <w:rsid w:val="000636A7"/>
    <w:rsid w:val="00063705"/>
    <w:rsid w:val="00063706"/>
    <w:rsid w:val="00063762"/>
    <w:rsid w:val="00063778"/>
    <w:rsid w:val="000637C1"/>
    <w:rsid w:val="00063891"/>
    <w:rsid w:val="0006396F"/>
    <w:rsid w:val="000639A4"/>
    <w:rsid w:val="000639D1"/>
    <w:rsid w:val="00063A40"/>
    <w:rsid w:val="00063AD6"/>
    <w:rsid w:val="00063BF9"/>
    <w:rsid w:val="00063C55"/>
    <w:rsid w:val="00063DEC"/>
    <w:rsid w:val="00063E5F"/>
    <w:rsid w:val="00063FF8"/>
    <w:rsid w:val="00064123"/>
    <w:rsid w:val="0006412B"/>
    <w:rsid w:val="000641E0"/>
    <w:rsid w:val="000641EC"/>
    <w:rsid w:val="000642F7"/>
    <w:rsid w:val="0006433C"/>
    <w:rsid w:val="0006433F"/>
    <w:rsid w:val="0006436E"/>
    <w:rsid w:val="00064376"/>
    <w:rsid w:val="0006439F"/>
    <w:rsid w:val="000644E9"/>
    <w:rsid w:val="000644FB"/>
    <w:rsid w:val="00064524"/>
    <w:rsid w:val="0006457D"/>
    <w:rsid w:val="000645C7"/>
    <w:rsid w:val="0006465C"/>
    <w:rsid w:val="000647C6"/>
    <w:rsid w:val="00064891"/>
    <w:rsid w:val="00064892"/>
    <w:rsid w:val="00064944"/>
    <w:rsid w:val="000649D0"/>
    <w:rsid w:val="00064A41"/>
    <w:rsid w:val="00064A48"/>
    <w:rsid w:val="00064B59"/>
    <w:rsid w:val="00064C9D"/>
    <w:rsid w:val="00064CD7"/>
    <w:rsid w:val="00064DD1"/>
    <w:rsid w:val="00064EEA"/>
    <w:rsid w:val="00064FAE"/>
    <w:rsid w:val="00065102"/>
    <w:rsid w:val="0006520D"/>
    <w:rsid w:val="00065359"/>
    <w:rsid w:val="000653EC"/>
    <w:rsid w:val="00065577"/>
    <w:rsid w:val="000655F8"/>
    <w:rsid w:val="000656D7"/>
    <w:rsid w:val="000656E1"/>
    <w:rsid w:val="00065755"/>
    <w:rsid w:val="0006584B"/>
    <w:rsid w:val="00065873"/>
    <w:rsid w:val="000658F1"/>
    <w:rsid w:val="00065908"/>
    <w:rsid w:val="000659E7"/>
    <w:rsid w:val="00065A87"/>
    <w:rsid w:val="00065AAB"/>
    <w:rsid w:val="00065AE7"/>
    <w:rsid w:val="00065B18"/>
    <w:rsid w:val="00065D66"/>
    <w:rsid w:val="00065EA5"/>
    <w:rsid w:val="00065EFC"/>
    <w:rsid w:val="00065F5D"/>
    <w:rsid w:val="00065FEC"/>
    <w:rsid w:val="000660F1"/>
    <w:rsid w:val="00066156"/>
    <w:rsid w:val="0006623B"/>
    <w:rsid w:val="00066240"/>
    <w:rsid w:val="00066252"/>
    <w:rsid w:val="00066424"/>
    <w:rsid w:val="000664FA"/>
    <w:rsid w:val="000666DD"/>
    <w:rsid w:val="00066720"/>
    <w:rsid w:val="00066752"/>
    <w:rsid w:val="0006692F"/>
    <w:rsid w:val="00066978"/>
    <w:rsid w:val="00066A7C"/>
    <w:rsid w:val="00066CFA"/>
    <w:rsid w:val="00066D9F"/>
    <w:rsid w:val="00066DB0"/>
    <w:rsid w:val="00066F4C"/>
    <w:rsid w:val="00066FEB"/>
    <w:rsid w:val="00067157"/>
    <w:rsid w:val="000671B7"/>
    <w:rsid w:val="00067262"/>
    <w:rsid w:val="0006727A"/>
    <w:rsid w:val="00067297"/>
    <w:rsid w:val="000672F6"/>
    <w:rsid w:val="000673CC"/>
    <w:rsid w:val="00067465"/>
    <w:rsid w:val="000674B4"/>
    <w:rsid w:val="000676BD"/>
    <w:rsid w:val="00067748"/>
    <w:rsid w:val="000677A4"/>
    <w:rsid w:val="00067898"/>
    <w:rsid w:val="000678C2"/>
    <w:rsid w:val="00067A18"/>
    <w:rsid w:val="00067B80"/>
    <w:rsid w:val="00067B86"/>
    <w:rsid w:val="00067BC6"/>
    <w:rsid w:val="00067C94"/>
    <w:rsid w:val="00067CB0"/>
    <w:rsid w:val="00067CC6"/>
    <w:rsid w:val="00067D6F"/>
    <w:rsid w:val="00067DD6"/>
    <w:rsid w:val="00067E09"/>
    <w:rsid w:val="0007002E"/>
    <w:rsid w:val="00070095"/>
    <w:rsid w:val="000700C8"/>
    <w:rsid w:val="000700E6"/>
    <w:rsid w:val="0007011E"/>
    <w:rsid w:val="0007017A"/>
    <w:rsid w:val="000701A3"/>
    <w:rsid w:val="00070209"/>
    <w:rsid w:val="00070354"/>
    <w:rsid w:val="00070474"/>
    <w:rsid w:val="000705FA"/>
    <w:rsid w:val="000706E0"/>
    <w:rsid w:val="000706E8"/>
    <w:rsid w:val="000706F1"/>
    <w:rsid w:val="00070778"/>
    <w:rsid w:val="0007081A"/>
    <w:rsid w:val="00070857"/>
    <w:rsid w:val="00070883"/>
    <w:rsid w:val="000708B2"/>
    <w:rsid w:val="00070A3A"/>
    <w:rsid w:val="00070B8F"/>
    <w:rsid w:val="00070C57"/>
    <w:rsid w:val="00070C80"/>
    <w:rsid w:val="00071024"/>
    <w:rsid w:val="00071149"/>
    <w:rsid w:val="000711A6"/>
    <w:rsid w:val="00071391"/>
    <w:rsid w:val="000713D1"/>
    <w:rsid w:val="00071413"/>
    <w:rsid w:val="00071493"/>
    <w:rsid w:val="00071504"/>
    <w:rsid w:val="000716E0"/>
    <w:rsid w:val="00071801"/>
    <w:rsid w:val="00071814"/>
    <w:rsid w:val="0007181B"/>
    <w:rsid w:val="000718C5"/>
    <w:rsid w:val="0007195B"/>
    <w:rsid w:val="00071AF0"/>
    <w:rsid w:val="00071AFC"/>
    <w:rsid w:val="00071B28"/>
    <w:rsid w:val="00071C17"/>
    <w:rsid w:val="00071E99"/>
    <w:rsid w:val="00071ED3"/>
    <w:rsid w:val="00071F04"/>
    <w:rsid w:val="00071FEE"/>
    <w:rsid w:val="0007211E"/>
    <w:rsid w:val="00072167"/>
    <w:rsid w:val="000721F4"/>
    <w:rsid w:val="000721F6"/>
    <w:rsid w:val="000722E6"/>
    <w:rsid w:val="000723C5"/>
    <w:rsid w:val="00072460"/>
    <w:rsid w:val="0007246A"/>
    <w:rsid w:val="00072498"/>
    <w:rsid w:val="000724DE"/>
    <w:rsid w:val="00072646"/>
    <w:rsid w:val="0007266F"/>
    <w:rsid w:val="0007268A"/>
    <w:rsid w:val="00072721"/>
    <w:rsid w:val="000727BF"/>
    <w:rsid w:val="000727C6"/>
    <w:rsid w:val="00072922"/>
    <w:rsid w:val="0007294B"/>
    <w:rsid w:val="00072A6B"/>
    <w:rsid w:val="00072B4E"/>
    <w:rsid w:val="00072B9A"/>
    <w:rsid w:val="00072CD7"/>
    <w:rsid w:val="00072E88"/>
    <w:rsid w:val="00072E9A"/>
    <w:rsid w:val="00072F45"/>
    <w:rsid w:val="00072F57"/>
    <w:rsid w:val="0007301D"/>
    <w:rsid w:val="00073087"/>
    <w:rsid w:val="000730FF"/>
    <w:rsid w:val="00073127"/>
    <w:rsid w:val="000733A4"/>
    <w:rsid w:val="000734E4"/>
    <w:rsid w:val="0007362C"/>
    <w:rsid w:val="000736BD"/>
    <w:rsid w:val="0007377C"/>
    <w:rsid w:val="00073840"/>
    <w:rsid w:val="00073873"/>
    <w:rsid w:val="00073902"/>
    <w:rsid w:val="00073928"/>
    <w:rsid w:val="00073C3B"/>
    <w:rsid w:val="00073F24"/>
    <w:rsid w:val="00073F39"/>
    <w:rsid w:val="00073F6D"/>
    <w:rsid w:val="00073F84"/>
    <w:rsid w:val="00073FC7"/>
    <w:rsid w:val="00073FCE"/>
    <w:rsid w:val="00074133"/>
    <w:rsid w:val="0007423E"/>
    <w:rsid w:val="000742CD"/>
    <w:rsid w:val="00074323"/>
    <w:rsid w:val="000743CD"/>
    <w:rsid w:val="000744A4"/>
    <w:rsid w:val="000744A7"/>
    <w:rsid w:val="000744CC"/>
    <w:rsid w:val="000744FB"/>
    <w:rsid w:val="000749C6"/>
    <w:rsid w:val="00074A66"/>
    <w:rsid w:val="00074AAD"/>
    <w:rsid w:val="00074B26"/>
    <w:rsid w:val="00074B67"/>
    <w:rsid w:val="00074BE0"/>
    <w:rsid w:val="00074C2C"/>
    <w:rsid w:val="00074DC1"/>
    <w:rsid w:val="00074DDA"/>
    <w:rsid w:val="00074E88"/>
    <w:rsid w:val="00074EE2"/>
    <w:rsid w:val="0007529B"/>
    <w:rsid w:val="00075355"/>
    <w:rsid w:val="000754E2"/>
    <w:rsid w:val="000754E3"/>
    <w:rsid w:val="000754E8"/>
    <w:rsid w:val="000755C1"/>
    <w:rsid w:val="00075648"/>
    <w:rsid w:val="000756F5"/>
    <w:rsid w:val="00075708"/>
    <w:rsid w:val="00075780"/>
    <w:rsid w:val="0007593F"/>
    <w:rsid w:val="000759F4"/>
    <w:rsid w:val="00075A9C"/>
    <w:rsid w:val="00075AEE"/>
    <w:rsid w:val="00075B49"/>
    <w:rsid w:val="00075B79"/>
    <w:rsid w:val="00075B8E"/>
    <w:rsid w:val="00075BCB"/>
    <w:rsid w:val="00075CDD"/>
    <w:rsid w:val="00075CE5"/>
    <w:rsid w:val="00075EF5"/>
    <w:rsid w:val="00075F31"/>
    <w:rsid w:val="0007604C"/>
    <w:rsid w:val="00076074"/>
    <w:rsid w:val="000760F4"/>
    <w:rsid w:val="00076109"/>
    <w:rsid w:val="00076192"/>
    <w:rsid w:val="00076246"/>
    <w:rsid w:val="00076368"/>
    <w:rsid w:val="0007636C"/>
    <w:rsid w:val="000763CD"/>
    <w:rsid w:val="00076447"/>
    <w:rsid w:val="0007658A"/>
    <w:rsid w:val="000765EB"/>
    <w:rsid w:val="00076666"/>
    <w:rsid w:val="0007668A"/>
    <w:rsid w:val="00076787"/>
    <w:rsid w:val="00076921"/>
    <w:rsid w:val="0007692A"/>
    <w:rsid w:val="00076941"/>
    <w:rsid w:val="000769D3"/>
    <w:rsid w:val="000769D9"/>
    <w:rsid w:val="00076AA6"/>
    <w:rsid w:val="00076ABE"/>
    <w:rsid w:val="00076B22"/>
    <w:rsid w:val="00076BE6"/>
    <w:rsid w:val="00076C1A"/>
    <w:rsid w:val="00076C83"/>
    <w:rsid w:val="00076D23"/>
    <w:rsid w:val="00076DB5"/>
    <w:rsid w:val="00076E75"/>
    <w:rsid w:val="00076ECA"/>
    <w:rsid w:val="00076F11"/>
    <w:rsid w:val="00076F3E"/>
    <w:rsid w:val="0007709E"/>
    <w:rsid w:val="000770CD"/>
    <w:rsid w:val="0007727D"/>
    <w:rsid w:val="000772BB"/>
    <w:rsid w:val="000773C1"/>
    <w:rsid w:val="000774B2"/>
    <w:rsid w:val="000774EF"/>
    <w:rsid w:val="00077523"/>
    <w:rsid w:val="000775F3"/>
    <w:rsid w:val="0007777A"/>
    <w:rsid w:val="000777EA"/>
    <w:rsid w:val="00077855"/>
    <w:rsid w:val="0007789E"/>
    <w:rsid w:val="000778D2"/>
    <w:rsid w:val="0007792F"/>
    <w:rsid w:val="00077A24"/>
    <w:rsid w:val="00077A48"/>
    <w:rsid w:val="00077BBE"/>
    <w:rsid w:val="00077D4C"/>
    <w:rsid w:val="00077D6D"/>
    <w:rsid w:val="00077E2D"/>
    <w:rsid w:val="00077E5D"/>
    <w:rsid w:val="00077E92"/>
    <w:rsid w:val="00077EEC"/>
    <w:rsid w:val="00077FFD"/>
    <w:rsid w:val="0008015E"/>
    <w:rsid w:val="00080198"/>
    <w:rsid w:val="000801BE"/>
    <w:rsid w:val="000801CF"/>
    <w:rsid w:val="0008026C"/>
    <w:rsid w:val="000803CD"/>
    <w:rsid w:val="000804C5"/>
    <w:rsid w:val="00080500"/>
    <w:rsid w:val="0008057C"/>
    <w:rsid w:val="00080580"/>
    <w:rsid w:val="00080590"/>
    <w:rsid w:val="0008064F"/>
    <w:rsid w:val="00080783"/>
    <w:rsid w:val="0008089D"/>
    <w:rsid w:val="0008099E"/>
    <w:rsid w:val="000809FC"/>
    <w:rsid w:val="00080A89"/>
    <w:rsid w:val="00080B0D"/>
    <w:rsid w:val="00080DE6"/>
    <w:rsid w:val="00080E69"/>
    <w:rsid w:val="00080ECD"/>
    <w:rsid w:val="00080F13"/>
    <w:rsid w:val="00080F9A"/>
    <w:rsid w:val="00080FBF"/>
    <w:rsid w:val="0008100A"/>
    <w:rsid w:val="0008100F"/>
    <w:rsid w:val="00081013"/>
    <w:rsid w:val="00081275"/>
    <w:rsid w:val="000812A2"/>
    <w:rsid w:val="000814E3"/>
    <w:rsid w:val="000815C2"/>
    <w:rsid w:val="000815F5"/>
    <w:rsid w:val="0008186D"/>
    <w:rsid w:val="00081890"/>
    <w:rsid w:val="00081A43"/>
    <w:rsid w:val="00081AB2"/>
    <w:rsid w:val="00081AD1"/>
    <w:rsid w:val="00081B44"/>
    <w:rsid w:val="00081C57"/>
    <w:rsid w:val="00081DB4"/>
    <w:rsid w:val="00081EE9"/>
    <w:rsid w:val="00081F22"/>
    <w:rsid w:val="00081F9E"/>
    <w:rsid w:val="0008206B"/>
    <w:rsid w:val="000820E1"/>
    <w:rsid w:val="0008211A"/>
    <w:rsid w:val="00082171"/>
    <w:rsid w:val="000822F8"/>
    <w:rsid w:val="00082301"/>
    <w:rsid w:val="0008230E"/>
    <w:rsid w:val="0008239E"/>
    <w:rsid w:val="00082495"/>
    <w:rsid w:val="0008253F"/>
    <w:rsid w:val="0008267E"/>
    <w:rsid w:val="000826F2"/>
    <w:rsid w:val="0008298A"/>
    <w:rsid w:val="00082A49"/>
    <w:rsid w:val="00082B19"/>
    <w:rsid w:val="00082C47"/>
    <w:rsid w:val="00082CB6"/>
    <w:rsid w:val="00082CF3"/>
    <w:rsid w:val="00082DB2"/>
    <w:rsid w:val="00082F07"/>
    <w:rsid w:val="00082F1A"/>
    <w:rsid w:val="00082F71"/>
    <w:rsid w:val="00082FA1"/>
    <w:rsid w:val="00082FE0"/>
    <w:rsid w:val="00082FFE"/>
    <w:rsid w:val="0008309A"/>
    <w:rsid w:val="000830E0"/>
    <w:rsid w:val="000830E8"/>
    <w:rsid w:val="0008313A"/>
    <w:rsid w:val="000831BD"/>
    <w:rsid w:val="00083365"/>
    <w:rsid w:val="000833F7"/>
    <w:rsid w:val="000834F0"/>
    <w:rsid w:val="000835E9"/>
    <w:rsid w:val="00083799"/>
    <w:rsid w:val="000837D1"/>
    <w:rsid w:val="000837F8"/>
    <w:rsid w:val="00083A51"/>
    <w:rsid w:val="00083AB5"/>
    <w:rsid w:val="00083ABF"/>
    <w:rsid w:val="00083B1F"/>
    <w:rsid w:val="00083BEE"/>
    <w:rsid w:val="00083D1A"/>
    <w:rsid w:val="00083DF5"/>
    <w:rsid w:val="00083E05"/>
    <w:rsid w:val="00083EB0"/>
    <w:rsid w:val="00084056"/>
    <w:rsid w:val="000840B7"/>
    <w:rsid w:val="0008414B"/>
    <w:rsid w:val="000844CD"/>
    <w:rsid w:val="00084560"/>
    <w:rsid w:val="000846C8"/>
    <w:rsid w:val="000846EA"/>
    <w:rsid w:val="0008478C"/>
    <w:rsid w:val="0008486E"/>
    <w:rsid w:val="00084870"/>
    <w:rsid w:val="00084906"/>
    <w:rsid w:val="00084A0A"/>
    <w:rsid w:val="00084A31"/>
    <w:rsid w:val="00084AB2"/>
    <w:rsid w:val="00084B0F"/>
    <w:rsid w:val="00084B6A"/>
    <w:rsid w:val="00084BA5"/>
    <w:rsid w:val="00084DC0"/>
    <w:rsid w:val="00084DE6"/>
    <w:rsid w:val="00084E26"/>
    <w:rsid w:val="00084F4F"/>
    <w:rsid w:val="00084F85"/>
    <w:rsid w:val="00084FB7"/>
    <w:rsid w:val="00084FE1"/>
    <w:rsid w:val="000850AD"/>
    <w:rsid w:val="000850FD"/>
    <w:rsid w:val="000851F5"/>
    <w:rsid w:val="0008530A"/>
    <w:rsid w:val="00085334"/>
    <w:rsid w:val="00085338"/>
    <w:rsid w:val="0008538C"/>
    <w:rsid w:val="0008549E"/>
    <w:rsid w:val="000854DC"/>
    <w:rsid w:val="000854F7"/>
    <w:rsid w:val="00085501"/>
    <w:rsid w:val="0008554A"/>
    <w:rsid w:val="0008560A"/>
    <w:rsid w:val="00085630"/>
    <w:rsid w:val="0008573E"/>
    <w:rsid w:val="00085741"/>
    <w:rsid w:val="000857CD"/>
    <w:rsid w:val="000857D1"/>
    <w:rsid w:val="000857FF"/>
    <w:rsid w:val="00085838"/>
    <w:rsid w:val="000858C0"/>
    <w:rsid w:val="000858D8"/>
    <w:rsid w:val="0008595C"/>
    <w:rsid w:val="00085992"/>
    <w:rsid w:val="000859A6"/>
    <w:rsid w:val="000859F7"/>
    <w:rsid w:val="00085AF9"/>
    <w:rsid w:val="00085C8D"/>
    <w:rsid w:val="00085CF2"/>
    <w:rsid w:val="00085D3E"/>
    <w:rsid w:val="00085DB2"/>
    <w:rsid w:val="00085E21"/>
    <w:rsid w:val="00085ED8"/>
    <w:rsid w:val="00085EE5"/>
    <w:rsid w:val="00085F4A"/>
    <w:rsid w:val="0008606D"/>
    <w:rsid w:val="00086102"/>
    <w:rsid w:val="0008613F"/>
    <w:rsid w:val="000862A0"/>
    <w:rsid w:val="000865D8"/>
    <w:rsid w:val="00086650"/>
    <w:rsid w:val="0008671C"/>
    <w:rsid w:val="00086758"/>
    <w:rsid w:val="00086977"/>
    <w:rsid w:val="000869E7"/>
    <w:rsid w:val="00086A89"/>
    <w:rsid w:val="00086A97"/>
    <w:rsid w:val="00086BAF"/>
    <w:rsid w:val="00086C68"/>
    <w:rsid w:val="00086D98"/>
    <w:rsid w:val="00086E45"/>
    <w:rsid w:val="00086E5A"/>
    <w:rsid w:val="00086F21"/>
    <w:rsid w:val="00086F79"/>
    <w:rsid w:val="00087148"/>
    <w:rsid w:val="00087168"/>
    <w:rsid w:val="00087242"/>
    <w:rsid w:val="00087335"/>
    <w:rsid w:val="0008739A"/>
    <w:rsid w:val="000873B2"/>
    <w:rsid w:val="000873DB"/>
    <w:rsid w:val="00087419"/>
    <w:rsid w:val="0008749A"/>
    <w:rsid w:val="00087533"/>
    <w:rsid w:val="0008753A"/>
    <w:rsid w:val="00087548"/>
    <w:rsid w:val="00087687"/>
    <w:rsid w:val="0008774E"/>
    <w:rsid w:val="0008776E"/>
    <w:rsid w:val="0008778D"/>
    <w:rsid w:val="000877D0"/>
    <w:rsid w:val="00087940"/>
    <w:rsid w:val="0008795D"/>
    <w:rsid w:val="00087A36"/>
    <w:rsid w:val="00087B61"/>
    <w:rsid w:val="00087B75"/>
    <w:rsid w:val="00087BBD"/>
    <w:rsid w:val="00087E99"/>
    <w:rsid w:val="00087EB7"/>
    <w:rsid w:val="00087EDF"/>
    <w:rsid w:val="00087F77"/>
    <w:rsid w:val="00090051"/>
    <w:rsid w:val="00090074"/>
    <w:rsid w:val="000900B9"/>
    <w:rsid w:val="00090105"/>
    <w:rsid w:val="00090139"/>
    <w:rsid w:val="0009013B"/>
    <w:rsid w:val="00090167"/>
    <w:rsid w:val="00090336"/>
    <w:rsid w:val="00090544"/>
    <w:rsid w:val="00090625"/>
    <w:rsid w:val="0009063A"/>
    <w:rsid w:val="000907C5"/>
    <w:rsid w:val="000907FB"/>
    <w:rsid w:val="00090810"/>
    <w:rsid w:val="00090846"/>
    <w:rsid w:val="000909B4"/>
    <w:rsid w:val="00090A33"/>
    <w:rsid w:val="00090B03"/>
    <w:rsid w:val="00090B15"/>
    <w:rsid w:val="00090B98"/>
    <w:rsid w:val="00090CD1"/>
    <w:rsid w:val="00090DC2"/>
    <w:rsid w:val="0009108D"/>
    <w:rsid w:val="000910D4"/>
    <w:rsid w:val="000911B0"/>
    <w:rsid w:val="000911D3"/>
    <w:rsid w:val="00091266"/>
    <w:rsid w:val="00091448"/>
    <w:rsid w:val="00091454"/>
    <w:rsid w:val="000914E2"/>
    <w:rsid w:val="00091533"/>
    <w:rsid w:val="00091606"/>
    <w:rsid w:val="0009161F"/>
    <w:rsid w:val="0009162B"/>
    <w:rsid w:val="00091680"/>
    <w:rsid w:val="000917DB"/>
    <w:rsid w:val="00091903"/>
    <w:rsid w:val="000919E4"/>
    <w:rsid w:val="00091B20"/>
    <w:rsid w:val="00091B30"/>
    <w:rsid w:val="00091C9B"/>
    <w:rsid w:val="00091CC1"/>
    <w:rsid w:val="00091D5F"/>
    <w:rsid w:val="00091E05"/>
    <w:rsid w:val="00091ED3"/>
    <w:rsid w:val="000920FB"/>
    <w:rsid w:val="000920FE"/>
    <w:rsid w:val="0009220D"/>
    <w:rsid w:val="000922BD"/>
    <w:rsid w:val="0009232A"/>
    <w:rsid w:val="0009251F"/>
    <w:rsid w:val="000925A3"/>
    <w:rsid w:val="00092634"/>
    <w:rsid w:val="00092637"/>
    <w:rsid w:val="0009266F"/>
    <w:rsid w:val="000926A8"/>
    <w:rsid w:val="000927B7"/>
    <w:rsid w:val="00092851"/>
    <w:rsid w:val="00092884"/>
    <w:rsid w:val="000928E8"/>
    <w:rsid w:val="000928F9"/>
    <w:rsid w:val="0009299C"/>
    <w:rsid w:val="00092A32"/>
    <w:rsid w:val="00092A9A"/>
    <w:rsid w:val="00092DC7"/>
    <w:rsid w:val="00092DEE"/>
    <w:rsid w:val="00092DFA"/>
    <w:rsid w:val="00092E84"/>
    <w:rsid w:val="00092FC2"/>
    <w:rsid w:val="00093090"/>
    <w:rsid w:val="00093148"/>
    <w:rsid w:val="0009316D"/>
    <w:rsid w:val="0009320E"/>
    <w:rsid w:val="00093439"/>
    <w:rsid w:val="000934AA"/>
    <w:rsid w:val="00093549"/>
    <w:rsid w:val="000935A2"/>
    <w:rsid w:val="000935D6"/>
    <w:rsid w:val="00093619"/>
    <w:rsid w:val="0009364C"/>
    <w:rsid w:val="000936C2"/>
    <w:rsid w:val="00093703"/>
    <w:rsid w:val="00093941"/>
    <w:rsid w:val="00093951"/>
    <w:rsid w:val="000939EB"/>
    <w:rsid w:val="00093BA6"/>
    <w:rsid w:val="00093CB7"/>
    <w:rsid w:val="00093D00"/>
    <w:rsid w:val="00093D84"/>
    <w:rsid w:val="00093E02"/>
    <w:rsid w:val="00093E09"/>
    <w:rsid w:val="00093F45"/>
    <w:rsid w:val="00093FA3"/>
    <w:rsid w:val="00093FEF"/>
    <w:rsid w:val="00094083"/>
    <w:rsid w:val="0009409B"/>
    <w:rsid w:val="000940FA"/>
    <w:rsid w:val="00094156"/>
    <w:rsid w:val="0009416C"/>
    <w:rsid w:val="000942A9"/>
    <w:rsid w:val="000942C4"/>
    <w:rsid w:val="000944A2"/>
    <w:rsid w:val="000944DF"/>
    <w:rsid w:val="0009476C"/>
    <w:rsid w:val="00094788"/>
    <w:rsid w:val="00094807"/>
    <w:rsid w:val="00094842"/>
    <w:rsid w:val="00094885"/>
    <w:rsid w:val="00094926"/>
    <w:rsid w:val="000949F8"/>
    <w:rsid w:val="00094AE4"/>
    <w:rsid w:val="00094B76"/>
    <w:rsid w:val="00094B95"/>
    <w:rsid w:val="00094C8B"/>
    <w:rsid w:val="00094CD3"/>
    <w:rsid w:val="00094DAA"/>
    <w:rsid w:val="00094EBF"/>
    <w:rsid w:val="00094F15"/>
    <w:rsid w:val="000950CC"/>
    <w:rsid w:val="00095182"/>
    <w:rsid w:val="0009519F"/>
    <w:rsid w:val="000951C3"/>
    <w:rsid w:val="00095375"/>
    <w:rsid w:val="00095411"/>
    <w:rsid w:val="00095571"/>
    <w:rsid w:val="000955D8"/>
    <w:rsid w:val="00095855"/>
    <w:rsid w:val="00095886"/>
    <w:rsid w:val="0009591C"/>
    <w:rsid w:val="00095BBA"/>
    <w:rsid w:val="00095C66"/>
    <w:rsid w:val="00095D07"/>
    <w:rsid w:val="00095DA5"/>
    <w:rsid w:val="00095E5C"/>
    <w:rsid w:val="00095F4E"/>
    <w:rsid w:val="00095F78"/>
    <w:rsid w:val="00095FB6"/>
    <w:rsid w:val="00096097"/>
    <w:rsid w:val="000960E7"/>
    <w:rsid w:val="000960ED"/>
    <w:rsid w:val="000960FE"/>
    <w:rsid w:val="0009615F"/>
    <w:rsid w:val="0009626A"/>
    <w:rsid w:val="00096353"/>
    <w:rsid w:val="000963C7"/>
    <w:rsid w:val="000964AB"/>
    <w:rsid w:val="00096545"/>
    <w:rsid w:val="00096576"/>
    <w:rsid w:val="000965ED"/>
    <w:rsid w:val="00096662"/>
    <w:rsid w:val="000967D8"/>
    <w:rsid w:val="00096824"/>
    <w:rsid w:val="000968A6"/>
    <w:rsid w:val="000968B2"/>
    <w:rsid w:val="000969AE"/>
    <w:rsid w:val="00096A24"/>
    <w:rsid w:val="00096A2E"/>
    <w:rsid w:val="00096A59"/>
    <w:rsid w:val="00096A7A"/>
    <w:rsid w:val="00096B15"/>
    <w:rsid w:val="00096B7F"/>
    <w:rsid w:val="00096B9D"/>
    <w:rsid w:val="00096C4D"/>
    <w:rsid w:val="00096CEA"/>
    <w:rsid w:val="00096D91"/>
    <w:rsid w:val="00096E2B"/>
    <w:rsid w:val="00096E75"/>
    <w:rsid w:val="00096F30"/>
    <w:rsid w:val="00097039"/>
    <w:rsid w:val="000971AC"/>
    <w:rsid w:val="000971B7"/>
    <w:rsid w:val="000971F8"/>
    <w:rsid w:val="00097250"/>
    <w:rsid w:val="000972F4"/>
    <w:rsid w:val="00097318"/>
    <w:rsid w:val="00097378"/>
    <w:rsid w:val="000973C8"/>
    <w:rsid w:val="000974CC"/>
    <w:rsid w:val="00097693"/>
    <w:rsid w:val="0009783A"/>
    <w:rsid w:val="00097919"/>
    <w:rsid w:val="00097934"/>
    <w:rsid w:val="00097993"/>
    <w:rsid w:val="000979C9"/>
    <w:rsid w:val="00097A71"/>
    <w:rsid w:val="00097AB9"/>
    <w:rsid w:val="00097C05"/>
    <w:rsid w:val="00097C91"/>
    <w:rsid w:val="00097E88"/>
    <w:rsid w:val="00097F32"/>
    <w:rsid w:val="000A0096"/>
    <w:rsid w:val="000A00DF"/>
    <w:rsid w:val="000A0123"/>
    <w:rsid w:val="000A01CE"/>
    <w:rsid w:val="000A01D2"/>
    <w:rsid w:val="000A022B"/>
    <w:rsid w:val="000A02F7"/>
    <w:rsid w:val="000A03B0"/>
    <w:rsid w:val="000A0500"/>
    <w:rsid w:val="000A0543"/>
    <w:rsid w:val="000A05A5"/>
    <w:rsid w:val="000A066A"/>
    <w:rsid w:val="000A0683"/>
    <w:rsid w:val="000A06DA"/>
    <w:rsid w:val="000A0716"/>
    <w:rsid w:val="000A084E"/>
    <w:rsid w:val="000A086E"/>
    <w:rsid w:val="000A08B0"/>
    <w:rsid w:val="000A0A0D"/>
    <w:rsid w:val="000A0A32"/>
    <w:rsid w:val="000A0A8D"/>
    <w:rsid w:val="000A0B4E"/>
    <w:rsid w:val="000A0BD1"/>
    <w:rsid w:val="000A0C1C"/>
    <w:rsid w:val="000A0C96"/>
    <w:rsid w:val="000A0DBA"/>
    <w:rsid w:val="000A0DC1"/>
    <w:rsid w:val="000A0E3F"/>
    <w:rsid w:val="000A0EBB"/>
    <w:rsid w:val="000A0F25"/>
    <w:rsid w:val="000A1118"/>
    <w:rsid w:val="000A1227"/>
    <w:rsid w:val="000A1479"/>
    <w:rsid w:val="000A154B"/>
    <w:rsid w:val="000A1692"/>
    <w:rsid w:val="000A1699"/>
    <w:rsid w:val="000A17E8"/>
    <w:rsid w:val="000A17FF"/>
    <w:rsid w:val="000A1826"/>
    <w:rsid w:val="000A1867"/>
    <w:rsid w:val="000A18C1"/>
    <w:rsid w:val="000A1A16"/>
    <w:rsid w:val="000A1A29"/>
    <w:rsid w:val="000A1A7E"/>
    <w:rsid w:val="000A1AB9"/>
    <w:rsid w:val="000A1BBC"/>
    <w:rsid w:val="000A1C28"/>
    <w:rsid w:val="000A1D37"/>
    <w:rsid w:val="000A1D96"/>
    <w:rsid w:val="000A1D98"/>
    <w:rsid w:val="000A1FCB"/>
    <w:rsid w:val="000A2031"/>
    <w:rsid w:val="000A2129"/>
    <w:rsid w:val="000A2163"/>
    <w:rsid w:val="000A22A4"/>
    <w:rsid w:val="000A22E2"/>
    <w:rsid w:val="000A232C"/>
    <w:rsid w:val="000A234F"/>
    <w:rsid w:val="000A239B"/>
    <w:rsid w:val="000A241E"/>
    <w:rsid w:val="000A24F7"/>
    <w:rsid w:val="000A2523"/>
    <w:rsid w:val="000A2537"/>
    <w:rsid w:val="000A2573"/>
    <w:rsid w:val="000A25A7"/>
    <w:rsid w:val="000A25CD"/>
    <w:rsid w:val="000A274C"/>
    <w:rsid w:val="000A2829"/>
    <w:rsid w:val="000A29C9"/>
    <w:rsid w:val="000A2B55"/>
    <w:rsid w:val="000A2B71"/>
    <w:rsid w:val="000A2B76"/>
    <w:rsid w:val="000A2C62"/>
    <w:rsid w:val="000A2CA1"/>
    <w:rsid w:val="000A2E56"/>
    <w:rsid w:val="000A2E89"/>
    <w:rsid w:val="000A2E90"/>
    <w:rsid w:val="000A3098"/>
    <w:rsid w:val="000A30BA"/>
    <w:rsid w:val="000A30C5"/>
    <w:rsid w:val="000A3231"/>
    <w:rsid w:val="000A330A"/>
    <w:rsid w:val="000A3389"/>
    <w:rsid w:val="000A3567"/>
    <w:rsid w:val="000A3651"/>
    <w:rsid w:val="000A3693"/>
    <w:rsid w:val="000A3735"/>
    <w:rsid w:val="000A3758"/>
    <w:rsid w:val="000A3791"/>
    <w:rsid w:val="000A3882"/>
    <w:rsid w:val="000A38E5"/>
    <w:rsid w:val="000A3998"/>
    <w:rsid w:val="000A3A70"/>
    <w:rsid w:val="000A3BAD"/>
    <w:rsid w:val="000A3C78"/>
    <w:rsid w:val="000A3C9B"/>
    <w:rsid w:val="000A3CC2"/>
    <w:rsid w:val="000A3D2F"/>
    <w:rsid w:val="000A3E2A"/>
    <w:rsid w:val="000A41CD"/>
    <w:rsid w:val="000A421D"/>
    <w:rsid w:val="000A4269"/>
    <w:rsid w:val="000A427E"/>
    <w:rsid w:val="000A4389"/>
    <w:rsid w:val="000A43FA"/>
    <w:rsid w:val="000A443C"/>
    <w:rsid w:val="000A4512"/>
    <w:rsid w:val="000A45B7"/>
    <w:rsid w:val="000A462E"/>
    <w:rsid w:val="000A46A3"/>
    <w:rsid w:val="000A474B"/>
    <w:rsid w:val="000A4813"/>
    <w:rsid w:val="000A482C"/>
    <w:rsid w:val="000A4834"/>
    <w:rsid w:val="000A48A8"/>
    <w:rsid w:val="000A4904"/>
    <w:rsid w:val="000A4A44"/>
    <w:rsid w:val="000A4AFD"/>
    <w:rsid w:val="000A4B0E"/>
    <w:rsid w:val="000A4B11"/>
    <w:rsid w:val="000A4B84"/>
    <w:rsid w:val="000A4BAE"/>
    <w:rsid w:val="000A4BBB"/>
    <w:rsid w:val="000A4BC2"/>
    <w:rsid w:val="000A4BDD"/>
    <w:rsid w:val="000A4D80"/>
    <w:rsid w:val="000A4DB4"/>
    <w:rsid w:val="000A4E4E"/>
    <w:rsid w:val="000A4E6A"/>
    <w:rsid w:val="000A4E9A"/>
    <w:rsid w:val="000A4EB4"/>
    <w:rsid w:val="000A4EBC"/>
    <w:rsid w:val="000A4EFB"/>
    <w:rsid w:val="000A4F37"/>
    <w:rsid w:val="000A4FF4"/>
    <w:rsid w:val="000A5060"/>
    <w:rsid w:val="000A50DD"/>
    <w:rsid w:val="000A5142"/>
    <w:rsid w:val="000A537F"/>
    <w:rsid w:val="000A546A"/>
    <w:rsid w:val="000A54A4"/>
    <w:rsid w:val="000A54D1"/>
    <w:rsid w:val="000A54E0"/>
    <w:rsid w:val="000A5507"/>
    <w:rsid w:val="000A555B"/>
    <w:rsid w:val="000A5624"/>
    <w:rsid w:val="000A5638"/>
    <w:rsid w:val="000A5704"/>
    <w:rsid w:val="000A57CD"/>
    <w:rsid w:val="000A58FA"/>
    <w:rsid w:val="000A5960"/>
    <w:rsid w:val="000A59C0"/>
    <w:rsid w:val="000A59C7"/>
    <w:rsid w:val="000A5A05"/>
    <w:rsid w:val="000A5AF8"/>
    <w:rsid w:val="000A5B8D"/>
    <w:rsid w:val="000A5C24"/>
    <w:rsid w:val="000A5D2D"/>
    <w:rsid w:val="000A5D5F"/>
    <w:rsid w:val="000A5DC0"/>
    <w:rsid w:val="000A5EB1"/>
    <w:rsid w:val="000A5F31"/>
    <w:rsid w:val="000A602E"/>
    <w:rsid w:val="000A6189"/>
    <w:rsid w:val="000A61F2"/>
    <w:rsid w:val="000A62F6"/>
    <w:rsid w:val="000A62FB"/>
    <w:rsid w:val="000A644B"/>
    <w:rsid w:val="000A6659"/>
    <w:rsid w:val="000A66F3"/>
    <w:rsid w:val="000A6835"/>
    <w:rsid w:val="000A68FE"/>
    <w:rsid w:val="000A696D"/>
    <w:rsid w:val="000A6974"/>
    <w:rsid w:val="000A69A5"/>
    <w:rsid w:val="000A6A5D"/>
    <w:rsid w:val="000A6A8A"/>
    <w:rsid w:val="000A6A95"/>
    <w:rsid w:val="000A6AC2"/>
    <w:rsid w:val="000A6BA8"/>
    <w:rsid w:val="000A6C08"/>
    <w:rsid w:val="000A6CA1"/>
    <w:rsid w:val="000A6CC3"/>
    <w:rsid w:val="000A6E1A"/>
    <w:rsid w:val="000A6E30"/>
    <w:rsid w:val="000A6E34"/>
    <w:rsid w:val="000A6F23"/>
    <w:rsid w:val="000A6F69"/>
    <w:rsid w:val="000A6F8A"/>
    <w:rsid w:val="000A704E"/>
    <w:rsid w:val="000A7286"/>
    <w:rsid w:val="000A72A5"/>
    <w:rsid w:val="000A741F"/>
    <w:rsid w:val="000A74EE"/>
    <w:rsid w:val="000A75B5"/>
    <w:rsid w:val="000A75FD"/>
    <w:rsid w:val="000A778F"/>
    <w:rsid w:val="000A77BE"/>
    <w:rsid w:val="000A7872"/>
    <w:rsid w:val="000A78AE"/>
    <w:rsid w:val="000A78EA"/>
    <w:rsid w:val="000A7935"/>
    <w:rsid w:val="000A7998"/>
    <w:rsid w:val="000A7A56"/>
    <w:rsid w:val="000A7A98"/>
    <w:rsid w:val="000A7B03"/>
    <w:rsid w:val="000A7CAC"/>
    <w:rsid w:val="000A7CC7"/>
    <w:rsid w:val="000A7D1E"/>
    <w:rsid w:val="000A7D90"/>
    <w:rsid w:val="000A7DA2"/>
    <w:rsid w:val="000A7DBB"/>
    <w:rsid w:val="000A7F72"/>
    <w:rsid w:val="000A7FAF"/>
    <w:rsid w:val="000A7FF6"/>
    <w:rsid w:val="000B00AC"/>
    <w:rsid w:val="000B00AE"/>
    <w:rsid w:val="000B0171"/>
    <w:rsid w:val="000B0233"/>
    <w:rsid w:val="000B02DE"/>
    <w:rsid w:val="000B030B"/>
    <w:rsid w:val="000B0465"/>
    <w:rsid w:val="000B0510"/>
    <w:rsid w:val="000B054D"/>
    <w:rsid w:val="000B06A0"/>
    <w:rsid w:val="000B0713"/>
    <w:rsid w:val="000B07CA"/>
    <w:rsid w:val="000B0845"/>
    <w:rsid w:val="000B0944"/>
    <w:rsid w:val="000B0A28"/>
    <w:rsid w:val="000B0A64"/>
    <w:rsid w:val="000B0AD3"/>
    <w:rsid w:val="000B0B0A"/>
    <w:rsid w:val="000B0B86"/>
    <w:rsid w:val="000B0C5E"/>
    <w:rsid w:val="000B0C8C"/>
    <w:rsid w:val="000B0CFF"/>
    <w:rsid w:val="000B0E65"/>
    <w:rsid w:val="000B0F92"/>
    <w:rsid w:val="000B0FBE"/>
    <w:rsid w:val="000B0FCA"/>
    <w:rsid w:val="000B10DA"/>
    <w:rsid w:val="000B11A1"/>
    <w:rsid w:val="000B11EC"/>
    <w:rsid w:val="000B120D"/>
    <w:rsid w:val="000B1423"/>
    <w:rsid w:val="000B1503"/>
    <w:rsid w:val="000B1523"/>
    <w:rsid w:val="000B156B"/>
    <w:rsid w:val="000B16ED"/>
    <w:rsid w:val="000B171B"/>
    <w:rsid w:val="000B1833"/>
    <w:rsid w:val="000B18B3"/>
    <w:rsid w:val="000B19A9"/>
    <w:rsid w:val="000B19AA"/>
    <w:rsid w:val="000B1C2F"/>
    <w:rsid w:val="000B1C5E"/>
    <w:rsid w:val="000B1D19"/>
    <w:rsid w:val="000B1D5A"/>
    <w:rsid w:val="000B1D7D"/>
    <w:rsid w:val="000B1D7E"/>
    <w:rsid w:val="000B1DB9"/>
    <w:rsid w:val="000B1DE3"/>
    <w:rsid w:val="000B1E56"/>
    <w:rsid w:val="000B1E6B"/>
    <w:rsid w:val="000B1EB5"/>
    <w:rsid w:val="000B1F2B"/>
    <w:rsid w:val="000B1F36"/>
    <w:rsid w:val="000B1F55"/>
    <w:rsid w:val="000B2296"/>
    <w:rsid w:val="000B2356"/>
    <w:rsid w:val="000B239F"/>
    <w:rsid w:val="000B23B9"/>
    <w:rsid w:val="000B2407"/>
    <w:rsid w:val="000B2410"/>
    <w:rsid w:val="000B25B0"/>
    <w:rsid w:val="000B26C0"/>
    <w:rsid w:val="000B279C"/>
    <w:rsid w:val="000B27B1"/>
    <w:rsid w:val="000B2838"/>
    <w:rsid w:val="000B28B6"/>
    <w:rsid w:val="000B2935"/>
    <w:rsid w:val="000B2B2C"/>
    <w:rsid w:val="000B2BD9"/>
    <w:rsid w:val="000B2CBA"/>
    <w:rsid w:val="000B2D10"/>
    <w:rsid w:val="000B2DC6"/>
    <w:rsid w:val="000B2E3A"/>
    <w:rsid w:val="000B2EEB"/>
    <w:rsid w:val="000B30B7"/>
    <w:rsid w:val="000B3141"/>
    <w:rsid w:val="000B3254"/>
    <w:rsid w:val="000B3274"/>
    <w:rsid w:val="000B335F"/>
    <w:rsid w:val="000B3364"/>
    <w:rsid w:val="000B337C"/>
    <w:rsid w:val="000B33F4"/>
    <w:rsid w:val="000B346D"/>
    <w:rsid w:val="000B3483"/>
    <w:rsid w:val="000B35DA"/>
    <w:rsid w:val="000B3608"/>
    <w:rsid w:val="000B3672"/>
    <w:rsid w:val="000B372D"/>
    <w:rsid w:val="000B374B"/>
    <w:rsid w:val="000B37BD"/>
    <w:rsid w:val="000B37DC"/>
    <w:rsid w:val="000B3802"/>
    <w:rsid w:val="000B383E"/>
    <w:rsid w:val="000B38C1"/>
    <w:rsid w:val="000B3B0A"/>
    <w:rsid w:val="000B3B1D"/>
    <w:rsid w:val="000B3B23"/>
    <w:rsid w:val="000B3B3C"/>
    <w:rsid w:val="000B3B6F"/>
    <w:rsid w:val="000B3BDF"/>
    <w:rsid w:val="000B3E21"/>
    <w:rsid w:val="000B3EA8"/>
    <w:rsid w:val="000B3FA2"/>
    <w:rsid w:val="000B405C"/>
    <w:rsid w:val="000B406F"/>
    <w:rsid w:val="000B4077"/>
    <w:rsid w:val="000B4121"/>
    <w:rsid w:val="000B4124"/>
    <w:rsid w:val="000B4130"/>
    <w:rsid w:val="000B4148"/>
    <w:rsid w:val="000B426C"/>
    <w:rsid w:val="000B43FA"/>
    <w:rsid w:val="000B444F"/>
    <w:rsid w:val="000B4462"/>
    <w:rsid w:val="000B46E0"/>
    <w:rsid w:val="000B46EB"/>
    <w:rsid w:val="000B474E"/>
    <w:rsid w:val="000B4812"/>
    <w:rsid w:val="000B4813"/>
    <w:rsid w:val="000B4825"/>
    <w:rsid w:val="000B4916"/>
    <w:rsid w:val="000B497E"/>
    <w:rsid w:val="000B49BA"/>
    <w:rsid w:val="000B4D63"/>
    <w:rsid w:val="000B4FFC"/>
    <w:rsid w:val="000B50C2"/>
    <w:rsid w:val="000B512A"/>
    <w:rsid w:val="000B5171"/>
    <w:rsid w:val="000B553D"/>
    <w:rsid w:val="000B5579"/>
    <w:rsid w:val="000B562E"/>
    <w:rsid w:val="000B570D"/>
    <w:rsid w:val="000B576D"/>
    <w:rsid w:val="000B57E0"/>
    <w:rsid w:val="000B58B2"/>
    <w:rsid w:val="000B59AC"/>
    <w:rsid w:val="000B59B1"/>
    <w:rsid w:val="000B59D0"/>
    <w:rsid w:val="000B59F9"/>
    <w:rsid w:val="000B5A00"/>
    <w:rsid w:val="000B5AF7"/>
    <w:rsid w:val="000B5B08"/>
    <w:rsid w:val="000B5C1E"/>
    <w:rsid w:val="000B5C9E"/>
    <w:rsid w:val="000B5CA7"/>
    <w:rsid w:val="000B5D8C"/>
    <w:rsid w:val="000B5DD2"/>
    <w:rsid w:val="000B5F7C"/>
    <w:rsid w:val="000B603B"/>
    <w:rsid w:val="000B6196"/>
    <w:rsid w:val="000B61A5"/>
    <w:rsid w:val="000B6215"/>
    <w:rsid w:val="000B6236"/>
    <w:rsid w:val="000B6343"/>
    <w:rsid w:val="000B634E"/>
    <w:rsid w:val="000B6539"/>
    <w:rsid w:val="000B65AF"/>
    <w:rsid w:val="000B65BD"/>
    <w:rsid w:val="000B6794"/>
    <w:rsid w:val="000B67C2"/>
    <w:rsid w:val="000B68E5"/>
    <w:rsid w:val="000B6984"/>
    <w:rsid w:val="000B698D"/>
    <w:rsid w:val="000B69E7"/>
    <w:rsid w:val="000B6B86"/>
    <w:rsid w:val="000B6BEE"/>
    <w:rsid w:val="000B6CBE"/>
    <w:rsid w:val="000B6D96"/>
    <w:rsid w:val="000B6E15"/>
    <w:rsid w:val="000B6E47"/>
    <w:rsid w:val="000B6E49"/>
    <w:rsid w:val="000B6EF0"/>
    <w:rsid w:val="000B6FBC"/>
    <w:rsid w:val="000B6FD8"/>
    <w:rsid w:val="000B71DE"/>
    <w:rsid w:val="000B720F"/>
    <w:rsid w:val="000B7243"/>
    <w:rsid w:val="000B7512"/>
    <w:rsid w:val="000B757B"/>
    <w:rsid w:val="000B7628"/>
    <w:rsid w:val="000B7694"/>
    <w:rsid w:val="000B76E7"/>
    <w:rsid w:val="000B786E"/>
    <w:rsid w:val="000B78FE"/>
    <w:rsid w:val="000B7B27"/>
    <w:rsid w:val="000B7CE6"/>
    <w:rsid w:val="000B7D71"/>
    <w:rsid w:val="000B7E43"/>
    <w:rsid w:val="000B7E62"/>
    <w:rsid w:val="000B7E90"/>
    <w:rsid w:val="000B7E95"/>
    <w:rsid w:val="000B7FD0"/>
    <w:rsid w:val="000B7FD6"/>
    <w:rsid w:val="000C0242"/>
    <w:rsid w:val="000C0248"/>
    <w:rsid w:val="000C0253"/>
    <w:rsid w:val="000C03A9"/>
    <w:rsid w:val="000C054C"/>
    <w:rsid w:val="000C05D8"/>
    <w:rsid w:val="000C062A"/>
    <w:rsid w:val="000C078F"/>
    <w:rsid w:val="000C087D"/>
    <w:rsid w:val="000C08E5"/>
    <w:rsid w:val="000C09C4"/>
    <w:rsid w:val="000C0A40"/>
    <w:rsid w:val="000C0A5D"/>
    <w:rsid w:val="000C0B93"/>
    <w:rsid w:val="000C0B98"/>
    <w:rsid w:val="000C0C42"/>
    <w:rsid w:val="000C0D4D"/>
    <w:rsid w:val="000C0E76"/>
    <w:rsid w:val="000C0F4A"/>
    <w:rsid w:val="000C0F86"/>
    <w:rsid w:val="000C1114"/>
    <w:rsid w:val="000C1118"/>
    <w:rsid w:val="000C11E1"/>
    <w:rsid w:val="000C11E7"/>
    <w:rsid w:val="000C11FE"/>
    <w:rsid w:val="000C129A"/>
    <w:rsid w:val="000C13D5"/>
    <w:rsid w:val="000C1438"/>
    <w:rsid w:val="000C148B"/>
    <w:rsid w:val="000C171F"/>
    <w:rsid w:val="000C1746"/>
    <w:rsid w:val="000C17CC"/>
    <w:rsid w:val="000C1875"/>
    <w:rsid w:val="000C19A6"/>
    <w:rsid w:val="000C19CA"/>
    <w:rsid w:val="000C1A49"/>
    <w:rsid w:val="000C1AB7"/>
    <w:rsid w:val="000C1B38"/>
    <w:rsid w:val="000C1B83"/>
    <w:rsid w:val="000C1DBE"/>
    <w:rsid w:val="000C1E82"/>
    <w:rsid w:val="000C1EFE"/>
    <w:rsid w:val="000C1F8B"/>
    <w:rsid w:val="000C1FCA"/>
    <w:rsid w:val="000C2090"/>
    <w:rsid w:val="000C2136"/>
    <w:rsid w:val="000C22BB"/>
    <w:rsid w:val="000C2326"/>
    <w:rsid w:val="000C2366"/>
    <w:rsid w:val="000C243A"/>
    <w:rsid w:val="000C244D"/>
    <w:rsid w:val="000C26A2"/>
    <w:rsid w:val="000C26AE"/>
    <w:rsid w:val="000C282B"/>
    <w:rsid w:val="000C2A1B"/>
    <w:rsid w:val="000C2AD6"/>
    <w:rsid w:val="000C2C20"/>
    <w:rsid w:val="000C2D63"/>
    <w:rsid w:val="000C2E75"/>
    <w:rsid w:val="000C3088"/>
    <w:rsid w:val="000C30BF"/>
    <w:rsid w:val="000C3130"/>
    <w:rsid w:val="000C3253"/>
    <w:rsid w:val="000C325F"/>
    <w:rsid w:val="000C32D6"/>
    <w:rsid w:val="000C3467"/>
    <w:rsid w:val="000C34D0"/>
    <w:rsid w:val="000C3598"/>
    <w:rsid w:val="000C35A2"/>
    <w:rsid w:val="000C3608"/>
    <w:rsid w:val="000C368F"/>
    <w:rsid w:val="000C3740"/>
    <w:rsid w:val="000C3869"/>
    <w:rsid w:val="000C3A45"/>
    <w:rsid w:val="000C3AAE"/>
    <w:rsid w:val="000C3AD2"/>
    <w:rsid w:val="000C3AF9"/>
    <w:rsid w:val="000C3B3C"/>
    <w:rsid w:val="000C3B54"/>
    <w:rsid w:val="000C3BFB"/>
    <w:rsid w:val="000C3C08"/>
    <w:rsid w:val="000C3CA8"/>
    <w:rsid w:val="000C3D4C"/>
    <w:rsid w:val="000C3E14"/>
    <w:rsid w:val="000C3E1F"/>
    <w:rsid w:val="000C3EF7"/>
    <w:rsid w:val="000C3F4E"/>
    <w:rsid w:val="000C3FA9"/>
    <w:rsid w:val="000C3FE2"/>
    <w:rsid w:val="000C4004"/>
    <w:rsid w:val="000C404F"/>
    <w:rsid w:val="000C406F"/>
    <w:rsid w:val="000C4084"/>
    <w:rsid w:val="000C4086"/>
    <w:rsid w:val="000C4314"/>
    <w:rsid w:val="000C4518"/>
    <w:rsid w:val="000C46DC"/>
    <w:rsid w:val="000C46E3"/>
    <w:rsid w:val="000C4735"/>
    <w:rsid w:val="000C47E3"/>
    <w:rsid w:val="000C4856"/>
    <w:rsid w:val="000C4891"/>
    <w:rsid w:val="000C496A"/>
    <w:rsid w:val="000C4A07"/>
    <w:rsid w:val="000C4A0B"/>
    <w:rsid w:val="000C4AD9"/>
    <w:rsid w:val="000C4BF4"/>
    <w:rsid w:val="000C4D80"/>
    <w:rsid w:val="000C4E17"/>
    <w:rsid w:val="000C4E29"/>
    <w:rsid w:val="000C4EA0"/>
    <w:rsid w:val="000C51A6"/>
    <w:rsid w:val="000C51F3"/>
    <w:rsid w:val="000C54BF"/>
    <w:rsid w:val="000C54C7"/>
    <w:rsid w:val="000C5550"/>
    <w:rsid w:val="000C5624"/>
    <w:rsid w:val="000C568C"/>
    <w:rsid w:val="000C571D"/>
    <w:rsid w:val="000C591E"/>
    <w:rsid w:val="000C5A78"/>
    <w:rsid w:val="000C5AC2"/>
    <w:rsid w:val="000C5AE1"/>
    <w:rsid w:val="000C5B03"/>
    <w:rsid w:val="000C5CFB"/>
    <w:rsid w:val="000C5D01"/>
    <w:rsid w:val="000C5EAB"/>
    <w:rsid w:val="000C5EC0"/>
    <w:rsid w:val="000C6013"/>
    <w:rsid w:val="000C6052"/>
    <w:rsid w:val="000C6165"/>
    <w:rsid w:val="000C6196"/>
    <w:rsid w:val="000C61D8"/>
    <w:rsid w:val="000C6221"/>
    <w:rsid w:val="000C632A"/>
    <w:rsid w:val="000C651E"/>
    <w:rsid w:val="000C65EC"/>
    <w:rsid w:val="000C66B9"/>
    <w:rsid w:val="000C678E"/>
    <w:rsid w:val="000C67BD"/>
    <w:rsid w:val="000C6869"/>
    <w:rsid w:val="000C688E"/>
    <w:rsid w:val="000C68B8"/>
    <w:rsid w:val="000C6961"/>
    <w:rsid w:val="000C698E"/>
    <w:rsid w:val="000C6A7C"/>
    <w:rsid w:val="000C6AD6"/>
    <w:rsid w:val="000C6B3D"/>
    <w:rsid w:val="000C6C08"/>
    <w:rsid w:val="000C6DA1"/>
    <w:rsid w:val="000C6E5D"/>
    <w:rsid w:val="000C6E7C"/>
    <w:rsid w:val="000C6EA5"/>
    <w:rsid w:val="000C6EBA"/>
    <w:rsid w:val="000C6F70"/>
    <w:rsid w:val="000C70D7"/>
    <w:rsid w:val="000C70EF"/>
    <w:rsid w:val="000C7103"/>
    <w:rsid w:val="000C713A"/>
    <w:rsid w:val="000C72FD"/>
    <w:rsid w:val="000C7485"/>
    <w:rsid w:val="000C751B"/>
    <w:rsid w:val="000C7539"/>
    <w:rsid w:val="000C757B"/>
    <w:rsid w:val="000C75BB"/>
    <w:rsid w:val="000C769A"/>
    <w:rsid w:val="000C76AA"/>
    <w:rsid w:val="000C778F"/>
    <w:rsid w:val="000C7808"/>
    <w:rsid w:val="000C780A"/>
    <w:rsid w:val="000C7AD4"/>
    <w:rsid w:val="000C7B8E"/>
    <w:rsid w:val="000C7C36"/>
    <w:rsid w:val="000C7D58"/>
    <w:rsid w:val="000C7E01"/>
    <w:rsid w:val="000C7E0E"/>
    <w:rsid w:val="000C7E16"/>
    <w:rsid w:val="000D0043"/>
    <w:rsid w:val="000D014C"/>
    <w:rsid w:val="000D01EB"/>
    <w:rsid w:val="000D0233"/>
    <w:rsid w:val="000D0414"/>
    <w:rsid w:val="000D04D3"/>
    <w:rsid w:val="000D0570"/>
    <w:rsid w:val="000D05FF"/>
    <w:rsid w:val="000D062F"/>
    <w:rsid w:val="000D063A"/>
    <w:rsid w:val="000D075B"/>
    <w:rsid w:val="000D075F"/>
    <w:rsid w:val="000D0817"/>
    <w:rsid w:val="000D0874"/>
    <w:rsid w:val="000D092E"/>
    <w:rsid w:val="000D0AD0"/>
    <w:rsid w:val="000D0B70"/>
    <w:rsid w:val="000D0BD6"/>
    <w:rsid w:val="000D0C75"/>
    <w:rsid w:val="000D0CB7"/>
    <w:rsid w:val="000D0D6A"/>
    <w:rsid w:val="000D0E18"/>
    <w:rsid w:val="000D0EE6"/>
    <w:rsid w:val="000D100C"/>
    <w:rsid w:val="000D102E"/>
    <w:rsid w:val="000D103A"/>
    <w:rsid w:val="000D1135"/>
    <w:rsid w:val="000D11A0"/>
    <w:rsid w:val="000D11B1"/>
    <w:rsid w:val="000D123B"/>
    <w:rsid w:val="000D1254"/>
    <w:rsid w:val="000D12CC"/>
    <w:rsid w:val="000D130F"/>
    <w:rsid w:val="000D1484"/>
    <w:rsid w:val="000D15E1"/>
    <w:rsid w:val="000D1683"/>
    <w:rsid w:val="000D16B8"/>
    <w:rsid w:val="000D1796"/>
    <w:rsid w:val="000D1985"/>
    <w:rsid w:val="000D199B"/>
    <w:rsid w:val="000D19F8"/>
    <w:rsid w:val="000D1A83"/>
    <w:rsid w:val="000D1C1C"/>
    <w:rsid w:val="000D1CC1"/>
    <w:rsid w:val="000D1D4B"/>
    <w:rsid w:val="000D1FB6"/>
    <w:rsid w:val="000D2051"/>
    <w:rsid w:val="000D209F"/>
    <w:rsid w:val="000D224A"/>
    <w:rsid w:val="000D2276"/>
    <w:rsid w:val="000D22C1"/>
    <w:rsid w:val="000D22D2"/>
    <w:rsid w:val="000D2330"/>
    <w:rsid w:val="000D240C"/>
    <w:rsid w:val="000D2429"/>
    <w:rsid w:val="000D2467"/>
    <w:rsid w:val="000D24C4"/>
    <w:rsid w:val="000D251E"/>
    <w:rsid w:val="000D2577"/>
    <w:rsid w:val="000D26A8"/>
    <w:rsid w:val="000D275D"/>
    <w:rsid w:val="000D276B"/>
    <w:rsid w:val="000D2788"/>
    <w:rsid w:val="000D2818"/>
    <w:rsid w:val="000D2825"/>
    <w:rsid w:val="000D285B"/>
    <w:rsid w:val="000D29EA"/>
    <w:rsid w:val="000D2A79"/>
    <w:rsid w:val="000D2B24"/>
    <w:rsid w:val="000D2B35"/>
    <w:rsid w:val="000D2B49"/>
    <w:rsid w:val="000D2BFD"/>
    <w:rsid w:val="000D2ECF"/>
    <w:rsid w:val="000D2F18"/>
    <w:rsid w:val="000D2FC8"/>
    <w:rsid w:val="000D3148"/>
    <w:rsid w:val="000D314B"/>
    <w:rsid w:val="000D31A6"/>
    <w:rsid w:val="000D33C9"/>
    <w:rsid w:val="000D33D7"/>
    <w:rsid w:val="000D354B"/>
    <w:rsid w:val="000D35DE"/>
    <w:rsid w:val="000D365B"/>
    <w:rsid w:val="000D3673"/>
    <w:rsid w:val="000D3677"/>
    <w:rsid w:val="000D3699"/>
    <w:rsid w:val="000D3921"/>
    <w:rsid w:val="000D3AD2"/>
    <w:rsid w:val="000D3BEE"/>
    <w:rsid w:val="000D3E2B"/>
    <w:rsid w:val="000D3E60"/>
    <w:rsid w:val="000D3E8A"/>
    <w:rsid w:val="000D4047"/>
    <w:rsid w:val="000D4184"/>
    <w:rsid w:val="000D429B"/>
    <w:rsid w:val="000D429C"/>
    <w:rsid w:val="000D42CE"/>
    <w:rsid w:val="000D4398"/>
    <w:rsid w:val="000D443D"/>
    <w:rsid w:val="000D44FE"/>
    <w:rsid w:val="000D4597"/>
    <w:rsid w:val="000D459A"/>
    <w:rsid w:val="000D4682"/>
    <w:rsid w:val="000D470A"/>
    <w:rsid w:val="000D4784"/>
    <w:rsid w:val="000D47E4"/>
    <w:rsid w:val="000D48A5"/>
    <w:rsid w:val="000D49B7"/>
    <w:rsid w:val="000D4A3C"/>
    <w:rsid w:val="000D4AE7"/>
    <w:rsid w:val="000D4CA1"/>
    <w:rsid w:val="000D4DC4"/>
    <w:rsid w:val="000D4DFD"/>
    <w:rsid w:val="000D4E3D"/>
    <w:rsid w:val="000D4F38"/>
    <w:rsid w:val="000D4F4D"/>
    <w:rsid w:val="000D5009"/>
    <w:rsid w:val="000D50DF"/>
    <w:rsid w:val="000D5137"/>
    <w:rsid w:val="000D51BF"/>
    <w:rsid w:val="000D5388"/>
    <w:rsid w:val="000D542D"/>
    <w:rsid w:val="000D5451"/>
    <w:rsid w:val="000D56D9"/>
    <w:rsid w:val="000D56FA"/>
    <w:rsid w:val="000D5787"/>
    <w:rsid w:val="000D57E8"/>
    <w:rsid w:val="000D5A6D"/>
    <w:rsid w:val="000D5AAF"/>
    <w:rsid w:val="000D5ADD"/>
    <w:rsid w:val="000D5B4C"/>
    <w:rsid w:val="000D5C0E"/>
    <w:rsid w:val="000D5E53"/>
    <w:rsid w:val="000D5E55"/>
    <w:rsid w:val="000D5E69"/>
    <w:rsid w:val="000D6021"/>
    <w:rsid w:val="000D60B1"/>
    <w:rsid w:val="000D61CF"/>
    <w:rsid w:val="000D6204"/>
    <w:rsid w:val="000D62A7"/>
    <w:rsid w:val="000D636B"/>
    <w:rsid w:val="000D63F7"/>
    <w:rsid w:val="000D6536"/>
    <w:rsid w:val="000D66C7"/>
    <w:rsid w:val="000D6767"/>
    <w:rsid w:val="000D6B55"/>
    <w:rsid w:val="000D6B82"/>
    <w:rsid w:val="000D6C02"/>
    <w:rsid w:val="000D6C18"/>
    <w:rsid w:val="000D6C9E"/>
    <w:rsid w:val="000D6CE1"/>
    <w:rsid w:val="000D6D2E"/>
    <w:rsid w:val="000D6F09"/>
    <w:rsid w:val="000D6F54"/>
    <w:rsid w:val="000D6FC4"/>
    <w:rsid w:val="000D713C"/>
    <w:rsid w:val="000D71B6"/>
    <w:rsid w:val="000D7268"/>
    <w:rsid w:val="000D728E"/>
    <w:rsid w:val="000D72B4"/>
    <w:rsid w:val="000D72E8"/>
    <w:rsid w:val="000D72F4"/>
    <w:rsid w:val="000D732D"/>
    <w:rsid w:val="000D738B"/>
    <w:rsid w:val="000D739B"/>
    <w:rsid w:val="000D73CF"/>
    <w:rsid w:val="000D7498"/>
    <w:rsid w:val="000D780E"/>
    <w:rsid w:val="000D7815"/>
    <w:rsid w:val="000D7982"/>
    <w:rsid w:val="000D79AE"/>
    <w:rsid w:val="000D7A20"/>
    <w:rsid w:val="000D7A54"/>
    <w:rsid w:val="000D7B08"/>
    <w:rsid w:val="000D7B43"/>
    <w:rsid w:val="000D7B81"/>
    <w:rsid w:val="000D7C4F"/>
    <w:rsid w:val="000D7C7B"/>
    <w:rsid w:val="000D7DD4"/>
    <w:rsid w:val="000D7DDD"/>
    <w:rsid w:val="000D7E49"/>
    <w:rsid w:val="000D7E4E"/>
    <w:rsid w:val="000D7E81"/>
    <w:rsid w:val="000D7E96"/>
    <w:rsid w:val="000D7EC4"/>
    <w:rsid w:val="000D7F01"/>
    <w:rsid w:val="000E01A6"/>
    <w:rsid w:val="000E01CB"/>
    <w:rsid w:val="000E01D2"/>
    <w:rsid w:val="000E025E"/>
    <w:rsid w:val="000E028B"/>
    <w:rsid w:val="000E0309"/>
    <w:rsid w:val="000E042F"/>
    <w:rsid w:val="000E0531"/>
    <w:rsid w:val="000E05AF"/>
    <w:rsid w:val="000E05B6"/>
    <w:rsid w:val="000E0611"/>
    <w:rsid w:val="000E065C"/>
    <w:rsid w:val="000E0680"/>
    <w:rsid w:val="000E06BA"/>
    <w:rsid w:val="000E07A5"/>
    <w:rsid w:val="000E07A8"/>
    <w:rsid w:val="000E07C6"/>
    <w:rsid w:val="000E0857"/>
    <w:rsid w:val="000E0862"/>
    <w:rsid w:val="000E0872"/>
    <w:rsid w:val="000E08FF"/>
    <w:rsid w:val="000E0912"/>
    <w:rsid w:val="000E09C5"/>
    <w:rsid w:val="000E0A1A"/>
    <w:rsid w:val="000E0A2C"/>
    <w:rsid w:val="000E0A4A"/>
    <w:rsid w:val="000E0A57"/>
    <w:rsid w:val="000E0B15"/>
    <w:rsid w:val="000E0C73"/>
    <w:rsid w:val="000E0D02"/>
    <w:rsid w:val="000E0E55"/>
    <w:rsid w:val="000E0E5E"/>
    <w:rsid w:val="000E0F1F"/>
    <w:rsid w:val="000E0F43"/>
    <w:rsid w:val="000E0FB3"/>
    <w:rsid w:val="000E10B1"/>
    <w:rsid w:val="000E1107"/>
    <w:rsid w:val="000E117C"/>
    <w:rsid w:val="000E12C7"/>
    <w:rsid w:val="000E13E6"/>
    <w:rsid w:val="000E1440"/>
    <w:rsid w:val="000E14CD"/>
    <w:rsid w:val="000E16E4"/>
    <w:rsid w:val="000E1721"/>
    <w:rsid w:val="000E17B8"/>
    <w:rsid w:val="000E17EE"/>
    <w:rsid w:val="000E1820"/>
    <w:rsid w:val="000E19AA"/>
    <w:rsid w:val="000E19BF"/>
    <w:rsid w:val="000E1D4A"/>
    <w:rsid w:val="000E1DDC"/>
    <w:rsid w:val="000E1DFF"/>
    <w:rsid w:val="000E1EDF"/>
    <w:rsid w:val="000E1EE5"/>
    <w:rsid w:val="000E1F2E"/>
    <w:rsid w:val="000E1F49"/>
    <w:rsid w:val="000E1FC4"/>
    <w:rsid w:val="000E1FFF"/>
    <w:rsid w:val="000E20AE"/>
    <w:rsid w:val="000E2399"/>
    <w:rsid w:val="000E23CF"/>
    <w:rsid w:val="000E24FA"/>
    <w:rsid w:val="000E2543"/>
    <w:rsid w:val="000E2917"/>
    <w:rsid w:val="000E2A04"/>
    <w:rsid w:val="000E2A0A"/>
    <w:rsid w:val="000E2A32"/>
    <w:rsid w:val="000E2B00"/>
    <w:rsid w:val="000E2B33"/>
    <w:rsid w:val="000E2BB3"/>
    <w:rsid w:val="000E2BFA"/>
    <w:rsid w:val="000E2D61"/>
    <w:rsid w:val="000E2E2C"/>
    <w:rsid w:val="000E2EBC"/>
    <w:rsid w:val="000E2F47"/>
    <w:rsid w:val="000E2FA9"/>
    <w:rsid w:val="000E2FF9"/>
    <w:rsid w:val="000E305A"/>
    <w:rsid w:val="000E307A"/>
    <w:rsid w:val="000E317F"/>
    <w:rsid w:val="000E3269"/>
    <w:rsid w:val="000E3307"/>
    <w:rsid w:val="000E341C"/>
    <w:rsid w:val="000E3495"/>
    <w:rsid w:val="000E3599"/>
    <w:rsid w:val="000E359B"/>
    <w:rsid w:val="000E35F3"/>
    <w:rsid w:val="000E362C"/>
    <w:rsid w:val="000E3755"/>
    <w:rsid w:val="000E38D2"/>
    <w:rsid w:val="000E38E6"/>
    <w:rsid w:val="000E3915"/>
    <w:rsid w:val="000E3955"/>
    <w:rsid w:val="000E3964"/>
    <w:rsid w:val="000E39F9"/>
    <w:rsid w:val="000E3A2A"/>
    <w:rsid w:val="000E3AA9"/>
    <w:rsid w:val="000E3B5F"/>
    <w:rsid w:val="000E3B63"/>
    <w:rsid w:val="000E3C92"/>
    <w:rsid w:val="000E3D37"/>
    <w:rsid w:val="000E3D43"/>
    <w:rsid w:val="000E3F88"/>
    <w:rsid w:val="000E401A"/>
    <w:rsid w:val="000E406C"/>
    <w:rsid w:val="000E408C"/>
    <w:rsid w:val="000E40CF"/>
    <w:rsid w:val="000E40F0"/>
    <w:rsid w:val="000E40F5"/>
    <w:rsid w:val="000E41B9"/>
    <w:rsid w:val="000E4294"/>
    <w:rsid w:val="000E42AB"/>
    <w:rsid w:val="000E42AE"/>
    <w:rsid w:val="000E42E3"/>
    <w:rsid w:val="000E42F9"/>
    <w:rsid w:val="000E447D"/>
    <w:rsid w:val="000E45AC"/>
    <w:rsid w:val="000E4603"/>
    <w:rsid w:val="000E460C"/>
    <w:rsid w:val="000E47E2"/>
    <w:rsid w:val="000E485C"/>
    <w:rsid w:val="000E4892"/>
    <w:rsid w:val="000E491A"/>
    <w:rsid w:val="000E494A"/>
    <w:rsid w:val="000E494C"/>
    <w:rsid w:val="000E49F6"/>
    <w:rsid w:val="000E4ABF"/>
    <w:rsid w:val="000E4B56"/>
    <w:rsid w:val="000E4B82"/>
    <w:rsid w:val="000E4C77"/>
    <w:rsid w:val="000E4C8A"/>
    <w:rsid w:val="000E4CE0"/>
    <w:rsid w:val="000E4D33"/>
    <w:rsid w:val="000E4E1E"/>
    <w:rsid w:val="000E4E92"/>
    <w:rsid w:val="000E4FFD"/>
    <w:rsid w:val="000E5162"/>
    <w:rsid w:val="000E518B"/>
    <w:rsid w:val="000E518E"/>
    <w:rsid w:val="000E51D4"/>
    <w:rsid w:val="000E51EC"/>
    <w:rsid w:val="000E5258"/>
    <w:rsid w:val="000E5278"/>
    <w:rsid w:val="000E5282"/>
    <w:rsid w:val="000E537D"/>
    <w:rsid w:val="000E53DE"/>
    <w:rsid w:val="000E54AA"/>
    <w:rsid w:val="000E54ED"/>
    <w:rsid w:val="000E5540"/>
    <w:rsid w:val="000E5545"/>
    <w:rsid w:val="000E5663"/>
    <w:rsid w:val="000E5697"/>
    <w:rsid w:val="000E589D"/>
    <w:rsid w:val="000E59B3"/>
    <w:rsid w:val="000E5A05"/>
    <w:rsid w:val="000E5A3F"/>
    <w:rsid w:val="000E5AF8"/>
    <w:rsid w:val="000E5C41"/>
    <w:rsid w:val="000E5ED6"/>
    <w:rsid w:val="000E5FCE"/>
    <w:rsid w:val="000E6007"/>
    <w:rsid w:val="000E601B"/>
    <w:rsid w:val="000E6121"/>
    <w:rsid w:val="000E61A5"/>
    <w:rsid w:val="000E6236"/>
    <w:rsid w:val="000E6284"/>
    <w:rsid w:val="000E63A3"/>
    <w:rsid w:val="000E66F4"/>
    <w:rsid w:val="000E67F5"/>
    <w:rsid w:val="000E6834"/>
    <w:rsid w:val="000E6850"/>
    <w:rsid w:val="000E686E"/>
    <w:rsid w:val="000E68A8"/>
    <w:rsid w:val="000E698B"/>
    <w:rsid w:val="000E6A78"/>
    <w:rsid w:val="000E6B9E"/>
    <w:rsid w:val="000E6BF6"/>
    <w:rsid w:val="000E6C0B"/>
    <w:rsid w:val="000E6C45"/>
    <w:rsid w:val="000E6C7A"/>
    <w:rsid w:val="000E6CAB"/>
    <w:rsid w:val="000E6CD2"/>
    <w:rsid w:val="000E6D23"/>
    <w:rsid w:val="000E6D6E"/>
    <w:rsid w:val="000E6DE7"/>
    <w:rsid w:val="000E6E2F"/>
    <w:rsid w:val="000E6E9C"/>
    <w:rsid w:val="000E6F57"/>
    <w:rsid w:val="000E6F62"/>
    <w:rsid w:val="000E7015"/>
    <w:rsid w:val="000E7055"/>
    <w:rsid w:val="000E707E"/>
    <w:rsid w:val="000E711D"/>
    <w:rsid w:val="000E7121"/>
    <w:rsid w:val="000E714A"/>
    <w:rsid w:val="000E725F"/>
    <w:rsid w:val="000E7272"/>
    <w:rsid w:val="000E72BE"/>
    <w:rsid w:val="000E72C1"/>
    <w:rsid w:val="000E72F4"/>
    <w:rsid w:val="000E7472"/>
    <w:rsid w:val="000E7617"/>
    <w:rsid w:val="000E7638"/>
    <w:rsid w:val="000E7875"/>
    <w:rsid w:val="000E794C"/>
    <w:rsid w:val="000E79FD"/>
    <w:rsid w:val="000E7A0B"/>
    <w:rsid w:val="000E7A12"/>
    <w:rsid w:val="000E7A3F"/>
    <w:rsid w:val="000E7A55"/>
    <w:rsid w:val="000E7A5A"/>
    <w:rsid w:val="000E7A77"/>
    <w:rsid w:val="000E7A87"/>
    <w:rsid w:val="000E7ADE"/>
    <w:rsid w:val="000E7AF7"/>
    <w:rsid w:val="000E7D71"/>
    <w:rsid w:val="000E7F4F"/>
    <w:rsid w:val="000F0191"/>
    <w:rsid w:val="000F01E1"/>
    <w:rsid w:val="000F031D"/>
    <w:rsid w:val="000F0512"/>
    <w:rsid w:val="000F066A"/>
    <w:rsid w:val="000F0725"/>
    <w:rsid w:val="000F0734"/>
    <w:rsid w:val="000F073B"/>
    <w:rsid w:val="000F08A1"/>
    <w:rsid w:val="000F08EA"/>
    <w:rsid w:val="000F0957"/>
    <w:rsid w:val="000F09A5"/>
    <w:rsid w:val="000F0A1F"/>
    <w:rsid w:val="000F0A79"/>
    <w:rsid w:val="000F0A8A"/>
    <w:rsid w:val="000F0B1C"/>
    <w:rsid w:val="000F0BA8"/>
    <w:rsid w:val="000F0D06"/>
    <w:rsid w:val="000F0F54"/>
    <w:rsid w:val="000F0FB2"/>
    <w:rsid w:val="000F1015"/>
    <w:rsid w:val="000F116C"/>
    <w:rsid w:val="000F124F"/>
    <w:rsid w:val="000F1484"/>
    <w:rsid w:val="000F14AB"/>
    <w:rsid w:val="000F14CF"/>
    <w:rsid w:val="000F14F1"/>
    <w:rsid w:val="000F155F"/>
    <w:rsid w:val="000F15B4"/>
    <w:rsid w:val="000F15F6"/>
    <w:rsid w:val="000F16E4"/>
    <w:rsid w:val="000F1709"/>
    <w:rsid w:val="000F1745"/>
    <w:rsid w:val="000F176F"/>
    <w:rsid w:val="000F1814"/>
    <w:rsid w:val="000F1886"/>
    <w:rsid w:val="000F1995"/>
    <w:rsid w:val="000F19CF"/>
    <w:rsid w:val="000F1A22"/>
    <w:rsid w:val="000F1ADA"/>
    <w:rsid w:val="000F1B00"/>
    <w:rsid w:val="000F1C3E"/>
    <w:rsid w:val="000F1D06"/>
    <w:rsid w:val="000F1D98"/>
    <w:rsid w:val="000F1E95"/>
    <w:rsid w:val="000F1EFF"/>
    <w:rsid w:val="000F1FF8"/>
    <w:rsid w:val="000F22CF"/>
    <w:rsid w:val="000F23B8"/>
    <w:rsid w:val="000F23E5"/>
    <w:rsid w:val="000F2407"/>
    <w:rsid w:val="000F24BF"/>
    <w:rsid w:val="000F251A"/>
    <w:rsid w:val="000F258F"/>
    <w:rsid w:val="000F25C8"/>
    <w:rsid w:val="000F272B"/>
    <w:rsid w:val="000F273B"/>
    <w:rsid w:val="000F27F5"/>
    <w:rsid w:val="000F28D4"/>
    <w:rsid w:val="000F292B"/>
    <w:rsid w:val="000F2979"/>
    <w:rsid w:val="000F29F1"/>
    <w:rsid w:val="000F2C3D"/>
    <w:rsid w:val="000F2D28"/>
    <w:rsid w:val="000F2D8B"/>
    <w:rsid w:val="000F2DC1"/>
    <w:rsid w:val="000F2EBA"/>
    <w:rsid w:val="000F2F97"/>
    <w:rsid w:val="000F3077"/>
    <w:rsid w:val="000F30B2"/>
    <w:rsid w:val="000F30CC"/>
    <w:rsid w:val="000F311B"/>
    <w:rsid w:val="000F3272"/>
    <w:rsid w:val="000F3392"/>
    <w:rsid w:val="000F342B"/>
    <w:rsid w:val="000F3454"/>
    <w:rsid w:val="000F3501"/>
    <w:rsid w:val="000F372C"/>
    <w:rsid w:val="000F386F"/>
    <w:rsid w:val="000F39F8"/>
    <w:rsid w:val="000F3A2D"/>
    <w:rsid w:val="000F3AE4"/>
    <w:rsid w:val="000F3B4E"/>
    <w:rsid w:val="000F3C20"/>
    <w:rsid w:val="000F3CAA"/>
    <w:rsid w:val="000F3CB2"/>
    <w:rsid w:val="000F3E31"/>
    <w:rsid w:val="000F3E67"/>
    <w:rsid w:val="000F3E99"/>
    <w:rsid w:val="000F3FED"/>
    <w:rsid w:val="000F41D1"/>
    <w:rsid w:val="000F41E7"/>
    <w:rsid w:val="000F42EF"/>
    <w:rsid w:val="000F431D"/>
    <w:rsid w:val="000F4364"/>
    <w:rsid w:val="000F4438"/>
    <w:rsid w:val="000F44C1"/>
    <w:rsid w:val="000F45C7"/>
    <w:rsid w:val="000F465E"/>
    <w:rsid w:val="000F468B"/>
    <w:rsid w:val="000F4706"/>
    <w:rsid w:val="000F47F9"/>
    <w:rsid w:val="000F48AC"/>
    <w:rsid w:val="000F48B7"/>
    <w:rsid w:val="000F4BEE"/>
    <w:rsid w:val="000F4DC2"/>
    <w:rsid w:val="000F4F4D"/>
    <w:rsid w:val="000F4F5A"/>
    <w:rsid w:val="000F500E"/>
    <w:rsid w:val="000F5015"/>
    <w:rsid w:val="000F506A"/>
    <w:rsid w:val="000F506E"/>
    <w:rsid w:val="000F50F6"/>
    <w:rsid w:val="000F50F8"/>
    <w:rsid w:val="000F5100"/>
    <w:rsid w:val="000F5101"/>
    <w:rsid w:val="000F51CA"/>
    <w:rsid w:val="000F51F3"/>
    <w:rsid w:val="000F558E"/>
    <w:rsid w:val="000F5592"/>
    <w:rsid w:val="000F563F"/>
    <w:rsid w:val="000F5727"/>
    <w:rsid w:val="000F5739"/>
    <w:rsid w:val="000F57D9"/>
    <w:rsid w:val="000F5830"/>
    <w:rsid w:val="000F58E6"/>
    <w:rsid w:val="000F598A"/>
    <w:rsid w:val="000F59C2"/>
    <w:rsid w:val="000F5A90"/>
    <w:rsid w:val="000F5C93"/>
    <w:rsid w:val="000F5DBA"/>
    <w:rsid w:val="000F5E6D"/>
    <w:rsid w:val="000F5FD9"/>
    <w:rsid w:val="000F603B"/>
    <w:rsid w:val="000F60B5"/>
    <w:rsid w:val="000F60C3"/>
    <w:rsid w:val="000F61E7"/>
    <w:rsid w:val="000F6340"/>
    <w:rsid w:val="000F6403"/>
    <w:rsid w:val="000F64B1"/>
    <w:rsid w:val="000F64B3"/>
    <w:rsid w:val="000F64C6"/>
    <w:rsid w:val="000F653B"/>
    <w:rsid w:val="000F653E"/>
    <w:rsid w:val="000F66D5"/>
    <w:rsid w:val="000F66FB"/>
    <w:rsid w:val="000F67F1"/>
    <w:rsid w:val="000F688A"/>
    <w:rsid w:val="000F69A3"/>
    <w:rsid w:val="000F6A93"/>
    <w:rsid w:val="000F6BDC"/>
    <w:rsid w:val="000F6C11"/>
    <w:rsid w:val="000F6C7F"/>
    <w:rsid w:val="000F6CAF"/>
    <w:rsid w:val="000F6CD2"/>
    <w:rsid w:val="000F6CF3"/>
    <w:rsid w:val="000F6FB4"/>
    <w:rsid w:val="000F7083"/>
    <w:rsid w:val="000F70DA"/>
    <w:rsid w:val="000F70E7"/>
    <w:rsid w:val="000F70FF"/>
    <w:rsid w:val="000F7266"/>
    <w:rsid w:val="000F729E"/>
    <w:rsid w:val="000F72C7"/>
    <w:rsid w:val="000F733B"/>
    <w:rsid w:val="000F734E"/>
    <w:rsid w:val="000F738B"/>
    <w:rsid w:val="000F7399"/>
    <w:rsid w:val="000F74BE"/>
    <w:rsid w:val="000F74E6"/>
    <w:rsid w:val="000F75D1"/>
    <w:rsid w:val="000F75DA"/>
    <w:rsid w:val="000F771A"/>
    <w:rsid w:val="000F77BF"/>
    <w:rsid w:val="000F7894"/>
    <w:rsid w:val="000F789C"/>
    <w:rsid w:val="000F79B2"/>
    <w:rsid w:val="000F7A07"/>
    <w:rsid w:val="000F7A22"/>
    <w:rsid w:val="000F7A56"/>
    <w:rsid w:val="000F7AC4"/>
    <w:rsid w:val="000F7B45"/>
    <w:rsid w:val="000F7C5F"/>
    <w:rsid w:val="000F7E1E"/>
    <w:rsid w:val="00100004"/>
    <w:rsid w:val="00100008"/>
    <w:rsid w:val="00100039"/>
    <w:rsid w:val="0010003B"/>
    <w:rsid w:val="00100113"/>
    <w:rsid w:val="00100136"/>
    <w:rsid w:val="00100140"/>
    <w:rsid w:val="00100231"/>
    <w:rsid w:val="00100244"/>
    <w:rsid w:val="00100266"/>
    <w:rsid w:val="00100339"/>
    <w:rsid w:val="00100408"/>
    <w:rsid w:val="0010042D"/>
    <w:rsid w:val="001004D8"/>
    <w:rsid w:val="0010055D"/>
    <w:rsid w:val="00100631"/>
    <w:rsid w:val="00100659"/>
    <w:rsid w:val="0010066B"/>
    <w:rsid w:val="0010073C"/>
    <w:rsid w:val="00100818"/>
    <w:rsid w:val="00100838"/>
    <w:rsid w:val="001009C5"/>
    <w:rsid w:val="00100A1A"/>
    <w:rsid w:val="00100C0A"/>
    <w:rsid w:val="00100E1B"/>
    <w:rsid w:val="00100E82"/>
    <w:rsid w:val="00100EB9"/>
    <w:rsid w:val="00100F49"/>
    <w:rsid w:val="00100F98"/>
    <w:rsid w:val="00100FA8"/>
    <w:rsid w:val="0010103E"/>
    <w:rsid w:val="0010106C"/>
    <w:rsid w:val="0010107E"/>
    <w:rsid w:val="001010A9"/>
    <w:rsid w:val="001010BB"/>
    <w:rsid w:val="001010DE"/>
    <w:rsid w:val="00101107"/>
    <w:rsid w:val="001011EB"/>
    <w:rsid w:val="00101248"/>
    <w:rsid w:val="00101265"/>
    <w:rsid w:val="001012E4"/>
    <w:rsid w:val="00101350"/>
    <w:rsid w:val="001013C5"/>
    <w:rsid w:val="001014C4"/>
    <w:rsid w:val="001014EB"/>
    <w:rsid w:val="0010159E"/>
    <w:rsid w:val="001015D3"/>
    <w:rsid w:val="00101659"/>
    <w:rsid w:val="00101742"/>
    <w:rsid w:val="00101861"/>
    <w:rsid w:val="00101884"/>
    <w:rsid w:val="00101893"/>
    <w:rsid w:val="00101984"/>
    <w:rsid w:val="0010198E"/>
    <w:rsid w:val="0010199C"/>
    <w:rsid w:val="00101A79"/>
    <w:rsid w:val="00101ABA"/>
    <w:rsid w:val="00101AE8"/>
    <w:rsid w:val="00101C0C"/>
    <w:rsid w:val="00101CF4"/>
    <w:rsid w:val="001021D5"/>
    <w:rsid w:val="001021F5"/>
    <w:rsid w:val="001022FD"/>
    <w:rsid w:val="00102340"/>
    <w:rsid w:val="001023DC"/>
    <w:rsid w:val="00102556"/>
    <w:rsid w:val="001025B8"/>
    <w:rsid w:val="001025E7"/>
    <w:rsid w:val="001026B1"/>
    <w:rsid w:val="00102736"/>
    <w:rsid w:val="00102753"/>
    <w:rsid w:val="00102834"/>
    <w:rsid w:val="0010290F"/>
    <w:rsid w:val="001029B4"/>
    <w:rsid w:val="001029DB"/>
    <w:rsid w:val="00102A1A"/>
    <w:rsid w:val="00102A2B"/>
    <w:rsid w:val="00102AF1"/>
    <w:rsid w:val="00102AF9"/>
    <w:rsid w:val="00102B24"/>
    <w:rsid w:val="00102C2D"/>
    <w:rsid w:val="00102DED"/>
    <w:rsid w:val="00102EFC"/>
    <w:rsid w:val="00103007"/>
    <w:rsid w:val="00103076"/>
    <w:rsid w:val="0010353D"/>
    <w:rsid w:val="001035D5"/>
    <w:rsid w:val="0010370B"/>
    <w:rsid w:val="00103717"/>
    <w:rsid w:val="001039E0"/>
    <w:rsid w:val="00103A72"/>
    <w:rsid w:val="00103AD9"/>
    <w:rsid w:val="00103B28"/>
    <w:rsid w:val="00103C00"/>
    <w:rsid w:val="00103D14"/>
    <w:rsid w:val="00103D31"/>
    <w:rsid w:val="00103E10"/>
    <w:rsid w:val="00103E76"/>
    <w:rsid w:val="0010404A"/>
    <w:rsid w:val="001040E4"/>
    <w:rsid w:val="001041DE"/>
    <w:rsid w:val="00104333"/>
    <w:rsid w:val="0010439B"/>
    <w:rsid w:val="001043F3"/>
    <w:rsid w:val="001045E1"/>
    <w:rsid w:val="001046B6"/>
    <w:rsid w:val="00104769"/>
    <w:rsid w:val="001047BA"/>
    <w:rsid w:val="001047FB"/>
    <w:rsid w:val="00104B2E"/>
    <w:rsid w:val="00104B97"/>
    <w:rsid w:val="00104C04"/>
    <w:rsid w:val="00104C1E"/>
    <w:rsid w:val="00104C22"/>
    <w:rsid w:val="00104DC2"/>
    <w:rsid w:val="00104DE4"/>
    <w:rsid w:val="00104E58"/>
    <w:rsid w:val="00104F63"/>
    <w:rsid w:val="00104F76"/>
    <w:rsid w:val="00104F88"/>
    <w:rsid w:val="00104FB8"/>
    <w:rsid w:val="00105003"/>
    <w:rsid w:val="001050B6"/>
    <w:rsid w:val="00105187"/>
    <w:rsid w:val="001051C3"/>
    <w:rsid w:val="00105296"/>
    <w:rsid w:val="00105310"/>
    <w:rsid w:val="001054FD"/>
    <w:rsid w:val="0010553F"/>
    <w:rsid w:val="00105566"/>
    <w:rsid w:val="001056F3"/>
    <w:rsid w:val="00105993"/>
    <w:rsid w:val="001059C8"/>
    <w:rsid w:val="00105B71"/>
    <w:rsid w:val="00105BCD"/>
    <w:rsid w:val="00105CC5"/>
    <w:rsid w:val="00105CCA"/>
    <w:rsid w:val="00105D49"/>
    <w:rsid w:val="00105D8A"/>
    <w:rsid w:val="00105DEC"/>
    <w:rsid w:val="00105E5A"/>
    <w:rsid w:val="00105F3D"/>
    <w:rsid w:val="00105FC4"/>
    <w:rsid w:val="0010604F"/>
    <w:rsid w:val="00106057"/>
    <w:rsid w:val="00106134"/>
    <w:rsid w:val="0010613B"/>
    <w:rsid w:val="00106251"/>
    <w:rsid w:val="00106323"/>
    <w:rsid w:val="00106324"/>
    <w:rsid w:val="001063B0"/>
    <w:rsid w:val="00106429"/>
    <w:rsid w:val="0010642A"/>
    <w:rsid w:val="0010642D"/>
    <w:rsid w:val="001064EA"/>
    <w:rsid w:val="00106694"/>
    <w:rsid w:val="001066FC"/>
    <w:rsid w:val="00106733"/>
    <w:rsid w:val="0010689B"/>
    <w:rsid w:val="001069E6"/>
    <w:rsid w:val="00106A91"/>
    <w:rsid w:val="00106AED"/>
    <w:rsid w:val="00106BFE"/>
    <w:rsid w:val="00106C28"/>
    <w:rsid w:val="00106D14"/>
    <w:rsid w:val="00106E15"/>
    <w:rsid w:val="00106E8B"/>
    <w:rsid w:val="00106EC1"/>
    <w:rsid w:val="00106EF9"/>
    <w:rsid w:val="001071A8"/>
    <w:rsid w:val="00107223"/>
    <w:rsid w:val="0010724C"/>
    <w:rsid w:val="001072A4"/>
    <w:rsid w:val="001072AB"/>
    <w:rsid w:val="001073DB"/>
    <w:rsid w:val="0010758F"/>
    <w:rsid w:val="001075B1"/>
    <w:rsid w:val="001075BB"/>
    <w:rsid w:val="00107635"/>
    <w:rsid w:val="00107667"/>
    <w:rsid w:val="00107685"/>
    <w:rsid w:val="00107699"/>
    <w:rsid w:val="00107712"/>
    <w:rsid w:val="001077D5"/>
    <w:rsid w:val="00107907"/>
    <w:rsid w:val="001079B1"/>
    <w:rsid w:val="00107B54"/>
    <w:rsid w:val="00107B73"/>
    <w:rsid w:val="00107D01"/>
    <w:rsid w:val="00107DFC"/>
    <w:rsid w:val="00107F84"/>
    <w:rsid w:val="00107F96"/>
    <w:rsid w:val="00107FBC"/>
    <w:rsid w:val="001100B2"/>
    <w:rsid w:val="001100D0"/>
    <w:rsid w:val="00110128"/>
    <w:rsid w:val="00110200"/>
    <w:rsid w:val="00110235"/>
    <w:rsid w:val="001104B2"/>
    <w:rsid w:val="0011059A"/>
    <w:rsid w:val="001105B3"/>
    <w:rsid w:val="0011073E"/>
    <w:rsid w:val="0011077D"/>
    <w:rsid w:val="001107AB"/>
    <w:rsid w:val="001108CB"/>
    <w:rsid w:val="00110A58"/>
    <w:rsid w:val="00110B2B"/>
    <w:rsid w:val="00110C64"/>
    <w:rsid w:val="00110CAA"/>
    <w:rsid w:val="00110CC0"/>
    <w:rsid w:val="00110CF0"/>
    <w:rsid w:val="00110D84"/>
    <w:rsid w:val="00110DC1"/>
    <w:rsid w:val="00110DDE"/>
    <w:rsid w:val="00110F4D"/>
    <w:rsid w:val="00110FCF"/>
    <w:rsid w:val="0011102A"/>
    <w:rsid w:val="001110E0"/>
    <w:rsid w:val="0011119F"/>
    <w:rsid w:val="00111248"/>
    <w:rsid w:val="001112A9"/>
    <w:rsid w:val="0011159A"/>
    <w:rsid w:val="0011165E"/>
    <w:rsid w:val="0011174D"/>
    <w:rsid w:val="0011185D"/>
    <w:rsid w:val="001119C1"/>
    <w:rsid w:val="001119D0"/>
    <w:rsid w:val="001119E7"/>
    <w:rsid w:val="00111BD7"/>
    <w:rsid w:val="00111C20"/>
    <w:rsid w:val="00111DF3"/>
    <w:rsid w:val="00111EA8"/>
    <w:rsid w:val="00111F38"/>
    <w:rsid w:val="00112005"/>
    <w:rsid w:val="00112028"/>
    <w:rsid w:val="001121C0"/>
    <w:rsid w:val="001121F9"/>
    <w:rsid w:val="00112247"/>
    <w:rsid w:val="0011231A"/>
    <w:rsid w:val="00112354"/>
    <w:rsid w:val="00112362"/>
    <w:rsid w:val="001124C2"/>
    <w:rsid w:val="0011251F"/>
    <w:rsid w:val="001125CF"/>
    <w:rsid w:val="001126D6"/>
    <w:rsid w:val="00112710"/>
    <w:rsid w:val="0011273E"/>
    <w:rsid w:val="00112780"/>
    <w:rsid w:val="001127CB"/>
    <w:rsid w:val="00112986"/>
    <w:rsid w:val="00112A67"/>
    <w:rsid w:val="00112C52"/>
    <w:rsid w:val="00112F25"/>
    <w:rsid w:val="00112F9D"/>
    <w:rsid w:val="00113017"/>
    <w:rsid w:val="0011306A"/>
    <w:rsid w:val="0011306E"/>
    <w:rsid w:val="001130E8"/>
    <w:rsid w:val="00113397"/>
    <w:rsid w:val="0011345A"/>
    <w:rsid w:val="00113475"/>
    <w:rsid w:val="001136E2"/>
    <w:rsid w:val="001136E4"/>
    <w:rsid w:val="0011383E"/>
    <w:rsid w:val="001138FB"/>
    <w:rsid w:val="001139B0"/>
    <w:rsid w:val="001139F8"/>
    <w:rsid w:val="00113A1F"/>
    <w:rsid w:val="00113A39"/>
    <w:rsid w:val="00113B19"/>
    <w:rsid w:val="00113D96"/>
    <w:rsid w:val="00113DA7"/>
    <w:rsid w:val="00113E89"/>
    <w:rsid w:val="00113EC3"/>
    <w:rsid w:val="00113F51"/>
    <w:rsid w:val="00114088"/>
    <w:rsid w:val="001140FD"/>
    <w:rsid w:val="00114121"/>
    <w:rsid w:val="00114156"/>
    <w:rsid w:val="00114158"/>
    <w:rsid w:val="001141CE"/>
    <w:rsid w:val="00114317"/>
    <w:rsid w:val="00114367"/>
    <w:rsid w:val="00114475"/>
    <w:rsid w:val="00114559"/>
    <w:rsid w:val="0011463D"/>
    <w:rsid w:val="001146B4"/>
    <w:rsid w:val="00114772"/>
    <w:rsid w:val="001147CD"/>
    <w:rsid w:val="001147F0"/>
    <w:rsid w:val="00114890"/>
    <w:rsid w:val="001149AB"/>
    <w:rsid w:val="00114B37"/>
    <w:rsid w:val="00114B66"/>
    <w:rsid w:val="00114BD9"/>
    <w:rsid w:val="00114C89"/>
    <w:rsid w:val="00114CC7"/>
    <w:rsid w:val="00114CF7"/>
    <w:rsid w:val="00114D92"/>
    <w:rsid w:val="00114D94"/>
    <w:rsid w:val="00114DCF"/>
    <w:rsid w:val="00114E71"/>
    <w:rsid w:val="00114EC8"/>
    <w:rsid w:val="00114F5F"/>
    <w:rsid w:val="00114F93"/>
    <w:rsid w:val="00115011"/>
    <w:rsid w:val="001150FF"/>
    <w:rsid w:val="00115179"/>
    <w:rsid w:val="00115180"/>
    <w:rsid w:val="00115272"/>
    <w:rsid w:val="00115320"/>
    <w:rsid w:val="00115462"/>
    <w:rsid w:val="00115493"/>
    <w:rsid w:val="001154F2"/>
    <w:rsid w:val="001155E4"/>
    <w:rsid w:val="0011563F"/>
    <w:rsid w:val="001156DC"/>
    <w:rsid w:val="001156ED"/>
    <w:rsid w:val="0011571B"/>
    <w:rsid w:val="00115731"/>
    <w:rsid w:val="00115733"/>
    <w:rsid w:val="00115767"/>
    <w:rsid w:val="0011578C"/>
    <w:rsid w:val="001157E3"/>
    <w:rsid w:val="00115955"/>
    <w:rsid w:val="00115986"/>
    <w:rsid w:val="0011598B"/>
    <w:rsid w:val="00115AFB"/>
    <w:rsid w:val="00115B07"/>
    <w:rsid w:val="00115BCA"/>
    <w:rsid w:val="00115D2C"/>
    <w:rsid w:val="00115FB5"/>
    <w:rsid w:val="0011600F"/>
    <w:rsid w:val="00116054"/>
    <w:rsid w:val="0011613A"/>
    <w:rsid w:val="0011615F"/>
    <w:rsid w:val="001162F8"/>
    <w:rsid w:val="00116373"/>
    <w:rsid w:val="0011638A"/>
    <w:rsid w:val="00116486"/>
    <w:rsid w:val="00116639"/>
    <w:rsid w:val="00116659"/>
    <w:rsid w:val="00116683"/>
    <w:rsid w:val="00116692"/>
    <w:rsid w:val="00116769"/>
    <w:rsid w:val="001167ED"/>
    <w:rsid w:val="001168AC"/>
    <w:rsid w:val="001168D6"/>
    <w:rsid w:val="001168DA"/>
    <w:rsid w:val="0011695C"/>
    <w:rsid w:val="00116B76"/>
    <w:rsid w:val="00116C0B"/>
    <w:rsid w:val="00116DD0"/>
    <w:rsid w:val="00116F06"/>
    <w:rsid w:val="00116F93"/>
    <w:rsid w:val="00116FAE"/>
    <w:rsid w:val="00117029"/>
    <w:rsid w:val="00117108"/>
    <w:rsid w:val="0011733B"/>
    <w:rsid w:val="001174C0"/>
    <w:rsid w:val="001175D6"/>
    <w:rsid w:val="001175DD"/>
    <w:rsid w:val="001175ED"/>
    <w:rsid w:val="001177C7"/>
    <w:rsid w:val="00117989"/>
    <w:rsid w:val="00117CE6"/>
    <w:rsid w:val="00117D38"/>
    <w:rsid w:val="00117FC8"/>
    <w:rsid w:val="00120004"/>
    <w:rsid w:val="001200B8"/>
    <w:rsid w:val="00120126"/>
    <w:rsid w:val="00120191"/>
    <w:rsid w:val="0012023B"/>
    <w:rsid w:val="0012023F"/>
    <w:rsid w:val="00120277"/>
    <w:rsid w:val="001202E1"/>
    <w:rsid w:val="001203D8"/>
    <w:rsid w:val="00120451"/>
    <w:rsid w:val="001204CE"/>
    <w:rsid w:val="00120580"/>
    <w:rsid w:val="001205DC"/>
    <w:rsid w:val="00120603"/>
    <w:rsid w:val="00120645"/>
    <w:rsid w:val="001206FF"/>
    <w:rsid w:val="001208A2"/>
    <w:rsid w:val="001208F6"/>
    <w:rsid w:val="001209EF"/>
    <w:rsid w:val="00120A54"/>
    <w:rsid w:val="00120A78"/>
    <w:rsid w:val="00120AD6"/>
    <w:rsid w:val="00120B37"/>
    <w:rsid w:val="00120BAB"/>
    <w:rsid w:val="00120CD2"/>
    <w:rsid w:val="00120E41"/>
    <w:rsid w:val="00120ED3"/>
    <w:rsid w:val="00121005"/>
    <w:rsid w:val="00121101"/>
    <w:rsid w:val="0012111F"/>
    <w:rsid w:val="0012112B"/>
    <w:rsid w:val="00121130"/>
    <w:rsid w:val="00121198"/>
    <w:rsid w:val="00121263"/>
    <w:rsid w:val="00121327"/>
    <w:rsid w:val="001213E3"/>
    <w:rsid w:val="00121476"/>
    <w:rsid w:val="0012152C"/>
    <w:rsid w:val="0012157E"/>
    <w:rsid w:val="00121645"/>
    <w:rsid w:val="001216BD"/>
    <w:rsid w:val="001216E0"/>
    <w:rsid w:val="001216F5"/>
    <w:rsid w:val="001217D2"/>
    <w:rsid w:val="00121844"/>
    <w:rsid w:val="0012195D"/>
    <w:rsid w:val="00121970"/>
    <w:rsid w:val="001219D9"/>
    <w:rsid w:val="00121A00"/>
    <w:rsid w:val="00121C01"/>
    <w:rsid w:val="00121C65"/>
    <w:rsid w:val="00121CE2"/>
    <w:rsid w:val="00121D6C"/>
    <w:rsid w:val="00121DB4"/>
    <w:rsid w:val="00121F44"/>
    <w:rsid w:val="00121F62"/>
    <w:rsid w:val="00122036"/>
    <w:rsid w:val="001220DF"/>
    <w:rsid w:val="001220E5"/>
    <w:rsid w:val="001221D1"/>
    <w:rsid w:val="001223E8"/>
    <w:rsid w:val="0012245F"/>
    <w:rsid w:val="001224E4"/>
    <w:rsid w:val="0012255D"/>
    <w:rsid w:val="00122575"/>
    <w:rsid w:val="00122700"/>
    <w:rsid w:val="001227C0"/>
    <w:rsid w:val="00122803"/>
    <w:rsid w:val="001228B8"/>
    <w:rsid w:val="001228BE"/>
    <w:rsid w:val="001228DF"/>
    <w:rsid w:val="00122938"/>
    <w:rsid w:val="00122B00"/>
    <w:rsid w:val="00122B02"/>
    <w:rsid w:val="00122B14"/>
    <w:rsid w:val="00122C68"/>
    <w:rsid w:val="00122CEB"/>
    <w:rsid w:val="00122D84"/>
    <w:rsid w:val="00122DB5"/>
    <w:rsid w:val="00122E31"/>
    <w:rsid w:val="00122E93"/>
    <w:rsid w:val="00122F23"/>
    <w:rsid w:val="00122F44"/>
    <w:rsid w:val="00122F93"/>
    <w:rsid w:val="001230AF"/>
    <w:rsid w:val="00123129"/>
    <w:rsid w:val="0012314D"/>
    <w:rsid w:val="001231A0"/>
    <w:rsid w:val="00123409"/>
    <w:rsid w:val="00123432"/>
    <w:rsid w:val="001234A9"/>
    <w:rsid w:val="001234D0"/>
    <w:rsid w:val="001234ED"/>
    <w:rsid w:val="00123614"/>
    <w:rsid w:val="001236E4"/>
    <w:rsid w:val="001238DF"/>
    <w:rsid w:val="0012392A"/>
    <w:rsid w:val="00123A7C"/>
    <w:rsid w:val="00123AA1"/>
    <w:rsid w:val="00123ACE"/>
    <w:rsid w:val="00123B2B"/>
    <w:rsid w:val="00123BC4"/>
    <w:rsid w:val="00123BDD"/>
    <w:rsid w:val="00123C9E"/>
    <w:rsid w:val="00123CA9"/>
    <w:rsid w:val="00123CBA"/>
    <w:rsid w:val="00123D6F"/>
    <w:rsid w:val="00123DB3"/>
    <w:rsid w:val="00123F24"/>
    <w:rsid w:val="00124084"/>
    <w:rsid w:val="001240CE"/>
    <w:rsid w:val="001242DF"/>
    <w:rsid w:val="001242EA"/>
    <w:rsid w:val="0012430F"/>
    <w:rsid w:val="00124343"/>
    <w:rsid w:val="00124564"/>
    <w:rsid w:val="00124640"/>
    <w:rsid w:val="00124671"/>
    <w:rsid w:val="00124712"/>
    <w:rsid w:val="00124832"/>
    <w:rsid w:val="001248E6"/>
    <w:rsid w:val="00124945"/>
    <w:rsid w:val="00124999"/>
    <w:rsid w:val="001249A2"/>
    <w:rsid w:val="00124A06"/>
    <w:rsid w:val="00124A1D"/>
    <w:rsid w:val="00124A60"/>
    <w:rsid w:val="00124AF6"/>
    <w:rsid w:val="00124C66"/>
    <w:rsid w:val="00124C9B"/>
    <w:rsid w:val="00124CAE"/>
    <w:rsid w:val="00124CEC"/>
    <w:rsid w:val="00124DE6"/>
    <w:rsid w:val="00124E82"/>
    <w:rsid w:val="00124E95"/>
    <w:rsid w:val="00124ECF"/>
    <w:rsid w:val="00124EDD"/>
    <w:rsid w:val="00124EF8"/>
    <w:rsid w:val="00124F15"/>
    <w:rsid w:val="00124F25"/>
    <w:rsid w:val="00124F57"/>
    <w:rsid w:val="0012504A"/>
    <w:rsid w:val="00125096"/>
    <w:rsid w:val="00125107"/>
    <w:rsid w:val="00125283"/>
    <w:rsid w:val="001255D9"/>
    <w:rsid w:val="0012561D"/>
    <w:rsid w:val="00125633"/>
    <w:rsid w:val="001256D7"/>
    <w:rsid w:val="0012574A"/>
    <w:rsid w:val="0012579D"/>
    <w:rsid w:val="001257E5"/>
    <w:rsid w:val="001258F5"/>
    <w:rsid w:val="0012595B"/>
    <w:rsid w:val="00125AB0"/>
    <w:rsid w:val="00125AF3"/>
    <w:rsid w:val="00125B45"/>
    <w:rsid w:val="00125B54"/>
    <w:rsid w:val="00125B8A"/>
    <w:rsid w:val="00125B9F"/>
    <w:rsid w:val="00125C4A"/>
    <w:rsid w:val="00125C55"/>
    <w:rsid w:val="00125C78"/>
    <w:rsid w:val="00125C9C"/>
    <w:rsid w:val="00125CDA"/>
    <w:rsid w:val="00125D9A"/>
    <w:rsid w:val="00125DA4"/>
    <w:rsid w:val="00125E31"/>
    <w:rsid w:val="00126038"/>
    <w:rsid w:val="00126066"/>
    <w:rsid w:val="001260F0"/>
    <w:rsid w:val="00126206"/>
    <w:rsid w:val="00126211"/>
    <w:rsid w:val="001262E4"/>
    <w:rsid w:val="00126322"/>
    <w:rsid w:val="0012642C"/>
    <w:rsid w:val="00126503"/>
    <w:rsid w:val="0012656C"/>
    <w:rsid w:val="001265DD"/>
    <w:rsid w:val="001265F3"/>
    <w:rsid w:val="001266C5"/>
    <w:rsid w:val="00126732"/>
    <w:rsid w:val="0012677F"/>
    <w:rsid w:val="001268F3"/>
    <w:rsid w:val="00126A23"/>
    <w:rsid w:val="00126A42"/>
    <w:rsid w:val="00126A64"/>
    <w:rsid w:val="00126BF3"/>
    <w:rsid w:val="00126C2E"/>
    <w:rsid w:val="00126C7B"/>
    <w:rsid w:val="00126E54"/>
    <w:rsid w:val="00126F1E"/>
    <w:rsid w:val="00126F2D"/>
    <w:rsid w:val="001270AD"/>
    <w:rsid w:val="0012713F"/>
    <w:rsid w:val="0012717F"/>
    <w:rsid w:val="00127312"/>
    <w:rsid w:val="00127346"/>
    <w:rsid w:val="00127478"/>
    <w:rsid w:val="00127640"/>
    <w:rsid w:val="00127651"/>
    <w:rsid w:val="00127788"/>
    <w:rsid w:val="00127867"/>
    <w:rsid w:val="00127906"/>
    <w:rsid w:val="001279B9"/>
    <w:rsid w:val="00127ADD"/>
    <w:rsid w:val="00127B65"/>
    <w:rsid w:val="00127BB3"/>
    <w:rsid w:val="00127C93"/>
    <w:rsid w:val="00127DCC"/>
    <w:rsid w:val="00127DEB"/>
    <w:rsid w:val="00127F09"/>
    <w:rsid w:val="00127F38"/>
    <w:rsid w:val="00127F51"/>
    <w:rsid w:val="00130045"/>
    <w:rsid w:val="001300C3"/>
    <w:rsid w:val="001301E4"/>
    <w:rsid w:val="00130212"/>
    <w:rsid w:val="00130245"/>
    <w:rsid w:val="00130257"/>
    <w:rsid w:val="00130270"/>
    <w:rsid w:val="0013043C"/>
    <w:rsid w:val="00130459"/>
    <w:rsid w:val="00130494"/>
    <w:rsid w:val="001304C9"/>
    <w:rsid w:val="001304E2"/>
    <w:rsid w:val="0013060F"/>
    <w:rsid w:val="001306D7"/>
    <w:rsid w:val="001308FD"/>
    <w:rsid w:val="00130920"/>
    <w:rsid w:val="001309E3"/>
    <w:rsid w:val="00130A42"/>
    <w:rsid w:val="00130BDE"/>
    <w:rsid w:val="00130C55"/>
    <w:rsid w:val="00130CC0"/>
    <w:rsid w:val="00130CCE"/>
    <w:rsid w:val="00130DF2"/>
    <w:rsid w:val="00130E3E"/>
    <w:rsid w:val="00131052"/>
    <w:rsid w:val="001311BC"/>
    <w:rsid w:val="001311E8"/>
    <w:rsid w:val="001313B9"/>
    <w:rsid w:val="001313C6"/>
    <w:rsid w:val="00131447"/>
    <w:rsid w:val="001314BA"/>
    <w:rsid w:val="0013157B"/>
    <w:rsid w:val="0013158A"/>
    <w:rsid w:val="001315CA"/>
    <w:rsid w:val="00131600"/>
    <w:rsid w:val="00131653"/>
    <w:rsid w:val="0013174B"/>
    <w:rsid w:val="001317AB"/>
    <w:rsid w:val="0013181E"/>
    <w:rsid w:val="00131884"/>
    <w:rsid w:val="0013196C"/>
    <w:rsid w:val="00131AA7"/>
    <w:rsid w:val="00131B2B"/>
    <w:rsid w:val="00131B39"/>
    <w:rsid w:val="00131B89"/>
    <w:rsid w:val="00131C37"/>
    <w:rsid w:val="00131D12"/>
    <w:rsid w:val="00131D41"/>
    <w:rsid w:val="00131E08"/>
    <w:rsid w:val="00131E7B"/>
    <w:rsid w:val="00131EE6"/>
    <w:rsid w:val="00132070"/>
    <w:rsid w:val="00132130"/>
    <w:rsid w:val="00132160"/>
    <w:rsid w:val="00132210"/>
    <w:rsid w:val="00132236"/>
    <w:rsid w:val="0013240E"/>
    <w:rsid w:val="00132481"/>
    <w:rsid w:val="00132595"/>
    <w:rsid w:val="001325A7"/>
    <w:rsid w:val="001325B0"/>
    <w:rsid w:val="0013264A"/>
    <w:rsid w:val="0013268F"/>
    <w:rsid w:val="001326EC"/>
    <w:rsid w:val="00132717"/>
    <w:rsid w:val="00132749"/>
    <w:rsid w:val="001327B9"/>
    <w:rsid w:val="0013282B"/>
    <w:rsid w:val="00132858"/>
    <w:rsid w:val="00132859"/>
    <w:rsid w:val="0013288F"/>
    <w:rsid w:val="0013289E"/>
    <w:rsid w:val="001328F1"/>
    <w:rsid w:val="001329E1"/>
    <w:rsid w:val="00132ACD"/>
    <w:rsid w:val="00132AEA"/>
    <w:rsid w:val="00132AEC"/>
    <w:rsid w:val="00132B24"/>
    <w:rsid w:val="00132B4F"/>
    <w:rsid w:val="00132BEE"/>
    <w:rsid w:val="00132C6F"/>
    <w:rsid w:val="00132D57"/>
    <w:rsid w:val="00132D9E"/>
    <w:rsid w:val="00132E23"/>
    <w:rsid w:val="00132E77"/>
    <w:rsid w:val="00132F47"/>
    <w:rsid w:val="00132F73"/>
    <w:rsid w:val="00132F88"/>
    <w:rsid w:val="00132FE7"/>
    <w:rsid w:val="00132FEE"/>
    <w:rsid w:val="00132FF2"/>
    <w:rsid w:val="001330AA"/>
    <w:rsid w:val="00133300"/>
    <w:rsid w:val="001333E5"/>
    <w:rsid w:val="00133407"/>
    <w:rsid w:val="0013342D"/>
    <w:rsid w:val="001334E6"/>
    <w:rsid w:val="001335E6"/>
    <w:rsid w:val="001336C4"/>
    <w:rsid w:val="0013381A"/>
    <w:rsid w:val="00133859"/>
    <w:rsid w:val="0013390A"/>
    <w:rsid w:val="0013397F"/>
    <w:rsid w:val="00133A5A"/>
    <w:rsid w:val="00133ACD"/>
    <w:rsid w:val="00133B34"/>
    <w:rsid w:val="00133B4E"/>
    <w:rsid w:val="00133B8A"/>
    <w:rsid w:val="00133BE8"/>
    <w:rsid w:val="00133DB0"/>
    <w:rsid w:val="00133E04"/>
    <w:rsid w:val="00133E60"/>
    <w:rsid w:val="00133E70"/>
    <w:rsid w:val="00133E90"/>
    <w:rsid w:val="00133E9D"/>
    <w:rsid w:val="001340D1"/>
    <w:rsid w:val="001340E9"/>
    <w:rsid w:val="00134293"/>
    <w:rsid w:val="00134297"/>
    <w:rsid w:val="0013436F"/>
    <w:rsid w:val="001343BA"/>
    <w:rsid w:val="00134411"/>
    <w:rsid w:val="0013449B"/>
    <w:rsid w:val="001344D3"/>
    <w:rsid w:val="00134592"/>
    <w:rsid w:val="0013461F"/>
    <w:rsid w:val="001346E0"/>
    <w:rsid w:val="001347A8"/>
    <w:rsid w:val="001348A9"/>
    <w:rsid w:val="001348D6"/>
    <w:rsid w:val="00134A28"/>
    <w:rsid w:val="00134ADB"/>
    <w:rsid w:val="00134B53"/>
    <w:rsid w:val="00134BB0"/>
    <w:rsid w:val="00134CCB"/>
    <w:rsid w:val="00134D97"/>
    <w:rsid w:val="00134E4C"/>
    <w:rsid w:val="00134EBB"/>
    <w:rsid w:val="00134F41"/>
    <w:rsid w:val="00135071"/>
    <w:rsid w:val="001350D1"/>
    <w:rsid w:val="00135145"/>
    <w:rsid w:val="00135146"/>
    <w:rsid w:val="00135183"/>
    <w:rsid w:val="001351D5"/>
    <w:rsid w:val="00135218"/>
    <w:rsid w:val="00135241"/>
    <w:rsid w:val="00135266"/>
    <w:rsid w:val="0013526C"/>
    <w:rsid w:val="001352C2"/>
    <w:rsid w:val="00135322"/>
    <w:rsid w:val="001353BB"/>
    <w:rsid w:val="0013544F"/>
    <w:rsid w:val="001354DC"/>
    <w:rsid w:val="00135545"/>
    <w:rsid w:val="001355C0"/>
    <w:rsid w:val="001355DB"/>
    <w:rsid w:val="00135609"/>
    <w:rsid w:val="00135611"/>
    <w:rsid w:val="001356CC"/>
    <w:rsid w:val="001357AB"/>
    <w:rsid w:val="00135911"/>
    <w:rsid w:val="00135A74"/>
    <w:rsid w:val="00135B1B"/>
    <w:rsid w:val="00135B1C"/>
    <w:rsid w:val="00135B36"/>
    <w:rsid w:val="00135BE3"/>
    <w:rsid w:val="00135D56"/>
    <w:rsid w:val="00135F21"/>
    <w:rsid w:val="00135F2D"/>
    <w:rsid w:val="00135FDC"/>
    <w:rsid w:val="00136080"/>
    <w:rsid w:val="0013609B"/>
    <w:rsid w:val="001360E9"/>
    <w:rsid w:val="00136176"/>
    <w:rsid w:val="00136297"/>
    <w:rsid w:val="001362FD"/>
    <w:rsid w:val="001363F5"/>
    <w:rsid w:val="00136421"/>
    <w:rsid w:val="0013642A"/>
    <w:rsid w:val="00136438"/>
    <w:rsid w:val="0013649D"/>
    <w:rsid w:val="00136501"/>
    <w:rsid w:val="00136525"/>
    <w:rsid w:val="00136563"/>
    <w:rsid w:val="001365A1"/>
    <w:rsid w:val="001365AE"/>
    <w:rsid w:val="001365BE"/>
    <w:rsid w:val="001365D0"/>
    <w:rsid w:val="001365D3"/>
    <w:rsid w:val="001365DB"/>
    <w:rsid w:val="001365F6"/>
    <w:rsid w:val="00136686"/>
    <w:rsid w:val="001366D4"/>
    <w:rsid w:val="0013677A"/>
    <w:rsid w:val="00136809"/>
    <w:rsid w:val="0013680B"/>
    <w:rsid w:val="00136861"/>
    <w:rsid w:val="00136949"/>
    <w:rsid w:val="001369DA"/>
    <w:rsid w:val="00136A60"/>
    <w:rsid w:val="00136AAC"/>
    <w:rsid w:val="00136B52"/>
    <w:rsid w:val="00136BF0"/>
    <w:rsid w:val="00136C21"/>
    <w:rsid w:val="00136C82"/>
    <w:rsid w:val="00136CC9"/>
    <w:rsid w:val="00136D1C"/>
    <w:rsid w:val="00136E6D"/>
    <w:rsid w:val="00136EAE"/>
    <w:rsid w:val="00136F0A"/>
    <w:rsid w:val="00136F6E"/>
    <w:rsid w:val="00136FF4"/>
    <w:rsid w:val="0013714C"/>
    <w:rsid w:val="001372D1"/>
    <w:rsid w:val="0013740F"/>
    <w:rsid w:val="001374EE"/>
    <w:rsid w:val="00137542"/>
    <w:rsid w:val="0013766A"/>
    <w:rsid w:val="001376AD"/>
    <w:rsid w:val="001376CD"/>
    <w:rsid w:val="0013782C"/>
    <w:rsid w:val="0013796E"/>
    <w:rsid w:val="00137A17"/>
    <w:rsid w:val="00137AD7"/>
    <w:rsid w:val="00137C29"/>
    <w:rsid w:val="00137C99"/>
    <w:rsid w:val="00137CA8"/>
    <w:rsid w:val="00137DAA"/>
    <w:rsid w:val="00137DDD"/>
    <w:rsid w:val="00137F29"/>
    <w:rsid w:val="00140085"/>
    <w:rsid w:val="001400F0"/>
    <w:rsid w:val="00140245"/>
    <w:rsid w:val="001402AE"/>
    <w:rsid w:val="001402F3"/>
    <w:rsid w:val="001402F4"/>
    <w:rsid w:val="0014038E"/>
    <w:rsid w:val="00140395"/>
    <w:rsid w:val="001403A8"/>
    <w:rsid w:val="001403BB"/>
    <w:rsid w:val="00140428"/>
    <w:rsid w:val="001405E5"/>
    <w:rsid w:val="00140687"/>
    <w:rsid w:val="001406B6"/>
    <w:rsid w:val="001406C0"/>
    <w:rsid w:val="001406FC"/>
    <w:rsid w:val="0014074A"/>
    <w:rsid w:val="0014078E"/>
    <w:rsid w:val="001407BF"/>
    <w:rsid w:val="0014080B"/>
    <w:rsid w:val="001409AD"/>
    <w:rsid w:val="00140A72"/>
    <w:rsid w:val="00140A83"/>
    <w:rsid w:val="00140AA6"/>
    <w:rsid w:val="00140CF7"/>
    <w:rsid w:val="00140D4D"/>
    <w:rsid w:val="00140E20"/>
    <w:rsid w:val="00140E63"/>
    <w:rsid w:val="00140F30"/>
    <w:rsid w:val="00141017"/>
    <w:rsid w:val="0014117E"/>
    <w:rsid w:val="001411FB"/>
    <w:rsid w:val="00141225"/>
    <w:rsid w:val="00141528"/>
    <w:rsid w:val="001415DE"/>
    <w:rsid w:val="001416F0"/>
    <w:rsid w:val="0014173C"/>
    <w:rsid w:val="001417EC"/>
    <w:rsid w:val="00141843"/>
    <w:rsid w:val="0014185E"/>
    <w:rsid w:val="001418E0"/>
    <w:rsid w:val="0014195D"/>
    <w:rsid w:val="001419E6"/>
    <w:rsid w:val="00141A47"/>
    <w:rsid w:val="00141A77"/>
    <w:rsid w:val="00141B96"/>
    <w:rsid w:val="00141BC2"/>
    <w:rsid w:val="00141C07"/>
    <w:rsid w:val="00141C1F"/>
    <w:rsid w:val="00141C7D"/>
    <w:rsid w:val="00141D10"/>
    <w:rsid w:val="00141D26"/>
    <w:rsid w:val="00141DC2"/>
    <w:rsid w:val="00141E2E"/>
    <w:rsid w:val="00141F13"/>
    <w:rsid w:val="00141F9D"/>
    <w:rsid w:val="00141FD6"/>
    <w:rsid w:val="001421AA"/>
    <w:rsid w:val="001421AF"/>
    <w:rsid w:val="001421D5"/>
    <w:rsid w:val="001421ED"/>
    <w:rsid w:val="001422E2"/>
    <w:rsid w:val="00142342"/>
    <w:rsid w:val="0014234A"/>
    <w:rsid w:val="00142378"/>
    <w:rsid w:val="001424BE"/>
    <w:rsid w:val="00142575"/>
    <w:rsid w:val="001425E5"/>
    <w:rsid w:val="001426B5"/>
    <w:rsid w:val="001429BA"/>
    <w:rsid w:val="001429F9"/>
    <w:rsid w:val="00142ABF"/>
    <w:rsid w:val="00142ACA"/>
    <w:rsid w:val="00142CC0"/>
    <w:rsid w:val="00142D15"/>
    <w:rsid w:val="00142E30"/>
    <w:rsid w:val="00142E87"/>
    <w:rsid w:val="001431B6"/>
    <w:rsid w:val="00143269"/>
    <w:rsid w:val="00143351"/>
    <w:rsid w:val="0014340D"/>
    <w:rsid w:val="00143442"/>
    <w:rsid w:val="00143474"/>
    <w:rsid w:val="001434EB"/>
    <w:rsid w:val="001434F0"/>
    <w:rsid w:val="00143607"/>
    <w:rsid w:val="00143617"/>
    <w:rsid w:val="0014365E"/>
    <w:rsid w:val="00143706"/>
    <w:rsid w:val="001437A0"/>
    <w:rsid w:val="0014390B"/>
    <w:rsid w:val="00143952"/>
    <w:rsid w:val="00143956"/>
    <w:rsid w:val="00143959"/>
    <w:rsid w:val="001439A0"/>
    <w:rsid w:val="001439BA"/>
    <w:rsid w:val="001439D7"/>
    <w:rsid w:val="00143B06"/>
    <w:rsid w:val="00143BC0"/>
    <w:rsid w:val="00143CA4"/>
    <w:rsid w:val="00143D05"/>
    <w:rsid w:val="00143F85"/>
    <w:rsid w:val="00143FA0"/>
    <w:rsid w:val="00143FCA"/>
    <w:rsid w:val="00144175"/>
    <w:rsid w:val="0014418F"/>
    <w:rsid w:val="00144367"/>
    <w:rsid w:val="0014448D"/>
    <w:rsid w:val="0014451A"/>
    <w:rsid w:val="00144540"/>
    <w:rsid w:val="0014455C"/>
    <w:rsid w:val="00144576"/>
    <w:rsid w:val="001445E1"/>
    <w:rsid w:val="00144685"/>
    <w:rsid w:val="001446A7"/>
    <w:rsid w:val="00144712"/>
    <w:rsid w:val="00144795"/>
    <w:rsid w:val="001448BF"/>
    <w:rsid w:val="001448D2"/>
    <w:rsid w:val="001448E2"/>
    <w:rsid w:val="001448F9"/>
    <w:rsid w:val="00144C9A"/>
    <w:rsid w:val="00144CC0"/>
    <w:rsid w:val="00144D16"/>
    <w:rsid w:val="00144D26"/>
    <w:rsid w:val="00144D71"/>
    <w:rsid w:val="00144DD0"/>
    <w:rsid w:val="00144E69"/>
    <w:rsid w:val="00144E76"/>
    <w:rsid w:val="00144EB4"/>
    <w:rsid w:val="00144EF9"/>
    <w:rsid w:val="00144F02"/>
    <w:rsid w:val="00144FA4"/>
    <w:rsid w:val="00144FDB"/>
    <w:rsid w:val="00145245"/>
    <w:rsid w:val="00145252"/>
    <w:rsid w:val="001452ED"/>
    <w:rsid w:val="00145356"/>
    <w:rsid w:val="001453F3"/>
    <w:rsid w:val="001454B5"/>
    <w:rsid w:val="001454E1"/>
    <w:rsid w:val="00145586"/>
    <w:rsid w:val="001455B7"/>
    <w:rsid w:val="00145825"/>
    <w:rsid w:val="0014584B"/>
    <w:rsid w:val="00145874"/>
    <w:rsid w:val="0014587D"/>
    <w:rsid w:val="001458FA"/>
    <w:rsid w:val="00145921"/>
    <w:rsid w:val="0014594A"/>
    <w:rsid w:val="001459A5"/>
    <w:rsid w:val="00145A7E"/>
    <w:rsid w:val="00145AE8"/>
    <w:rsid w:val="00145B24"/>
    <w:rsid w:val="00145C98"/>
    <w:rsid w:val="00145D0D"/>
    <w:rsid w:val="00145D3F"/>
    <w:rsid w:val="00145D40"/>
    <w:rsid w:val="00145D6C"/>
    <w:rsid w:val="00145E6A"/>
    <w:rsid w:val="00145F36"/>
    <w:rsid w:val="00146074"/>
    <w:rsid w:val="001460B8"/>
    <w:rsid w:val="001462AE"/>
    <w:rsid w:val="0014631B"/>
    <w:rsid w:val="0014634E"/>
    <w:rsid w:val="001463C2"/>
    <w:rsid w:val="0014651E"/>
    <w:rsid w:val="0014658B"/>
    <w:rsid w:val="00146785"/>
    <w:rsid w:val="001468D2"/>
    <w:rsid w:val="00146A4E"/>
    <w:rsid w:val="00146A50"/>
    <w:rsid w:val="00146B9E"/>
    <w:rsid w:val="00146BC3"/>
    <w:rsid w:val="00146BD6"/>
    <w:rsid w:val="00146C01"/>
    <w:rsid w:val="00146C3E"/>
    <w:rsid w:val="00146D7B"/>
    <w:rsid w:val="00146DA8"/>
    <w:rsid w:val="00146E33"/>
    <w:rsid w:val="00147306"/>
    <w:rsid w:val="001473C1"/>
    <w:rsid w:val="001474FC"/>
    <w:rsid w:val="00147558"/>
    <w:rsid w:val="001475B2"/>
    <w:rsid w:val="001475C7"/>
    <w:rsid w:val="00147670"/>
    <w:rsid w:val="00147783"/>
    <w:rsid w:val="001477E9"/>
    <w:rsid w:val="001477F8"/>
    <w:rsid w:val="0014789E"/>
    <w:rsid w:val="0014792B"/>
    <w:rsid w:val="001479A5"/>
    <w:rsid w:val="001479F9"/>
    <w:rsid w:val="00147A26"/>
    <w:rsid w:val="00147A4C"/>
    <w:rsid w:val="00147A62"/>
    <w:rsid w:val="00147A68"/>
    <w:rsid w:val="00147B59"/>
    <w:rsid w:val="00147C5F"/>
    <w:rsid w:val="00147CB3"/>
    <w:rsid w:val="00147E54"/>
    <w:rsid w:val="00147E99"/>
    <w:rsid w:val="00147ED7"/>
    <w:rsid w:val="00147F02"/>
    <w:rsid w:val="00147FB9"/>
    <w:rsid w:val="00147FC8"/>
    <w:rsid w:val="0015012D"/>
    <w:rsid w:val="00150145"/>
    <w:rsid w:val="001501A5"/>
    <w:rsid w:val="001501AA"/>
    <w:rsid w:val="001501C9"/>
    <w:rsid w:val="001501DE"/>
    <w:rsid w:val="00150209"/>
    <w:rsid w:val="00150265"/>
    <w:rsid w:val="00150315"/>
    <w:rsid w:val="0015052E"/>
    <w:rsid w:val="0015069E"/>
    <w:rsid w:val="001506BB"/>
    <w:rsid w:val="001507FB"/>
    <w:rsid w:val="0015082C"/>
    <w:rsid w:val="00150993"/>
    <w:rsid w:val="001509A0"/>
    <w:rsid w:val="00150B59"/>
    <w:rsid w:val="00150C44"/>
    <w:rsid w:val="00150CC4"/>
    <w:rsid w:val="00150CE4"/>
    <w:rsid w:val="00150DB4"/>
    <w:rsid w:val="00150F20"/>
    <w:rsid w:val="00150F61"/>
    <w:rsid w:val="00150F7A"/>
    <w:rsid w:val="00150FC8"/>
    <w:rsid w:val="001510A7"/>
    <w:rsid w:val="0015114A"/>
    <w:rsid w:val="00151164"/>
    <w:rsid w:val="00151218"/>
    <w:rsid w:val="001512A7"/>
    <w:rsid w:val="001512DE"/>
    <w:rsid w:val="00151357"/>
    <w:rsid w:val="001513FE"/>
    <w:rsid w:val="0015151B"/>
    <w:rsid w:val="0015157B"/>
    <w:rsid w:val="0015166F"/>
    <w:rsid w:val="00151675"/>
    <w:rsid w:val="001517C7"/>
    <w:rsid w:val="0015182E"/>
    <w:rsid w:val="00151858"/>
    <w:rsid w:val="0015190C"/>
    <w:rsid w:val="001519FF"/>
    <w:rsid w:val="00151D7E"/>
    <w:rsid w:val="00151E04"/>
    <w:rsid w:val="00151E76"/>
    <w:rsid w:val="00151F26"/>
    <w:rsid w:val="00151F65"/>
    <w:rsid w:val="00152053"/>
    <w:rsid w:val="001520C2"/>
    <w:rsid w:val="001520D4"/>
    <w:rsid w:val="001520E6"/>
    <w:rsid w:val="00152143"/>
    <w:rsid w:val="00152157"/>
    <w:rsid w:val="001521C1"/>
    <w:rsid w:val="001522E0"/>
    <w:rsid w:val="00152334"/>
    <w:rsid w:val="001523D1"/>
    <w:rsid w:val="00152446"/>
    <w:rsid w:val="00152478"/>
    <w:rsid w:val="001524BC"/>
    <w:rsid w:val="0015251B"/>
    <w:rsid w:val="0015257A"/>
    <w:rsid w:val="001525A4"/>
    <w:rsid w:val="0015271C"/>
    <w:rsid w:val="00152792"/>
    <w:rsid w:val="00152795"/>
    <w:rsid w:val="00152868"/>
    <w:rsid w:val="001528F8"/>
    <w:rsid w:val="0015297D"/>
    <w:rsid w:val="00152B50"/>
    <w:rsid w:val="00152BD0"/>
    <w:rsid w:val="00152C48"/>
    <w:rsid w:val="00152E32"/>
    <w:rsid w:val="00152ECE"/>
    <w:rsid w:val="00152F17"/>
    <w:rsid w:val="001530D7"/>
    <w:rsid w:val="00153291"/>
    <w:rsid w:val="001532A5"/>
    <w:rsid w:val="001532B4"/>
    <w:rsid w:val="00153498"/>
    <w:rsid w:val="0015354B"/>
    <w:rsid w:val="001535B4"/>
    <w:rsid w:val="001535F3"/>
    <w:rsid w:val="0015384F"/>
    <w:rsid w:val="001538DD"/>
    <w:rsid w:val="00153903"/>
    <w:rsid w:val="00153A69"/>
    <w:rsid w:val="00153AB6"/>
    <w:rsid w:val="00153ADB"/>
    <w:rsid w:val="00153D60"/>
    <w:rsid w:val="00153E6B"/>
    <w:rsid w:val="00153E7A"/>
    <w:rsid w:val="00153F05"/>
    <w:rsid w:val="00153F43"/>
    <w:rsid w:val="00153F8C"/>
    <w:rsid w:val="0015402A"/>
    <w:rsid w:val="0015406B"/>
    <w:rsid w:val="0015408E"/>
    <w:rsid w:val="001541B7"/>
    <w:rsid w:val="001541C8"/>
    <w:rsid w:val="001541FD"/>
    <w:rsid w:val="001542CD"/>
    <w:rsid w:val="001542FE"/>
    <w:rsid w:val="00154358"/>
    <w:rsid w:val="00154398"/>
    <w:rsid w:val="001543C1"/>
    <w:rsid w:val="00154480"/>
    <w:rsid w:val="0015452A"/>
    <w:rsid w:val="00154553"/>
    <w:rsid w:val="00154646"/>
    <w:rsid w:val="00154731"/>
    <w:rsid w:val="00154771"/>
    <w:rsid w:val="00154780"/>
    <w:rsid w:val="0015478D"/>
    <w:rsid w:val="00154899"/>
    <w:rsid w:val="001549B2"/>
    <w:rsid w:val="001549DE"/>
    <w:rsid w:val="00154ACB"/>
    <w:rsid w:val="00154B0E"/>
    <w:rsid w:val="00154B1E"/>
    <w:rsid w:val="00154B5F"/>
    <w:rsid w:val="00154B7A"/>
    <w:rsid w:val="00154C7A"/>
    <w:rsid w:val="00154DCD"/>
    <w:rsid w:val="00154E4E"/>
    <w:rsid w:val="00154E7B"/>
    <w:rsid w:val="00155086"/>
    <w:rsid w:val="00155221"/>
    <w:rsid w:val="001553FF"/>
    <w:rsid w:val="00155572"/>
    <w:rsid w:val="001555E1"/>
    <w:rsid w:val="001555E8"/>
    <w:rsid w:val="001555EE"/>
    <w:rsid w:val="00155616"/>
    <w:rsid w:val="00155648"/>
    <w:rsid w:val="00155776"/>
    <w:rsid w:val="0015582B"/>
    <w:rsid w:val="00155841"/>
    <w:rsid w:val="001558C4"/>
    <w:rsid w:val="0015593B"/>
    <w:rsid w:val="001559C8"/>
    <w:rsid w:val="00155A3C"/>
    <w:rsid w:val="00155A5A"/>
    <w:rsid w:val="00155BB8"/>
    <w:rsid w:val="00155C38"/>
    <w:rsid w:val="00155E1D"/>
    <w:rsid w:val="00155FD6"/>
    <w:rsid w:val="001560CE"/>
    <w:rsid w:val="001560E2"/>
    <w:rsid w:val="00156129"/>
    <w:rsid w:val="00156232"/>
    <w:rsid w:val="00156303"/>
    <w:rsid w:val="001564A2"/>
    <w:rsid w:val="001564B4"/>
    <w:rsid w:val="0015652C"/>
    <w:rsid w:val="001566A4"/>
    <w:rsid w:val="001566C1"/>
    <w:rsid w:val="001566FC"/>
    <w:rsid w:val="00156728"/>
    <w:rsid w:val="0015699C"/>
    <w:rsid w:val="00156B0A"/>
    <w:rsid w:val="00156B40"/>
    <w:rsid w:val="00156B65"/>
    <w:rsid w:val="00156C2B"/>
    <w:rsid w:val="00156C8C"/>
    <w:rsid w:val="00156CC1"/>
    <w:rsid w:val="00156D3A"/>
    <w:rsid w:val="00156D56"/>
    <w:rsid w:val="00156D89"/>
    <w:rsid w:val="00156DCE"/>
    <w:rsid w:val="00157039"/>
    <w:rsid w:val="0015715A"/>
    <w:rsid w:val="0015719A"/>
    <w:rsid w:val="001574CE"/>
    <w:rsid w:val="00157603"/>
    <w:rsid w:val="00157743"/>
    <w:rsid w:val="0015775B"/>
    <w:rsid w:val="001577C3"/>
    <w:rsid w:val="00157880"/>
    <w:rsid w:val="00157903"/>
    <w:rsid w:val="0015795E"/>
    <w:rsid w:val="001579B1"/>
    <w:rsid w:val="00157B52"/>
    <w:rsid w:val="00157CFC"/>
    <w:rsid w:val="00157DF7"/>
    <w:rsid w:val="00157E9D"/>
    <w:rsid w:val="00157FD9"/>
    <w:rsid w:val="00160032"/>
    <w:rsid w:val="00160033"/>
    <w:rsid w:val="00160101"/>
    <w:rsid w:val="0016014E"/>
    <w:rsid w:val="001602E9"/>
    <w:rsid w:val="00160560"/>
    <w:rsid w:val="0016068D"/>
    <w:rsid w:val="001606AC"/>
    <w:rsid w:val="001606DA"/>
    <w:rsid w:val="00160781"/>
    <w:rsid w:val="001607F6"/>
    <w:rsid w:val="00160935"/>
    <w:rsid w:val="00160AA2"/>
    <w:rsid w:val="00160B9C"/>
    <w:rsid w:val="00160D9F"/>
    <w:rsid w:val="00160DB7"/>
    <w:rsid w:val="00160E29"/>
    <w:rsid w:val="00160EC7"/>
    <w:rsid w:val="00160F08"/>
    <w:rsid w:val="00160F7F"/>
    <w:rsid w:val="0016103D"/>
    <w:rsid w:val="0016120A"/>
    <w:rsid w:val="001613E7"/>
    <w:rsid w:val="0016154F"/>
    <w:rsid w:val="00161601"/>
    <w:rsid w:val="001616C4"/>
    <w:rsid w:val="00161740"/>
    <w:rsid w:val="001617C2"/>
    <w:rsid w:val="001617F0"/>
    <w:rsid w:val="001618F4"/>
    <w:rsid w:val="00161A03"/>
    <w:rsid w:val="00161D58"/>
    <w:rsid w:val="00161EE9"/>
    <w:rsid w:val="00161F13"/>
    <w:rsid w:val="00162150"/>
    <w:rsid w:val="00162176"/>
    <w:rsid w:val="00162334"/>
    <w:rsid w:val="001623AE"/>
    <w:rsid w:val="001626CD"/>
    <w:rsid w:val="0016278F"/>
    <w:rsid w:val="001627A6"/>
    <w:rsid w:val="00162848"/>
    <w:rsid w:val="00162864"/>
    <w:rsid w:val="0016290A"/>
    <w:rsid w:val="00162AED"/>
    <w:rsid w:val="00162BB3"/>
    <w:rsid w:val="00162C1A"/>
    <w:rsid w:val="00162CF9"/>
    <w:rsid w:val="00162DAF"/>
    <w:rsid w:val="00162F87"/>
    <w:rsid w:val="00162F8E"/>
    <w:rsid w:val="00162F8F"/>
    <w:rsid w:val="00162FFE"/>
    <w:rsid w:val="001630CC"/>
    <w:rsid w:val="001630FD"/>
    <w:rsid w:val="00163212"/>
    <w:rsid w:val="001632A6"/>
    <w:rsid w:val="00163328"/>
    <w:rsid w:val="0016337C"/>
    <w:rsid w:val="001633A1"/>
    <w:rsid w:val="001633C3"/>
    <w:rsid w:val="00163435"/>
    <w:rsid w:val="00163531"/>
    <w:rsid w:val="00163573"/>
    <w:rsid w:val="001635A9"/>
    <w:rsid w:val="001636B7"/>
    <w:rsid w:val="00163702"/>
    <w:rsid w:val="001637DD"/>
    <w:rsid w:val="0016387F"/>
    <w:rsid w:val="00163951"/>
    <w:rsid w:val="00163967"/>
    <w:rsid w:val="00163994"/>
    <w:rsid w:val="001639C0"/>
    <w:rsid w:val="00163A2A"/>
    <w:rsid w:val="00163C55"/>
    <w:rsid w:val="00163C7F"/>
    <w:rsid w:val="00163CC1"/>
    <w:rsid w:val="00163D34"/>
    <w:rsid w:val="00163E77"/>
    <w:rsid w:val="00163FA9"/>
    <w:rsid w:val="00164007"/>
    <w:rsid w:val="0016404B"/>
    <w:rsid w:val="00164220"/>
    <w:rsid w:val="00164339"/>
    <w:rsid w:val="00164481"/>
    <w:rsid w:val="001646AD"/>
    <w:rsid w:val="001647D6"/>
    <w:rsid w:val="0016487C"/>
    <w:rsid w:val="00164907"/>
    <w:rsid w:val="00164925"/>
    <w:rsid w:val="00164AA4"/>
    <w:rsid w:val="00164ACF"/>
    <w:rsid w:val="00164ADB"/>
    <w:rsid w:val="00164B34"/>
    <w:rsid w:val="00164B3D"/>
    <w:rsid w:val="00164B78"/>
    <w:rsid w:val="00164BDF"/>
    <w:rsid w:val="00164C3F"/>
    <w:rsid w:val="00164C5F"/>
    <w:rsid w:val="00164CA1"/>
    <w:rsid w:val="00164E90"/>
    <w:rsid w:val="00164F6B"/>
    <w:rsid w:val="00164F6F"/>
    <w:rsid w:val="00165017"/>
    <w:rsid w:val="0016509B"/>
    <w:rsid w:val="001650AB"/>
    <w:rsid w:val="001650BF"/>
    <w:rsid w:val="001650EF"/>
    <w:rsid w:val="00165116"/>
    <w:rsid w:val="00165122"/>
    <w:rsid w:val="0016518E"/>
    <w:rsid w:val="0016531B"/>
    <w:rsid w:val="0016536E"/>
    <w:rsid w:val="00165599"/>
    <w:rsid w:val="001655BC"/>
    <w:rsid w:val="001655FE"/>
    <w:rsid w:val="001656F0"/>
    <w:rsid w:val="001657DA"/>
    <w:rsid w:val="001657EF"/>
    <w:rsid w:val="001658B7"/>
    <w:rsid w:val="001658F1"/>
    <w:rsid w:val="00165950"/>
    <w:rsid w:val="0016598F"/>
    <w:rsid w:val="001659F3"/>
    <w:rsid w:val="00165A2D"/>
    <w:rsid w:val="00165C37"/>
    <w:rsid w:val="00165C40"/>
    <w:rsid w:val="00165C62"/>
    <w:rsid w:val="00165D0A"/>
    <w:rsid w:val="00165DFA"/>
    <w:rsid w:val="00165F39"/>
    <w:rsid w:val="00165F45"/>
    <w:rsid w:val="00166041"/>
    <w:rsid w:val="00166075"/>
    <w:rsid w:val="001660E7"/>
    <w:rsid w:val="001661A8"/>
    <w:rsid w:val="00166263"/>
    <w:rsid w:val="001662E9"/>
    <w:rsid w:val="0016634F"/>
    <w:rsid w:val="0016638A"/>
    <w:rsid w:val="00166454"/>
    <w:rsid w:val="001664C7"/>
    <w:rsid w:val="001664ED"/>
    <w:rsid w:val="001666BA"/>
    <w:rsid w:val="001666D1"/>
    <w:rsid w:val="001666FF"/>
    <w:rsid w:val="0016678D"/>
    <w:rsid w:val="00166841"/>
    <w:rsid w:val="001668DD"/>
    <w:rsid w:val="001668F6"/>
    <w:rsid w:val="00166908"/>
    <w:rsid w:val="00166976"/>
    <w:rsid w:val="00166998"/>
    <w:rsid w:val="001669FC"/>
    <w:rsid w:val="00166A90"/>
    <w:rsid w:val="00166B8B"/>
    <w:rsid w:val="00166C7E"/>
    <w:rsid w:val="00166CD5"/>
    <w:rsid w:val="00166D7A"/>
    <w:rsid w:val="00166F27"/>
    <w:rsid w:val="00166F33"/>
    <w:rsid w:val="00166FDB"/>
    <w:rsid w:val="0016703F"/>
    <w:rsid w:val="0016704F"/>
    <w:rsid w:val="001670B7"/>
    <w:rsid w:val="00167114"/>
    <w:rsid w:val="00167491"/>
    <w:rsid w:val="001674EA"/>
    <w:rsid w:val="0016763A"/>
    <w:rsid w:val="00167755"/>
    <w:rsid w:val="00167799"/>
    <w:rsid w:val="00167830"/>
    <w:rsid w:val="0016783E"/>
    <w:rsid w:val="00167976"/>
    <w:rsid w:val="00167A00"/>
    <w:rsid w:val="00167BB2"/>
    <w:rsid w:val="00167CF5"/>
    <w:rsid w:val="00167DA6"/>
    <w:rsid w:val="00167E29"/>
    <w:rsid w:val="00167E75"/>
    <w:rsid w:val="00167EC3"/>
    <w:rsid w:val="001700CD"/>
    <w:rsid w:val="001700E6"/>
    <w:rsid w:val="0017017C"/>
    <w:rsid w:val="00170276"/>
    <w:rsid w:val="001703E0"/>
    <w:rsid w:val="00170401"/>
    <w:rsid w:val="001705A2"/>
    <w:rsid w:val="00170635"/>
    <w:rsid w:val="001706BD"/>
    <w:rsid w:val="00170763"/>
    <w:rsid w:val="001707E7"/>
    <w:rsid w:val="00170810"/>
    <w:rsid w:val="0017084C"/>
    <w:rsid w:val="00170883"/>
    <w:rsid w:val="00170895"/>
    <w:rsid w:val="001708C9"/>
    <w:rsid w:val="001708D2"/>
    <w:rsid w:val="00170AC9"/>
    <w:rsid w:val="00170AD4"/>
    <w:rsid w:val="00170B8F"/>
    <w:rsid w:val="00170BF0"/>
    <w:rsid w:val="00170D36"/>
    <w:rsid w:val="00170D3E"/>
    <w:rsid w:val="00170D85"/>
    <w:rsid w:val="00170E81"/>
    <w:rsid w:val="00170F02"/>
    <w:rsid w:val="0017110F"/>
    <w:rsid w:val="001712BB"/>
    <w:rsid w:val="001712FD"/>
    <w:rsid w:val="00171342"/>
    <w:rsid w:val="00171352"/>
    <w:rsid w:val="00171365"/>
    <w:rsid w:val="00171385"/>
    <w:rsid w:val="00171472"/>
    <w:rsid w:val="00171570"/>
    <w:rsid w:val="001715E7"/>
    <w:rsid w:val="00171685"/>
    <w:rsid w:val="00171785"/>
    <w:rsid w:val="001718ED"/>
    <w:rsid w:val="0017198A"/>
    <w:rsid w:val="00171BDD"/>
    <w:rsid w:val="00171CC1"/>
    <w:rsid w:val="00171CEF"/>
    <w:rsid w:val="00171CFC"/>
    <w:rsid w:val="00171D8D"/>
    <w:rsid w:val="00171DAD"/>
    <w:rsid w:val="00171DD0"/>
    <w:rsid w:val="00171E3A"/>
    <w:rsid w:val="00171F60"/>
    <w:rsid w:val="00171F78"/>
    <w:rsid w:val="00171FA0"/>
    <w:rsid w:val="0017209A"/>
    <w:rsid w:val="00172118"/>
    <w:rsid w:val="00172164"/>
    <w:rsid w:val="0017216A"/>
    <w:rsid w:val="001721DA"/>
    <w:rsid w:val="00172277"/>
    <w:rsid w:val="0017227E"/>
    <w:rsid w:val="00172333"/>
    <w:rsid w:val="001723F0"/>
    <w:rsid w:val="00172409"/>
    <w:rsid w:val="001725FF"/>
    <w:rsid w:val="001726AD"/>
    <w:rsid w:val="001726C5"/>
    <w:rsid w:val="001726D8"/>
    <w:rsid w:val="001726FD"/>
    <w:rsid w:val="001727E5"/>
    <w:rsid w:val="001727F2"/>
    <w:rsid w:val="001728B3"/>
    <w:rsid w:val="001729C8"/>
    <w:rsid w:val="00172B79"/>
    <w:rsid w:val="00172BBE"/>
    <w:rsid w:val="00172BCD"/>
    <w:rsid w:val="00172C1E"/>
    <w:rsid w:val="00172CBB"/>
    <w:rsid w:val="00172D9A"/>
    <w:rsid w:val="00172F07"/>
    <w:rsid w:val="00172F18"/>
    <w:rsid w:val="00172F79"/>
    <w:rsid w:val="00173016"/>
    <w:rsid w:val="00173059"/>
    <w:rsid w:val="001730C5"/>
    <w:rsid w:val="00173232"/>
    <w:rsid w:val="00173335"/>
    <w:rsid w:val="001733AE"/>
    <w:rsid w:val="001733F5"/>
    <w:rsid w:val="001734F9"/>
    <w:rsid w:val="00173530"/>
    <w:rsid w:val="00173626"/>
    <w:rsid w:val="0017367B"/>
    <w:rsid w:val="00173734"/>
    <w:rsid w:val="00173994"/>
    <w:rsid w:val="001739F6"/>
    <w:rsid w:val="00173A58"/>
    <w:rsid w:val="00173AA7"/>
    <w:rsid w:val="00173ACB"/>
    <w:rsid w:val="00173C07"/>
    <w:rsid w:val="00173C22"/>
    <w:rsid w:val="00173D59"/>
    <w:rsid w:val="00173DD2"/>
    <w:rsid w:val="00173DF2"/>
    <w:rsid w:val="00173E3F"/>
    <w:rsid w:val="00173E60"/>
    <w:rsid w:val="00173EB9"/>
    <w:rsid w:val="00173ECB"/>
    <w:rsid w:val="00174132"/>
    <w:rsid w:val="001741B5"/>
    <w:rsid w:val="001741BE"/>
    <w:rsid w:val="0017427A"/>
    <w:rsid w:val="00174290"/>
    <w:rsid w:val="001742AF"/>
    <w:rsid w:val="0017435A"/>
    <w:rsid w:val="0017451C"/>
    <w:rsid w:val="0017456A"/>
    <w:rsid w:val="001746B0"/>
    <w:rsid w:val="001747B2"/>
    <w:rsid w:val="00174805"/>
    <w:rsid w:val="0017490E"/>
    <w:rsid w:val="001749D0"/>
    <w:rsid w:val="00174B5D"/>
    <w:rsid w:val="00174B99"/>
    <w:rsid w:val="00174D88"/>
    <w:rsid w:val="00174DB2"/>
    <w:rsid w:val="00174E1C"/>
    <w:rsid w:val="00174E1E"/>
    <w:rsid w:val="00175062"/>
    <w:rsid w:val="001751FD"/>
    <w:rsid w:val="001752E8"/>
    <w:rsid w:val="00175357"/>
    <w:rsid w:val="001754FF"/>
    <w:rsid w:val="00175543"/>
    <w:rsid w:val="001755A8"/>
    <w:rsid w:val="001756E4"/>
    <w:rsid w:val="001756E9"/>
    <w:rsid w:val="00175756"/>
    <w:rsid w:val="001757A1"/>
    <w:rsid w:val="001758E4"/>
    <w:rsid w:val="00175929"/>
    <w:rsid w:val="0017593D"/>
    <w:rsid w:val="00175971"/>
    <w:rsid w:val="001759A4"/>
    <w:rsid w:val="001759B5"/>
    <w:rsid w:val="00175AAF"/>
    <w:rsid w:val="00175AFA"/>
    <w:rsid w:val="00175B28"/>
    <w:rsid w:val="00175BA1"/>
    <w:rsid w:val="00175C7B"/>
    <w:rsid w:val="00175D41"/>
    <w:rsid w:val="00175D6E"/>
    <w:rsid w:val="00175DAF"/>
    <w:rsid w:val="00175F11"/>
    <w:rsid w:val="00176038"/>
    <w:rsid w:val="00176057"/>
    <w:rsid w:val="00176085"/>
    <w:rsid w:val="00176093"/>
    <w:rsid w:val="0017617C"/>
    <w:rsid w:val="0017621F"/>
    <w:rsid w:val="00176242"/>
    <w:rsid w:val="001763B5"/>
    <w:rsid w:val="001764DE"/>
    <w:rsid w:val="00176502"/>
    <w:rsid w:val="001765BF"/>
    <w:rsid w:val="0017667C"/>
    <w:rsid w:val="001766B6"/>
    <w:rsid w:val="0017672E"/>
    <w:rsid w:val="0017676D"/>
    <w:rsid w:val="0017685B"/>
    <w:rsid w:val="001768F6"/>
    <w:rsid w:val="0017696A"/>
    <w:rsid w:val="00176A83"/>
    <w:rsid w:val="00176B33"/>
    <w:rsid w:val="00176B37"/>
    <w:rsid w:val="00176C21"/>
    <w:rsid w:val="00176D10"/>
    <w:rsid w:val="00176D7B"/>
    <w:rsid w:val="00176E0A"/>
    <w:rsid w:val="00176F0A"/>
    <w:rsid w:val="00176F0E"/>
    <w:rsid w:val="0017701D"/>
    <w:rsid w:val="00177038"/>
    <w:rsid w:val="00177098"/>
    <w:rsid w:val="001770F6"/>
    <w:rsid w:val="0017723F"/>
    <w:rsid w:val="00177310"/>
    <w:rsid w:val="00177382"/>
    <w:rsid w:val="001774C5"/>
    <w:rsid w:val="0017768F"/>
    <w:rsid w:val="001776B9"/>
    <w:rsid w:val="001776F2"/>
    <w:rsid w:val="001777A8"/>
    <w:rsid w:val="001777BF"/>
    <w:rsid w:val="001778E6"/>
    <w:rsid w:val="001779DD"/>
    <w:rsid w:val="00177A15"/>
    <w:rsid w:val="00177A16"/>
    <w:rsid w:val="001800B6"/>
    <w:rsid w:val="00180168"/>
    <w:rsid w:val="00180173"/>
    <w:rsid w:val="001801DD"/>
    <w:rsid w:val="00180295"/>
    <w:rsid w:val="001802AE"/>
    <w:rsid w:val="001802CD"/>
    <w:rsid w:val="00180369"/>
    <w:rsid w:val="00180372"/>
    <w:rsid w:val="00180523"/>
    <w:rsid w:val="00180570"/>
    <w:rsid w:val="001807C3"/>
    <w:rsid w:val="00180860"/>
    <w:rsid w:val="001808A7"/>
    <w:rsid w:val="00180976"/>
    <w:rsid w:val="00180A6A"/>
    <w:rsid w:val="00180AA7"/>
    <w:rsid w:val="00180B9F"/>
    <w:rsid w:val="00180C83"/>
    <w:rsid w:val="00180CD3"/>
    <w:rsid w:val="00180D74"/>
    <w:rsid w:val="00180D9D"/>
    <w:rsid w:val="00180E14"/>
    <w:rsid w:val="00180E8F"/>
    <w:rsid w:val="001811D0"/>
    <w:rsid w:val="00181222"/>
    <w:rsid w:val="00181271"/>
    <w:rsid w:val="001812CB"/>
    <w:rsid w:val="0018131C"/>
    <w:rsid w:val="00181326"/>
    <w:rsid w:val="0018146A"/>
    <w:rsid w:val="00181665"/>
    <w:rsid w:val="001816B3"/>
    <w:rsid w:val="00181748"/>
    <w:rsid w:val="00181783"/>
    <w:rsid w:val="001818B0"/>
    <w:rsid w:val="00181A2A"/>
    <w:rsid w:val="00181A73"/>
    <w:rsid w:val="00181AE8"/>
    <w:rsid w:val="00181B0E"/>
    <w:rsid w:val="00181C13"/>
    <w:rsid w:val="00181CBC"/>
    <w:rsid w:val="00181F8D"/>
    <w:rsid w:val="00181FE8"/>
    <w:rsid w:val="00181FEB"/>
    <w:rsid w:val="00182081"/>
    <w:rsid w:val="0018213C"/>
    <w:rsid w:val="00182149"/>
    <w:rsid w:val="0018218E"/>
    <w:rsid w:val="00182198"/>
    <w:rsid w:val="001821D2"/>
    <w:rsid w:val="00182209"/>
    <w:rsid w:val="00182227"/>
    <w:rsid w:val="00182421"/>
    <w:rsid w:val="0018246D"/>
    <w:rsid w:val="0018265D"/>
    <w:rsid w:val="001826FD"/>
    <w:rsid w:val="001827F3"/>
    <w:rsid w:val="0018281D"/>
    <w:rsid w:val="00182825"/>
    <w:rsid w:val="00182877"/>
    <w:rsid w:val="00182895"/>
    <w:rsid w:val="001828AB"/>
    <w:rsid w:val="001829C7"/>
    <w:rsid w:val="00182A17"/>
    <w:rsid w:val="00182A8E"/>
    <w:rsid w:val="00182B81"/>
    <w:rsid w:val="00182BA2"/>
    <w:rsid w:val="00182C0B"/>
    <w:rsid w:val="00182C23"/>
    <w:rsid w:val="00182CB3"/>
    <w:rsid w:val="00182DBF"/>
    <w:rsid w:val="00182E17"/>
    <w:rsid w:val="00182E53"/>
    <w:rsid w:val="00182F2A"/>
    <w:rsid w:val="00182F49"/>
    <w:rsid w:val="00183037"/>
    <w:rsid w:val="001830F6"/>
    <w:rsid w:val="00183198"/>
    <w:rsid w:val="001831F0"/>
    <w:rsid w:val="001832AE"/>
    <w:rsid w:val="00183302"/>
    <w:rsid w:val="00183312"/>
    <w:rsid w:val="00183538"/>
    <w:rsid w:val="00183542"/>
    <w:rsid w:val="00183655"/>
    <w:rsid w:val="001836D9"/>
    <w:rsid w:val="00183742"/>
    <w:rsid w:val="001838A1"/>
    <w:rsid w:val="001838A9"/>
    <w:rsid w:val="001838BC"/>
    <w:rsid w:val="00183A27"/>
    <w:rsid w:val="00183A3A"/>
    <w:rsid w:val="00183A5B"/>
    <w:rsid w:val="00183A6E"/>
    <w:rsid w:val="00183A76"/>
    <w:rsid w:val="00183A8F"/>
    <w:rsid w:val="00183A9C"/>
    <w:rsid w:val="00183C05"/>
    <w:rsid w:val="00183C18"/>
    <w:rsid w:val="00183D96"/>
    <w:rsid w:val="00183DB8"/>
    <w:rsid w:val="00183E7D"/>
    <w:rsid w:val="001840EC"/>
    <w:rsid w:val="00184350"/>
    <w:rsid w:val="001843AC"/>
    <w:rsid w:val="00184402"/>
    <w:rsid w:val="0018440B"/>
    <w:rsid w:val="00184423"/>
    <w:rsid w:val="00184495"/>
    <w:rsid w:val="001844C4"/>
    <w:rsid w:val="001845ED"/>
    <w:rsid w:val="001845F1"/>
    <w:rsid w:val="00184650"/>
    <w:rsid w:val="0018466A"/>
    <w:rsid w:val="00184727"/>
    <w:rsid w:val="0018477A"/>
    <w:rsid w:val="00184871"/>
    <w:rsid w:val="00184991"/>
    <w:rsid w:val="001849DD"/>
    <w:rsid w:val="00184A36"/>
    <w:rsid w:val="00184A7E"/>
    <w:rsid w:val="00184AC2"/>
    <w:rsid w:val="00184BCC"/>
    <w:rsid w:val="00184D1B"/>
    <w:rsid w:val="00184D48"/>
    <w:rsid w:val="00184DC6"/>
    <w:rsid w:val="00185029"/>
    <w:rsid w:val="00185136"/>
    <w:rsid w:val="001851B1"/>
    <w:rsid w:val="00185214"/>
    <w:rsid w:val="001852A1"/>
    <w:rsid w:val="00185342"/>
    <w:rsid w:val="00185362"/>
    <w:rsid w:val="00185458"/>
    <w:rsid w:val="0018547B"/>
    <w:rsid w:val="001854C3"/>
    <w:rsid w:val="00185568"/>
    <w:rsid w:val="001857D3"/>
    <w:rsid w:val="0018584D"/>
    <w:rsid w:val="0018585D"/>
    <w:rsid w:val="001858D4"/>
    <w:rsid w:val="00185903"/>
    <w:rsid w:val="00185A36"/>
    <w:rsid w:val="00185AAD"/>
    <w:rsid w:val="00185B23"/>
    <w:rsid w:val="00185BDF"/>
    <w:rsid w:val="00185C29"/>
    <w:rsid w:val="00185C8F"/>
    <w:rsid w:val="00185DBD"/>
    <w:rsid w:val="00185F13"/>
    <w:rsid w:val="00185F7D"/>
    <w:rsid w:val="00185FF1"/>
    <w:rsid w:val="001860D5"/>
    <w:rsid w:val="001861DF"/>
    <w:rsid w:val="00186252"/>
    <w:rsid w:val="0018638B"/>
    <w:rsid w:val="001863B4"/>
    <w:rsid w:val="001863D9"/>
    <w:rsid w:val="001864D2"/>
    <w:rsid w:val="00186597"/>
    <w:rsid w:val="001865A0"/>
    <w:rsid w:val="001866AB"/>
    <w:rsid w:val="00186990"/>
    <w:rsid w:val="001869F0"/>
    <w:rsid w:val="00186A85"/>
    <w:rsid w:val="00186AA6"/>
    <w:rsid w:val="00186AF0"/>
    <w:rsid w:val="00186BE5"/>
    <w:rsid w:val="00186C4A"/>
    <w:rsid w:val="00186ED5"/>
    <w:rsid w:val="00186F30"/>
    <w:rsid w:val="0018703A"/>
    <w:rsid w:val="00187076"/>
    <w:rsid w:val="001871BA"/>
    <w:rsid w:val="001871C0"/>
    <w:rsid w:val="0018744F"/>
    <w:rsid w:val="0018758C"/>
    <w:rsid w:val="0018769B"/>
    <w:rsid w:val="001876BD"/>
    <w:rsid w:val="00187709"/>
    <w:rsid w:val="001877E5"/>
    <w:rsid w:val="001877E9"/>
    <w:rsid w:val="00187871"/>
    <w:rsid w:val="00187911"/>
    <w:rsid w:val="0018799E"/>
    <w:rsid w:val="001879B6"/>
    <w:rsid w:val="00187A7B"/>
    <w:rsid w:val="00187AF2"/>
    <w:rsid w:val="00187B43"/>
    <w:rsid w:val="00187BDA"/>
    <w:rsid w:val="00187BFA"/>
    <w:rsid w:val="00187C0B"/>
    <w:rsid w:val="00187C50"/>
    <w:rsid w:val="00187C52"/>
    <w:rsid w:val="00187C85"/>
    <w:rsid w:val="00187DAC"/>
    <w:rsid w:val="00187DCB"/>
    <w:rsid w:val="00187E64"/>
    <w:rsid w:val="00187E79"/>
    <w:rsid w:val="00187ED5"/>
    <w:rsid w:val="00187EF5"/>
    <w:rsid w:val="00187FEC"/>
    <w:rsid w:val="001900E3"/>
    <w:rsid w:val="00190143"/>
    <w:rsid w:val="0019024C"/>
    <w:rsid w:val="0019026D"/>
    <w:rsid w:val="001902DA"/>
    <w:rsid w:val="001902F4"/>
    <w:rsid w:val="0019038E"/>
    <w:rsid w:val="001903E2"/>
    <w:rsid w:val="00190457"/>
    <w:rsid w:val="00190489"/>
    <w:rsid w:val="001904B8"/>
    <w:rsid w:val="001904C8"/>
    <w:rsid w:val="001905D4"/>
    <w:rsid w:val="00190812"/>
    <w:rsid w:val="00190820"/>
    <w:rsid w:val="00190895"/>
    <w:rsid w:val="0019090C"/>
    <w:rsid w:val="0019093B"/>
    <w:rsid w:val="0019098A"/>
    <w:rsid w:val="00190BBE"/>
    <w:rsid w:val="00190C87"/>
    <w:rsid w:val="00190DC3"/>
    <w:rsid w:val="00190E30"/>
    <w:rsid w:val="00190EB5"/>
    <w:rsid w:val="00190F08"/>
    <w:rsid w:val="00190F36"/>
    <w:rsid w:val="00190FB8"/>
    <w:rsid w:val="001911C5"/>
    <w:rsid w:val="001912C8"/>
    <w:rsid w:val="00191327"/>
    <w:rsid w:val="00191344"/>
    <w:rsid w:val="00191546"/>
    <w:rsid w:val="00191594"/>
    <w:rsid w:val="00191617"/>
    <w:rsid w:val="001916C6"/>
    <w:rsid w:val="0019178D"/>
    <w:rsid w:val="001917C7"/>
    <w:rsid w:val="00191818"/>
    <w:rsid w:val="0019189C"/>
    <w:rsid w:val="001919BC"/>
    <w:rsid w:val="001919F4"/>
    <w:rsid w:val="00191B9F"/>
    <w:rsid w:val="00191BDD"/>
    <w:rsid w:val="00191DC2"/>
    <w:rsid w:val="00191EAD"/>
    <w:rsid w:val="00191EB3"/>
    <w:rsid w:val="00191F86"/>
    <w:rsid w:val="00191FCD"/>
    <w:rsid w:val="0019206A"/>
    <w:rsid w:val="00192136"/>
    <w:rsid w:val="00192179"/>
    <w:rsid w:val="0019223C"/>
    <w:rsid w:val="001922A0"/>
    <w:rsid w:val="00192391"/>
    <w:rsid w:val="001923B4"/>
    <w:rsid w:val="001923EC"/>
    <w:rsid w:val="00192551"/>
    <w:rsid w:val="0019274C"/>
    <w:rsid w:val="00192779"/>
    <w:rsid w:val="0019278E"/>
    <w:rsid w:val="0019287C"/>
    <w:rsid w:val="0019292E"/>
    <w:rsid w:val="00192974"/>
    <w:rsid w:val="00192C6F"/>
    <w:rsid w:val="00192C8A"/>
    <w:rsid w:val="00192D08"/>
    <w:rsid w:val="00192D47"/>
    <w:rsid w:val="00192DB6"/>
    <w:rsid w:val="00192F81"/>
    <w:rsid w:val="00193059"/>
    <w:rsid w:val="00193103"/>
    <w:rsid w:val="001931EB"/>
    <w:rsid w:val="0019325A"/>
    <w:rsid w:val="001932DB"/>
    <w:rsid w:val="00193384"/>
    <w:rsid w:val="001933A4"/>
    <w:rsid w:val="00193402"/>
    <w:rsid w:val="001934FE"/>
    <w:rsid w:val="001935D1"/>
    <w:rsid w:val="00193617"/>
    <w:rsid w:val="001936F2"/>
    <w:rsid w:val="00193716"/>
    <w:rsid w:val="00193737"/>
    <w:rsid w:val="001938A6"/>
    <w:rsid w:val="001938BC"/>
    <w:rsid w:val="00193993"/>
    <w:rsid w:val="00193A25"/>
    <w:rsid w:val="00193A41"/>
    <w:rsid w:val="00193AFD"/>
    <w:rsid w:val="00193B84"/>
    <w:rsid w:val="00193C3B"/>
    <w:rsid w:val="00193C61"/>
    <w:rsid w:val="00193CE7"/>
    <w:rsid w:val="00193D3B"/>
    <w:rsid w:val="00193D63"/>
    <w:rsid w:val="00193D8D"/>
    <w:rsid w:val="00193DA5"/>
    <w:rsid w:val="00193F21"/>
    <w:rsid w:val="00193FB6"/>
    <w:rsid w:val="00193FD0"/>
    <w:rsid w:val="0019422E"/>
    <w:rsid w:val="00194233"/>
    <w:rsid w:val="00194325"/>
    <w:rsid w:val="00194344"/>
    <w:rsid w:val="0019436E"/>
    <w:rsid w:val="0019437B"/>
    <w:rsid w:val="00194410"/>
    <w:rsid w:val="0019444C"/>
    <w:rsid w:val="00194462"/>
    <w:rsid w:val="001944D6"/>
    <w:rsid w:val="001944EA"/>
    <w:rsid w:val="001945A8"/>
    <w:rsid w:val="00194600"/>
    <w:rsid w:val="0019461C"/>
    <w:rsid w:val="00194769"/>
    <w:rsid w:val="001947B3"/>
    <w:rsid w:val="0019487F"/>
    <w:rsid w:val="00194939"/>
    <w:rsid w:val="0019495A"/>
    <w:rsid w:val="001949CC"/>
    <w:rsid w:val="00194A08"/>
    <w:rsid w:val="00194A63"/>
    <w:rsid w:val="00194B48"/>
    <w:rsid w:val="00194C2A"/>
    <w:rsid w:val="00194D1A"/>
    <w:rsid w:val="00194E10"/>
    <w:rsid w:val="00194E17"/>
    <w:rsid w:val="00194EB0"/>
    <w:rsid w:val="00194EE8"/>
    <w:rsid w:val="00194EF0"/>
    <w:rsid w:val="00194F19"/>
    <w:rsid w:val="00195027"/>
    <w:rsid w:val="00195269"/>
    <w:rsid w:val="0019527B"/>
    <w:rsid w:val="00195403"/>
    <w:rsid w:val="00195475"/>
    <w:rsid w:val="0019553D"/>
    <w:rsid w:val="00195592"/>
    <w:rsid w:val="001955FE"/>
    <w:rsid w:val="00195630"/>
    <w:rsid w:val="001956D8"/>
    <w:rsid w:val="001956E7"/>
    <w:rsid w:val="00195753"/>
    <w:rsid w:val="001957F5"/>
    <w:rsid w:val="0019586E"/>
    <w:rsid w:val="00195960"/>
    <w:rsid w:val="001959A3"/>
    <w:rsid w:val="001959A4"/>
    <w:rsid w:val="00195A3E"/>
    <w:rsid w:val="00195AB7"/>
    <w:rsid w:val="00195BD3"/>
    <w:rsid w:val="00195D09"/>
    <w:rsid w:val="00195ED3"/>
    <w:rsid w:val="00195ED7"/>
    <w:rsid w:val="00195F4B"/>
    <w:rsid w:val="00195FF9"/>
    <w:rsid w:val="0019608D"/>
    <w:rsid w:val="001960DD"/>
    <w:rsid w:val="00196253"/>
    <w:rsid w:val="0019626B"/>
    <w:rsid w:val="001962E8"/>
    <w:rsid w:val="00196355"/>
    <w:rsid w:val="0019649B"/>
    <w:rsid w:val="001964BD"/>
    <w:rsid w:val="001966B4"/>
    <w:rsid w:val="00196790"/>
    <w:rsid w:val="00196831"/>
    <w:rsid w:val="001969B6"/>
    <w:rsid w:val="001969CC"/>
    <w:rsid w:val="00196ACF"/>
    <w:rsid w:val="00196AE9"/>
    <w:rsid w:val="00196B0D"/>
    <w:rsid w:val="00196BCE"/>
    <w:rsid w:val="00196E7A"/>
    <w:rsid w:val="00196EB2"/>
    <w:rsid w:val="00196EF4"/>
    <w:rsid w:val="00196F2D"/>
    <w:rsid w:val="0019701E"/>
    <w:rsid w:val="00197030"/>
    <w:rsid w:val="00197067"/>
    <w:rsid w:val="00197110"/>
    <w:rsid w:val="0019716A"/>
    <w:rsid w:val="00197185"/>
    <w:rsid w:val="001971AF"/>
    <w:rsid w:val="00197498"/>
    <w:rsid w:val="001974E4"/>
    <w:rsid w:val="00197535"/>
    <w:rsid w:val="001976D1"/>
    <w:rsid w:val="001977E8"/>
    <w:rsid w:val="001977F4"/>
    <w:rsid w:val="001978A7"/>
    <w:rsid w:val="00197997"/>
    <w:rsid w:val="00197A02"/>
    <w:rsid w:val="00197A9C"/>
    <w:rsid w:val="00197BDC"/>
    <w:rsid w:val="00197CAD"/>
    <w:rsid w:val="00197DB6"/>
    <w:rsid w:val="00197DB8"/>
    <w:rsid w:val="00197E1D"/>
    <w:rsid w:val="00197E43"/>
    <w:rsid w:val="00197E8B"/>
    <w:rsid w:val="00197F63"/>
    <w:rsid w:val="00197F67"/>
    <w:rsid w:val="00197F7B"/>
    <w:rsid w:val="00197F80"/>
    <w:rsid w:val="00197FF9"/>
    <w:rsid w:val="001A00D5"/>
    <w:rsid w:val="001A00E2"/>
    <w:rsid w:val="001A0127"/>
    <w:rsid w:val="001A0142"/>
    <w:rsid w:val="001A014E"/>
    <w:rsid w:val="001A01F5"/>
    <w:rsid w:val="001A03BD"/>
    <w:rsid w:val="001A0428"/>
    <w:rsid w:val="001A0873"/>
    <w:rsid w:val="001A08F6"/>
    <w:rsid w:val="001A0939"/>
    <w:rsid w:val="001A0B13"/>
    <w:rsid w:val="001A0CDB"/>
    <w:rsid w:val="001A0D21"/>
    <w:rsid w:val="001A0D27"/>
    <w:rsid w:val="001A0DFF"/>
    <w:rsid w:val="001A0E0D"/>
    <w:rsid w:val="001A0E19"/>
    <w:rsid w:val="001A0E89"/>
    <w:rsid w:val="001A0FF6"/>
    <w:rsid w:val="001A101D"/>
    <w:rsid w:val="001A10B7"/>
    <w:rsid w:val="001A1192"/>
    <w:rsid w:val="001A1268"/>
    <w:rsid w:val="001A12FE"/>
    <w:rsid w:val="001A138D"/>
    <w:rsid w:val="001A13F1"/>
    <w:rsid w:val="001A14D1"/>
    <w:rsid w:val="001A153F"/>
    <w:rsid w:val="001A15EF"/>
    <w:rsid w:val="001A1626"/>
    <w:rsid w:val="001A16DF"/>
    <w:rsid w:val="001A1704"/>
    <w:rsid w:val="001A1725"/>
    <w:rsid w:val="001A17A2"/>
    <w:rsid w:val="001A1835"/>
    <w:rsid w:val="001A197F"/>
    <w:rsid w:val="001A1BDE"/>
    <w:rsid w:val="001A1CB1"/>
    <w:rsid w:val="001A1CB5"/>
    <w:rsid w:val="001A1D5A"/>
    <w:rsid w:val="001A1E00"/>
    <w:rsid w:val="001A1E15"/>
    <w:rsid w:val="001A1E60"/>
    <w:rsid w:val="001A1ED6"/>
    <w:rsid w:val="001A2032"/>
    <w:rsid w:val="001A2047"/>
    <w:rsid w:val="001A2148"/>
    <w:rsid w:val="001A214D"/>
    <w:rsid w:val="001A2153"/>
    <w:rsid w:val="001A216C"/>
    <w:rsid w:val="001A225E"/>
    <w:rsid w:val="001A23F9"/>
    <w:rsid w:val="001A2409"/>
    <w:rsid w:val="001A247F"/>
    <w:rsid w:val="001A249F"/>
    <w:rsid w:val="001A24AA"/>
    <w:rsid w:val="001A253A"/>
    <w:rsid w:val="001A2675"/>
    <w:rsid w:val="001A2680"/>
    <w:rsid w:val="001A26C0"/>
    <w:rsid w:val="001A26FC"/>
    <w:rsid w:val="001A2728"/>
    <w:rsid w:val="001A29FC"/>
    <w:rsid w:val="001A2A65"/>
    <w:rsid w:val="001A2AF1"/>
    <w:rsid w:val="001A2C74"/>
    <w:rsid w:val="001A2CCC"/>
    <w:rsid w:val="001A2D1F"/>
    <w:rsid w:val="001A2DA0"/>
    <w:rsid w:val="001A2DA5"/>
    <w:rsid w:val="001A2E50"/>
    <w:rsid w:val="001A2E73"/>
    <w:rsid w:val="001A2F61"/>
    <w:rsid w:val="001A2FC2"/>
    <w:rsid w:val="001A3094"/>
    <w:rsid w:val="001A3127"/>
    <w:rsid w:val="001A3185"/>
    <w:rsid w:val="001A3248"/>
    <w:rsid w:val="001A32B5"/>
    <w:rsid w:val="001A32EB"/>
    <w:rsid w:val="001A3308"/>
    <w:rsid w:val="001A33D6"/>
    <w:rsid w:val="001A342C"/>
    <w:rsid w:val="001A342F"/>
    <w:rsid w:val="001A34D8"/>
    <w:rsid w:val="001A34EB"/>
    <w:rsid w:val="001A3524"/>
    <w:rsid w:val="001A35E6"/>
    <w:rsid w:val="001A3669"/>
    <w:rsid w:val="001A36F0"/>
    <w:rsid w:val="001A372F"/>
    <w:rsid w:val="001A3862"/>
    <w:rsid w:val="001A386E"/>
    <w:rsid w:val="001A387F"/>
    <w:rsid w:val="001A38B5"/>
    <w:rsid w:val="001A3902"/>
    <w:rsid w:val="001A3913"/>
    <w:rsid w:val="001A39D5"/>
    <w:rsid w:val="001A3A46"/>
    <w:rsid w:val="001A3AA3"/>
    <w:rsid w:val="001A3B09"/>
    <w:rsid w:val="001A3BB7"/>
    <w:rsid w:val="001A3C52"/>
    <w:rsid w:val="001A3C6F"/>
    <w:rsid w:val="001A3D66"/>
    <w:rsid w:val="001A3D70"/>
    <w:rsid w:val="001A3D90"/>
    <w:rsid w:val="001A3F36"/>
    <w:rsid w:val="001A3F73"/>
    <w:rsid w:val="001A3FC1"/>
    <w:rsid w:val="001A3FF5"/>
    <w:rsid w:val="001A4196"/>
    <w:rsid w:val="001A41A6"/>
    <w:rsid w:val="001A41CD"/>
    <w:rsid w:val="001A436A"/>
    <w:rsid w:val="001A445E"/>
    <w:rsid w:val="001A4463"/>
    <w:rsid w:val="001A449A"/>
    <w:rsid w:val="001A44A9"/>
    <w:rsid w:val="001A462B"/>
    <w:rsid w:val="001A465E"/>
    <w:rsid w:val="001A46E6"/>
    <w:rsid w:val="001A4755"/>
    <w:rsid w:val="001A47DB"/>
    <w:rsid w:val="001A488C"/>
    <w:rsid w:val="001A48AF"/>
    <w:rsid w:val="001A49C0"/>
    <w:rsid w:val="001A49FC"/>
    <w:rsid w:val="001A4AF6"/>
    <w:rsid w:val="001A4B6C"/>
    <w:rsid w:val="001A4BCF"/>
    <w:rsid w:val="001A4C5B"/>
    <w:rsid w:val="001A4E72"/>
    <w:rsid w:val="001A4E98"/>
    <w:rsid w:val="001A4ED7"/>
    <w:rsid w:val="001A4F11"/>
    <w:rsid w:val="001A4FC3"/>
    <w:rsid w:val="001A5094"/>
    <w:rsid w:val="001A523C"/>
    <w:rsid w:val="001A5241"/>
    <w:rsid w:val="001A54E6"/>
    <w:rsid w:val="001A5529"/>
    <w:rsid w:val="001A5549"/>
    <w:rsid w:val="001A55C3"/>
    <w:rsid w:val="001A563A"/>
    <w:rsid w:val="001A5757"/>
    <w:rsid w:val="001A5817"/>
    <w:rsid w:val="001A58CA"/>
    <w:rsid w:val="001A5979"/>
    <w:rsid w:val="001A5AA6"/>
    <w:rsid w:val="001A5AC7"/>
    <w:rsid w:val="001A5AEB"/>
    <w:rsid w:val="001A5B75"/>
    <w:rsid w:val="001A5BA9"/>
    <w:rsid w:val="001A5D10"/>
    <w:rsid w:val="001A5D47"/>
    <w:rsid w:val="001A5D8A"/>
    <w:rsid w:val="001A5E02"/>
    <w:rsid w:val="001A5F16"/>
    <w:rsid w:val="001A605F"/>
    <w:rsid w:val="001A6318"/>
    <w:rsid w:val="001A63B6"/>
    <w:rsid w:val="001A64A5"/>
    <w:rsid w:val="001A655F"/>
    <w:rsid w:val="001A6620"/>
    <w:rsid w:val="001A6644"/>
    <w:rsid w:val="001A6666"/>
    <w:rsid w:val="001A668C"/>
    <w:rsid w:val="001A6714"/>
    <w:rsid w:val="001A6838"/>
    <w:rsid w:val="001A684B"/>
    <w:rsid w:val="001A68B3"/>
    <w:rsid w:val="001A6932"/>
    <w:rsid w:val="001A69A1"/>
    <w:rsid w:val="001A6C08"/>
    <w:rsid w:val="001A6C37"/>
    <w:rsid w:val="001A6DF2"/>
    <w:rsid w:val="001A6E80"/>
    <w:rsid w:val="001A6EB7"/>
    <w:rsid w:val="001A6EBA"/>
    <w:rsid w:val="001A6EC1"/>
    <w:rsid w:val="001A6EC6"/>
    <w:rsid w:val="001A70D4"/>
    <w:rsid w:val="001A715A"/>
    <w:rsid w:val="001A71AA"/>
    <w:rsid w:val="001A720F"/>
    <w:rsid w:val="001A72CD"/>
    <w:rsid w:val="001A72F6"/>
    <w:rsid w:val="001A7357"/>
    <w:rsid w:val="001A738F"/>
    <w:rsid w:val="001A73E2"/>
    <w:rsid w:val="001A757B"/>
    <w:rsid w:val="001A7656"/>
    <w:rsid w:val="001A76D5"/>
    <w:rsid w:val="001A7750"/>
    <w:rsid w:val="001A77D5"/>
    <w:rsid w:val="001A77E3"/>
    <w:rsid w:val="001A7808"/>
    <w:rsid w:val="001A784D"/>
    <w:rsid w:val="001A78E6"/>
    <w:rsid w:val="001A7AEB"/>
    <w:rsid w:val="001A7B2D"/>
    <w:rsid w:val="001A7B2F"/>
    <w:rsid w:val="001A7B76"/>
    <w:rsid w:val="001A7B85"/>
    <w:rsid w:val="001A7B92"/>
    <w:rsid w:val="001A7C2F"/>
    <w:rsid w:val="001A7C92"/>
    <w:rsid w:val="001A7D3D"/>
    <w:rsid w:val="001A7DDA"/>
    <w:rsid w:val="001A7E77"/>
    <w:rsid w:val="001A7EA4"/>
    <w:rsid w:val="001A7ECD"/>
    <w:rsid w:val="001A7EE1"/>
    <w:rsid w:val="001A7EE5"/>
    <w:rsid w:val="001B00B9"/>
    <w:rsid w:val="001B028F"/>
    <w:rsid w:val="001B0307"/>
    <w:rsid w:val="001B0379"/>
    <w:rsid w:val="001B0425"/>
    <w:rsid w:val="001B042B"/>
    <w:rsid w:val="001B04CF"/>
    <w:rsid w:val="001B051F"/>
    <w:rsid w:val="001B06BB"/>
    <w:rsid w:val="001B06CE"/>
    <w:rsid w:val="001B075F"/>
    <w:rsid w:val="001B0820"/>
    <w:rsid w:val="001B0824"/>
    <w:rsid w:val="001B09C2"/>
    <w:rsid w:val="001B0A8A"/>
    <w:rsid w:val="001B0AAD"/>
    <w:rsid w:val="001B0AE7"/>
    <w:rsid w:val="001B0B55"/>
    <w:rsid w:val="001B0BFD"/>
    <w:rsid w:val="001B0D25"/>
    <w:rsid w:val="001B0DB5"/>
    <w:rsid w:val="001B0DD1"/>
    <w:rsid w:val="001B0E02"/>
    <w:rsid w:val="001B0EFD"/>
    <w:rsid w:val="001B0F03"/>
    <w:rsid w:val="001B0F4F"/>
    <w:rsid w:val="001B113E"/>
    <w:rsid w:val="001B114B"/>
    <w:rsid w:val="001B1366"/>
    <w:rsid w:val="001B13C7"/>
    <w:rsid w:val="001B1424"/>
    <w:rsid w:val="001B149D"/>
    <w:rsid w:val="001B159C"/>
    <w:rsid w:val="001B15D4"/>
    <w:rsid w:val="001B1637"/>
    <w:rsid w:val="001B16B2"/>
    <w:rsid w:val="001B17BF"/>
    <w:rsid w:val="001B1859"/>
    <w:rsid w:val="001B1A12"/>
    <w:rsid w:val="001B1B00"/>
    <w:rsid w:val="001B1BAA"/>
    <w:rsid w:val="001B1C20"/>
    <w:rsid w:val="001B1C58"/>
    <w:rsid w:val="001B1D5F"/>
    <w:rsid w:val="001B1E2C"/>
    <w:rsid w:val="001B1E64"/>
    <w:rsid w:val="001B1E6E"/>
    <w:rsid w:val="001B1E92"/>
    <w:rsid w:val="001B1ECC"/>
    <w:rsid w:val="001B1F77"/>
    <w:rsid w:val="001B1F80"/>
    <w:rsid w:val="001B1F93"/>
    <w:rsid w:val="001B1FE9"/>
    <w:rsid w:val="001B200E"/>
    <w:rsid w:val="001B210F"/>
    <w:rsid w:val="001B213D"/>
    <w:rsid w:val="001B2190"/>
    <w:rsid w:val="001B2191"/>
    <w:rsid w:val="001B21A5"/>
    <w:rsid w:val="001B222E"/>
    <w:rsid w:val="001B2275"/>
    <w:rsid w:val="001B23DE"/>
    <w:rsid w:val="001B2444"/>
    <w:rsid w:val="001B245E"/>
    <w:rsid w:val="001B24FC"/>
    <w:rsid w:val="001B2600"/>
    <w:rsid w:val="001B2618"/>
    <w:rsid w:val="001B2749"/>
    <w:rsid w:val="001B275C"/>
    <w:rsid w:val="001B27E1"/>
    <w:rsid w:val="001B2947"/>
    <w:rsid w:val="001B29CC"/>
    <w:rsid w:val="001B29DC"/>
    <w:rsid w:val="001B2A5B"/>
    <w:rsid w:val="001B2A74"/>
    <w:rsid w:val="001B2C6D"/>
    <w:rsid w:val="001B2CBD"/>
    <w:rsid w:val="001B2D9E"/>
    <w:rsid w:val="001B2DF9"/>
    <w:rsid w:val="001B2E9E"/>
    <w:rsid w:val="001B313D"/>
    <w:rsid w:val="001B3193"/>
    <w:rsid w:val="001B3273"/>
    <w:rsid w:val="001B3333"/>
    <w:rsid w:val="001B3383"/>
    <w:rsid w:val="001B345F"/>
    <w:rsid w:val="001B3526"/>
    <w:rsid w:val="001B3542"/>
    <w:rsid w:val="001B3586"/>
    <w:rsid w:val="001B362D"/>
    <w:rsid w:val="001B36A2"/>
    <w:rsid w:val="001B36DB"/>
    <w:rsid w:val="001B36DF"/>
    <w:rsid w:val="001B3760"/>
    <w:rsid w:val="001B3836"/>
    <w:rsid w:val="001B38AF"/>
    <w:rsid w:val="001B390A"/>
    <w:rsid w:val="001B3935"/>
    <w:rsid w:val="001B3939"/>
    <w:rsid w:val="001B3953"/>
    <w:rsid w:val="001B39EC"/>
    <w:rsid w:val="001B3A72"/>
    <w:rsid w:val="001B3AB8"/>
    <w:rsid w:val="001B3B1F"/>
    <w:rsid w:val="001B3DD8"/>
    <w:rsid w:val="001B3EB5"/>
    <w:rsid w:val="001B3EE8"/>
    <w:rsid w:val="001B40B1"/>
    <w:rsid w:val="001B42D8"/>
    <w:rsid w:val="001B4417"/>
    <w:rsid w:val="001B44B5"/>
    <w:rsid w:val="001B44D9"/>
    <w:rsid w:val="001B4580"/>
    <w:rsid w:val="001B45BA"/>
    <w:rsid w:val="001B46AD"/>
    <w:rsid w:val="001B46B3"/>
    <w:rsid w:val="001B4735"/>
    <w:rsid w:val="001B47BE"/>
    <w:rsid w:val="001B4802"/>
    <w:rsid w:val="001B4BB0"/>
    <w:rsid w:val="001B4C45"/>
    <w:rsid w:val="001B4C4E"/>
    <w:rsid w:val="001B4C50"/>
    <w:rsid w:val="001B4CD0"/>
    <w:rsid w:val="001B4D36"/>
    <w:rsid w:val="001B4DD7"/>
    <w:rsid w:val="001B4E13"/>
    <w:rsid w:val="001B4F0B"/>
    <w:rsid w:val="001B4FB2"/>
    <w:rsid w:val="001B5073"/>
    <w:rsid w:val="001B5084"/>
    <w:rsid w:val="001B51CA"/>
    <w:rsid w:val="001B53CF"/>
    <w:rsid w:val="001B5418"/>
    <w:rsid w:val="001B54F8"/>
    <w:rsid w:val="001B5563"/>
    <w:rsid w:val="001B5586"/>
    <w:rsid w:val="001B56A1"/>
    <w:rsid w:val="001B56C1"/>
    <w:rsid w:val="001B5912"/>
    <w:rsid w:val="001B5938"/>
    <w:rsid w:val="001B5A77"/>
    <w:rsid w:val="001B5AD5"/>
    <w:rsid w:val="001B5B60"/>
    <w:rsid w:val="001B5CB4"/>
    <w:rsid w:val="001B5D6B"/>
    <w:rsid w:val="001B5DBC"/>
    <w:rsid w:val="001B5DC6"/>
    <w:rsid w:val="001B5E01"/>
    <w:rsid w:val="001B5E22"/>
    <w:rsid w:val="001B6053"/>
    <w:rsid w:val="001B6085"/>
    <w:rsid w:val="001B6125"/>
    <w:rsid w:val="001B61B1"/>
    <w:rsid w:val="001B6342"/>
    <w:rsid w:val="001B6558"/>
    <w:rsid w:val="001B658A"/>
    <w:rsid w:val="001B6713"/>
    <w:rsid w:val="001B674C"/>
    <w:rsid w:val="001B67EA"/>
    <w:rsid w:val="001B690F"/>
    <w:rsid w:val="001B697B"/>
    <w:rsid w:val="001B698B"/>
    <w:rsid w:val="001B69EC"/>
    <w:rsid w:val="001B69F0"/>
    <w:rsid w:val="001B6A64"/>
    <w:rsid w:val="001B6A71"/>
    <w:rsid w:val="001B6B9B"/>
    <w:rsid w:val="001B6C43"/>
    <w:rsid w:val="001B6C80"/>
    <w:rsid w:val="001B6CA8"/>
    <w:rsid w:val="001B6CAA"/>
    <w:rsid w:val="001B6CCB"/>
    <w:rsid w:val="001B6CD5"/>
    <w:rsid w:val="001B6FB3"/>
    <w:rsid w:val="001B6FD1"/>
    <w:rsid w:val="001B723C"/>
    <w:rsid w:val="001B7284"/>
    <w:rsid w:val="001B72A6"/>
    <w:rsid w:val="001B72AE"/>
    <w:rsid w:val="001B744E"/>
    <w:rsid w:val="001B74B6"/>
    <w:rsid w:val="001B7684"/>
    <w:rsid w:val="001B769A"/>
    <w:rsid w:val="001B770A"/>
    <w:rsid w:val="001B7805"/>
    <w:rsid w:val="001B7839"/>
    <w:rsid w:val="001B7860"/>
    <w:rsid w:val="001B7A67"/>
    <w:rsid w:val="001B7B7F"/>
    <w:rsid w:val="001B7C01"/>
    <w:rsid w:val="001B7C0B"/>
    <w:rsid w:val="001B7D65"/>
    <w:rsid w:val="001B7DC6"/>
    <w:rsid w:val="001C00CE"/>
    <w:rsid w:val="001C015C"/>
    <w:rsid w:val="001C016B"/>
    <w:rsid w:val="001C01D8"/>
    <w:rsid w:val="001C020C"/>
    <w:rsid w:val="001C0341"/>
    <w:rsid w:val="001C0596"/>
    <w:rsid w:val="001C05B6"/>
    <w:rsid w:val="001C07D7"/>
    <w:rsid w:val="001C08DA"/>
    <w:rsid w:val="001C08EF"/>
    <w:rsid w:val="001C08FD"/>
    <w:rsid w:val="001C0905"/>
    <w:rsid w:val="001C0930"/>
    <w:rsid w:val="001C0931"/>
    <w:rsid w:val="001C0972"/>
    <w:rsid w:val="001C09B1"/>
    <w:rsid w:val="001C09E6"/>
    <w:rsid w:val="001C0AFF"/>
    <w:rsid w:val="001C0BA5"/>
    <w:rsid w:val="001C0CD3"/>
    <w:rsid w:val="001C0CE5"/>
    <w:rsid w:val="001C0DF5"/>
    <w:rsid w:val="001C0FE7"/>
    <w:rsid w:val="001C1021"/>
    <w:rsid w:val="001C11C3"/>
    <w:rsid w:val="001C1203"/>
    <w:rsid w:val="001C130B"/>
    <w:rsid w:val="001C1359"/>
    <w:rsid w:val="001C1362"/>
    <w:rsid w:val="001C13D0"/>
    <w:rsid w:val="001C13F6"/>
    <w:rsid w:val="001C141C"/>
    <w:rsid w:val="001C142A"/>
    <w:rsid w:val="001C14C6"/>
    <w:rsid w:val="001C156A"/>
    <w:rsid w:val="001C1581"/>
    <w:rsid w:val="001C15E9"/>
    <w:rsid w:val="001C1607"/>
    <w:rsid w:val="001C1645"/>
    <w:rsid w:val="001C16C6"/>
    <w:rsid w:val="001C16E2"/>
    <w:rsid w:val="001C1740"/>
    <w:rsid w:val="001C1796"/>
    <w:rsid w:val="001C17D4"/>
    <w:rsid w:val="001C17E9"/>
    <w:rsid w:val="001C18BD"/>
    <w:rsid w:val="001C18FB"/>
    <w:rsid w:val="001C190C"/>
    <w:rsid w:val="001C1B49"/>
    <w:rsid w:val="001C1C07"/>
    <w:rsid w:val="001C1C52"/>
    <w:rsid w:val="001C1CD2"/>
    <w:rsid w:val="001C1D77"/>
    <w:rsid w:val="001C1E23"/>
    <w:rsid w:val="001C1E5B"/>
    <w:rsid w:val="001C200A"/>
    <w:rsid w:val="001C20D0"/>
    <w:rsid w:val="001C221A"/>
    <w:rsid w:val="001C22AD"/>
    <w:rsid w:val="001C22EE"/>
    <w:rsid w:val="001C2325"/>
    <w:rsid w:val="001C2329"/>
    <w:rsid w:val="001C235F"/>
    <w:rsid w:val="001C23D9"/>
    <w:rsid w:val="001C25BA"/>
    <w:rsid w:val="001C2703"/>
    <w:rsid w:val="001C2837"/>
    <w:rsid w:val="001C2A89"/>
    <w:rsid w:val="001C2AD7"/>
    <w:rsid w:val="001C2C1B"/>
    <w:rsid w:val="001C2C69"/>
    <w:rsid w:val="001C2C7B"/>
    <w:rsid w:val="001C2C7E"/>
    <w:rsid w:val="001C2F0C"/>
    <w:rsid w:val="001C2FBB"/>
    <w:rsid w:val="001C3024"/>
    <w:rsid w:val="001C310C"/>
    <w:rsid w:val="001C314C"/>
    <w:rsid w:val="001C323C"/>
    <w:rsid w:val="001C3246"/>
    <w:rsid w:val="001C3384"/>
    <w:rsid w:val="001C3398"/>
    <w:rsid w:val="001C33BB"/>
    <w:rsid w:val="001C3763"/>
    <w:rsid w:val="001C376B"/>
    <w:rsid w:val="001C3782"/>
    <w:rsid w:val="001C3837"/>
    <w:rsid w:val="001C3958"/>
    <w:rsid w:val="001C3A4A"/>
    <w:rsid w:val="001C3B91"/>
    <w:rsid w:val="001C3BB0"/>
    <w:rsid w:val="001C3BC3"/>
    <w:rsid w:val="001C3C42"/>
    <w:rsid w:val="001C3C84"/>
    <w:rsid w:val="001C3D06"/>
    <w:rsid w:val="001C3D29"/>
    <w:rsid w:val="001C3E0B"/>
    <w:rsid w:val="001C4057"/>
    <w:rsid w:val="001C4485"/>
    <w:rsid w:val="001C4497"/>
    <w:rsid w:val="001C4781"/>
    <w:rsid w:val="001C47CC"/>
    <w:rsid w:val="001C4876"/>
    <w:rsid w:val="001C48B5"/>
    <w:rsid w:val="001C48EC"/>
    <w:rsid w:val="001C48F3"/>
    <w:rsid w:val="001C497A"/>
    <w:rsid w:val="001C49EF"/>
    <w:rsid w:val="001C4A1D"/>
    <w:rsid w:val="001C4A4A"/>
    <w:rsid w:val="001C4B21"/>
    <w:rsid w:val="001C4B69"/>
    <w:rsid w:val="001C4C1A"/>
    <w:rsid w:val="001C4C66"/>
    <w:rsid w:val="001C4C76"/>
    <w:rsid w:val="001C4C92"/>
    <w:rsid w:val="001C4DA5"/>
    <w:rsid w:val="001C4FD6"/>
    <w:rsid w:val="001C500A"/>
    <w:rsid w:val="001C5027"/>
    <w:rsid w:val="001C516F"/>
    <w:rsid w:val="001C5266"/>
    <w:rsid w:val="001C53C6"/>
    <w:rsid w:val="001C5422"/>
    <w:rsid w:val="001C544A"/>
    <w:rsid w:val="001C561C"/>
    <w:rsid w:val="001C5691"/>
    <w:rsid w:val="001C585D"/>
    <w:rsid w:val="001C5865"/>
    <w:rsid w:val="001C5991"/>
    <w:rsid w:val="001C5AF2"/>
    <w:rsid w:val="001C5AF6"/>
    <w:rsid w:val="001C5C77"/>
    <w:rsid w:val="001C5CB0"/>
    <w:rsid w:val="001C5D6D"/>
    <w:rsid w:val="001C5DD6"/>
    <w:rsid w:val="001C5E6B"/>
    <w:rsid w:val="001C5EA0"/>
    <w:rsid w:val="001C5ECC"/>
    <w:rsid w:val="001C601D"/>
    <w:rsid w:val="001C607B"/>
    <w:rsid w:val="001C6124"/>
    <w:rsid w:val="001C61FE"/>
    <w:rsid w:val="001C6263"/>
    <w:rsid w:val="001C6336"/>
    <w:rsid w:val="001C63BA"/>
    <w:rsid w:val="001C6434"/>
    <w:rsid w:val="001C6481"/>
    <w:rsid w:val="001C6491"/>
    <w:rsid w:val="001C6493"/>
    <w:rsid w:val="001C6683"/>
    <w:rsid w:val="001C671F"/>
    <w:rsid w:val="001C682E"/>
    <w:rsid w:val="001C68C9"/>
    <w:rsid w:val="001C68F1"/>
    <w:rsid w:val="001C69B2"/>
    <w:rsid w:val="001C69CB"/>
    <w:rsid w:val="001C6B64"/>
    <w:rsid w:val="001C6B9F"/>
    <w:rsid w:val="001C6C0C"/>
    <w:rsid w:val="001C6C90"/>
    <w:rsid w:val="001C6D7B"/>
    <w:rsid w:val="001C6E25"/>
    <w:rsid w:val="001C6E9B"/>
    <w:rsid w:val="001C6F45"/>
    <w:rsid w:val="001C7033"/>
    <w:rsid w:val="001C706F"/>
    <w:rsid w:val="001C70AB"/>
    <w:rsid w:val="001C70F4"/>
    <w:rsid w:val="001C71DC"/>
    <w:rsid w:val="001C72AE"/>
    <w:rsid w:val="001C72B7"/>
    <w:rsid w:val="001C7396"/>
    <w:rsid w:val="001C74EC"/>
    <w:rsid w:val="001C75F2"/>
    <w:rsid w:val="001C761B"/>
    <w:rsid w:val="001C7679"/>
    <w:rsid w:val="001C76BA"/>
    <w:rsid w:val="001C7987"/>
    <w:rsid w:val="001C79EA"/>
    <w:rsid w:val="001C79F3"/>
    <w:rsid w:val="001C7A7C"/>
    <w:rsid w:val="001C7AE8"/>
    <w:rsid w:val="001C7B2C"/>
    <w:rsid w:val="001C7C13"/>
    <w:rsid w:val="001C7CF4"/>
    <w:rsid w:val="001C7D28"/>
    <w:rsid w:val="001C7DD9"/>
    <w:rsid w:val="001C7EDA"/>
    <w:rsid w:val="001C7EEB"/>
    <w:rsid w:val="001C7FEA"/>
    <w:rsid w:val="001D00D8"/>
    <w:rsid w:val="001D0196"/>
    <w:rsid w:val="001D01BF"/>
    <w:rsid w:val="001D01FB"/>
    <w:rsid w:val="001D01FE"/>
    <w:rsid w:val="001D02AA"/>
    <w:rsid w:val="001D033B"/>
    <w:rsid w:val="001D03FA"/>
    <w:rsid w:val="001D0438"/>
    <w:rsid w:val="001D0505"/>
    <w:rsid w:val="001D0511"/>
    <w:rsid w:val="001D05DD"/>
    <w:rsid w:val="001D0790"/>
    <w:rsid w:val="001D086D"/>
    <w:rsid w:val="001D0894"/>
    <w:rsid w:val="001D094C"/>
    <w:rsid w:val="001D097B"/>
    <w:rsid w:val="001D09B2"/>
    <w:rsid w:val="001D09FA"/>
    <w:rsid w:val="001D0A17"/>
    <w:rsid w:val="001D0BDE"/>
    <w:rsid w:val="001D0BED"/>
    <w:rsid w:val="001D0D46"/>
    <w:rsid w:val="001D0D6B"/>
    <w:rsid w:val="001D0DA7"/>
    <w:rsid w:val="001D0DD5"/>
    <w:rsid w:val="001D0EBC"/>
    <w:rsid w:val="001D0EF4"/>
    <w:rsid w:val="001D112F"/>
    <w:rsid w:val="001D11A4"/>
    <w:rsid w:val="001D1206"/>
    <w:rsid w:val="001D136E"/>
    <w:rsid w:val="001D13B5"/>
    <w:rsid w:val="001D1426"/>
    <w:rsid w:val="001D1434"/>
    <w:rsid w:val="001D14A1"/>
    <w:rsid w:val="001D1690"/>
    <w:rsid w:val="001D1779"/>
    <w:rsid w:val="001D1936"/>
    <w:rsid w:val="001D1A4D"/>
    <w:rsid w:val="001D1B1F"/>
    <w:rsid w:val="001D1C1F"/>
    <w:rsid w:val="001D1CD4"/>
    <w:rsid w:val="001D1CDA"/>
    <w:rsid w:val="001D1CEE"/>
    <w:rsid w:val="001D1DAC"/>
    <w:rsid w:val="001D1F33"/>
    <w:rsid w:val="001D1F45"/>
    <w:rsid w:val="001D1F49"/>
    <w:rsid w:val="001D1FB2"/>
    <w:rsid w:val="001D1FC6"/>
    <w:rsid w:val="001D213D"/>
    <w:rsid w:val="001D22AB"/>
    <w:rsid w:val="001D22E5"/>
    <w:rsid w:val="001D236F"/>
    <w:rsid w:val="001D2415"/>
    <w:rsid w:val="001D24D8"/>
    <w:rsid w:val="001D264B"/>
    <w:rsid w:val="001D265E"/>
    <w:rsid w:val="001D2698"/>
    <w:rsid w:val="001D2766"/>
    <w:rsid w:val="001D2843"/>
    <w:rsid w:val="001D286E"/>
    <w:rsid w:val="001D28E3"/>
    <w:rsid w:val="001D2942"/>
    <w:rsid w:val="001D29EC"/>
    <w:rsid w:val="001D2A29"/>
    <w:rsid w:val="001D2A30"/>
    <w:rsid w:val="001D2BBC"/>
    <w:rsid w:val="001D2C80"/>
    <w:rsid w:val="001D2C92"/>
    <w:rsid w:val="001D2CA9"/>
    <w:rsid w:val="001D2D03"/>
    <w:rsid w:val="001D2D97"/>
    <w:rsid w:val="001D2DC0"/>
    <w:rsid w:val="001D2F36"/>
    <w:rsid w:val="001D303E"/>
    <w:rsid w:val="001D30C3"/>
    <w:rsid w:val="001D3191"/>
    <w:rsid w:val="001D31A2"/>
    <w:rsid w:val="001D3282"/>
    <w:rsid w:val="001D32FF"/>
    <w:rsid w:val="001D332C"/>
    <w:rsid w:val="001D3384"/>
    <w:rsid w:val="001D33E5"/>
    <w:rsid w:val="001D3425"/>
    <w:rsid w:val="001D346F"/>
    <w:rsid w:val="001D352B"/>
    <w:rsid w:val="001D35A6"/>
    <w:rsid w:val="001D37F0"/>
    <w:rsid w:val="001D38B3"/>
    <w:rsid w:val="001D3A38"/>
    <w:rsid w:val="001D3A68"/>
    <w:rsid w:val="001D3B0D"/>
    <w:rsid w:val="001D3B6E"/>
    <w:rsid w:val="001D3B95"/>
    <w:rsid w:val="001D3BCE"/>
    <w:rsid w:val="001D3C6A"/>
    <w:rsid w:val="001D3C7F"/>
    <w:rsid w:val="001D3DC8"/>
    <w:rsid w:val="001D3E67"/>
    <w:rsid w:val="001D3FC6"/>
    <w:rsid w:val="001D403D"/>
    <w:rsid w:val="001D40CC"/>
    <w:rsid w:val="001D427E"/>
    <w:rsid w:val="001D4394"/>
    <w:rsid w:val="001D4467"/>
    <w:rsid w:val="001D44A4"/>
    <w:rsid w:val="001D4578"/>
    <w:rsid w:val="001D4623"/>
    <w:rsid w:val="001D464D"/>
    <w:rsid w:val="001D4693"/>
    <w:rsid w:val="001D4695"/>
    <w:rsid w:val="001D46AF"/>
    <w:rsid w:val="001D47EB"/>
    <w:rsid w:val="001D484C"/>
    <w:rsid w:val="001D4933"/>
    <w:rsid w:val="001D4A5C"/>
    <w:rsid w:val="001D4B08"/>
    <w:rsid w:val="001D4BF4"/>
    <w:rsid w:val="001D4CE0"/>
    <w:rsid w:val="001D4D20"/>
    <w:rsid w:val="001D4DA0"/>
    <w:rsid w:val="001D4DD2"/>
    <w:rsid w:val="001D4E0B"/>
    <w:rsid w:val="001D4E96"/>
    <w:rsid w:val="001D4F06"/>
    <w:rsid w:val="001D4F88"/>
    <w:rsid w:val="001D5004"/>
    <w:rsid w:val="001D50D7"/>
    <w:rsid w:val="001D5100"/>
    <w:rsid w:val="001D52AC"/>
    <w:rsid w:val="001D5432"/>
    <w:rsid w:val="001D5454"/>
    <w:rsid w:val="001D5494"/>
    <w:rsid w:val="001D5501"/>
    <w:rsid w:val="001D5536"/>
    <w:rsid w:val="001D561C"/>
    <w:rsid w:val="001D57F0"/>
    <w:rsid w:val="001D5827"/>
    <w:rsid w:val="001D5938"/>
    <w:rsid w:val="001D59F4"/>
    <w:rsid w:val="001D5B4C"/>
    <w:rsid w:val="001D5BCD"/>
    <w:rsid w:val="001D5D3E"/>
    <w:rsid w:val="001D5F7A"/>
    <w:rsid w:val="001D601B"/>
    <w:rsid w:val="001D6179"/>
    <w:rsid w:val="001D617E"/>
    <w:rsid w:val="001D62B0"/>
    <w:rsid w:val="001D62EF"/>
    <w:rsid w:val="001D6341"/>
    <w:rsid w:val="001D63D8"/>
    <w:rsid w:val="001D6444"/>
    <w:rsid w:val="001D647E"/>
    <w:rsid w:val="001D649C"/>
    <w:rsid w:val="001D6556"/>
    <w:rsid w:val="001D6623"/>
    <w:rsid w:val="001D6686"/>
    <w:rsid w:val="001D66F3"/>
    <w:rsid w:val="001D6705"/>
    <w:rsid w:val="001D67F5"/>
    <w:rsid w:val="001D696A"/>
    <w:rsid w:val="001D6A16"/>
    <w:rsid w:val="001D6A1E"/>
    <w:rsid w:val="001D6B0D"/>
    <w:rsid w:val="001D6B7C"/>
    <w:rsid w:val="001D6BAE"/>
    <w:rsid w:val="001D6C31"/>
    <w:rsid w:val="001D6C81"/>
    <w:rsid w:val="001D6D6F"/>
    <w:rsid w:val="001D6E61"/>
    <w:rsid w:val="001D6EE9"/>
    <w:rsid w:val="001D6F3E"/>
    <w:rsid w:val="001D6F80"/>
    <w:rsid w:val="001D6FA5"/>
    <w:rsid w:val="001D6FB7"/>
    <w:rsid w:val="001D7045"/>
    <w:rsid w:val="001D7143"/>
    <w:rsid w:val="001D7192"/>
    <w:rsid w:val="001D72BF"/>
    <w:rsid w:val="001D7358"/>
    <w:rsid w:val="001D7420"/>
    <w:rsid w:val="001D7578"/>
    <w:rsid w:val="001D7596"/>
    <w:rsid w:val="001D75FD"/>
    <w:rsid w:val="001D7668"/>
    <w:rsid w:val="001D769F"/>
    <w:rsid w:val="001D7743"/>
    <w:rsid w:val="001D77D1"/>
    <w:rsid w:val="001D789E"/>
    <w:rsid w:val="001D7927"/>
    <w:rsid w:val="001D79AF"/>
    <w:rsid w:val="001D7CDA"/>
    <w:rsid w:val="001E000D"/>
    <w:rsid w:val="001E0010"/>
    <w:rsid w:val="001E001F"/>
    <w:rsid w:val="001E0289"/>
    <w:rsid w:val="001E028C"/>
    <w:rsid w:val="001E02E1"/>
    <w:rsid w:val="001E0345"/>
    <w:rsid w:val="001E03AC"/>
    <w:rsid w:val="001E0473"/>
    <w:rsid w:val="001E06BD"/>
    <w:rsid w:val="001E07DC"/>
    <w:rsid w:val="001E08CB"/>
    <w:rsid w:val="001E0A11"/>
    <w:rsid w:val="001E0A6F"/>
    <w:rsid w:val="001E0AEF"/>
    <w:rsid w:val="001E0B15"/>
    <w:rsid w:val="001E0B84"/>
    <w:rsid w:val="001E0CED"/>
    <w:rsid w:val="001E0FC8"/>
    <w:rsid w:val="001E1035"/>
    <w:rsid w:val="001E10C2"/>
    <w:rsid w:val="001E126D"/>
    <w:rsid w:val="001E1329"/>
    <w:rsid w:val="001E14D4"/>
    <w:rsid w:val="001E167E"/>
    <w:rsid w:val="001E172E"/>
    <w:rsid w:val="001E174C"/>
    <w:rsid w:val="001E1820"/>
    <w:rsid w:val="001E195F"/>
    <w:rsid w:val="001E1970"/>
    <w:rsid w:val="001E1A25"/>
    <w:rsid w:val="001E1A3D"/>
    <w:rsid w:val="001E1A7D"/>
    <w:rsid w:val="001E1BCC"/>
    <w:rsid w:val="001E1DCF"/>
    <w:rsid w:val="001E1DD1"/>
    <w:rsid w:val="001E1E58"/>
    <w:rsid w:val="001E1EB9"/>
    <w:rsid w:val="001E1F73"/>
    <w:rsid w:val="001E1FAE"/>
    <w:rsid w:val="001E1FCC"/>
    <w:rsid w:val="001E212F"/>
    <w:rsid w:val="001E2133"/>
    <w:rsid w:val="001E21ED"/>
    <w:rsid w:val="001E22C0"/>
    <w:rsid w:val="001E22E9"/>
    <w:rsid w:val="001E230C"/>
    <w:rsid w:val="001E235E"/>
    <w:rsid w:val="001E24D1"/>
    <w:rsid w:val="001E2533"/>
    <w:rsid w:val="001E27C1"/>
    <w:rsid w:val="001E280A"/>
    <w:rsid w:val="001E296C"/>
    <w:rsid w:val="001E2A1B"/>
    <w:rsid w:val="001E2A1F"/>
    <w:rsid w:val="001E2DBD"/>
    <w:rsid w:val="001E2E06"/>
    <w:rsid w:val="001E2EA8"/>
    <w:rsid w:val="001E2F40"/>
    <w:rsid w:val="001E2F8A"/>
    <w:rsid w:val="001E2F93"/>
    <w:rsid w:val="001E305F"/>
    <w:rsid w:val="001E315D"/>
    <w:rsid w:val="001E31CC"/>
    <w:rsid w:val="001E31FC"/>
    <w:rsid w:val="001E3344"/>
    <w:rsid w:val="001E3350"/>
    <w:rsid w:val="001E347B"/>
    <w:rsid w:val="001E349F"/>
    <w:rsid w:val="001E35BA"/>
    <w:rsid w:val="001E35F0"/>
    <w:rsid w:val="001E37AD"/>
    <w:rsid w:val="001E37CF"/>
    <w:rsid w:val="001E3863"/>
    <w:rsid w:val="001E3896"/>
    <w:rsid w:val="001E38CC"/>
    <w:rsid w:val="001E38DA"/>
    <w:rsid w:val="001E38F4"/>
    <w:rsid w:val="001E38F8"/>
    <w:rsid w:val="001E3902"/>
    <w:rsid w:val="001E3983"/>
    <w:rsid w:val="001E39ED"/>
    <w:rsid w:val="001E39FF"/>
    <w:rsid w:val="001E3A48"/>
    <w:rsid w:val="001E3A7F"/>
    <w:rsid w:val="001E3B33"/>
    <w:rsid w:val="001E3B56"/>
    <w:rsid w:val="001E3D31"/>
    <w:rsid w:val="001E3E03"/>
    <w:rsid w:val="001E3E4E"/>
    <w:rsid w:val="001E3F33"/>
    <w:rsid w:val="001E3F64"/>
    <w:rsid w:val="001E3F8B"/>
    <w:rsid w:val="001E401B"/>
    <w:rsid w:val="001E416C"/>
    <w:rsid w:val="001E42BB"/>
    <w:rsid w:val="001E42D6"/>
    <w:rsid w:val="001E441D"/>
    <w:rsid w:val="001E4437"/>
    <w:rsid w:val="001E44D9"/>
    <w:rsid w:val="001E44F3"/>
    <w:rsid w:val="001E456C"/>
    <w:rsid w:val="001E460B"/>
    <w:rsid w:val="001E4626"/>
    <w:rsid w:val="001E46D8"/>
    <w:rsid w:val="001E4707"/>
    <w:rsid w:val="001E47E2"/>
    <w:rsid w:val="001E47F6"/>
    <w:rsid w:val="001E498B"/>
    <w:rsid w:val="001E4A27"/>
    <w:rsid w:val="001E4ACF"/>
    <w:rsid w:val="001E4AFD"/>
    <w:rsid w:val="001E4C5E"/>
    <w:rsid w:val="001E4DC3"/>
    <w:rsid w:val="001E4E70"/>
    <w:rsid w:val="001E4F47"/>
    <w:rsid w:val="001E4F64"/>
    <w:rsid w:val="001E51A0"/>
    <w:rsid w:val="001E52B7"/>
    <w:rsid w:val="001E52E9"/>
    <w:rsid w:val="001E5368"/>
    <w:rsid w:val="001E53AE"/>
    <w:rsid w:val="001E53DF"/>
    <w:rsid w:val="001E54C2"/>
    <w:rsid w:val="001E54CE"/>
    <w:rsid w:val="001E5597"/>
    <w:rsid w:val="001E55C0"/>
    <w:rsid w:val="001E55D3"/>
    <w:rsid w:val="001E55D5"/>
    <w:rsid w:val="001E5640"/>
    <w:rsid w:val="001E56BD"/>
    <w:rsid w:val="001E56D0"/>
    <w:rsid w:val="001E5774"/>
    <w:rsid w:val="001E5810"/>
    <w:rsid w:val="001E599B"/>
    <w:rsid w:val="001E59F9"/>
    <w:rsid w:val="001E5A39"/>
    <w:rsid w:val="001E5A99"/>
    <w:rsid w:val="001E5B77"/>
    <w:rsid w:val="001E5B99"/>
    <w:rsid w:val="001E5CBA"/>
    <w:rsid w:val="001E5DF9"/>
    <w:rsid w:val="001E5E7E"/>
    <w:rsid w:val="001E630C"/>
    <w:rsid w:val="001E63D6"/>
    <w:rsid w:val="001E65C9"/>
    <w:rsid w:val="001E664A"/>
    <w:rsid w:val="001E666D"/>
    <w:rsid w:val="001E676C"/>
    <w:rsid w:val="001E6811"/>
    <w:rsid w:val="001E68CB"/>
    <w:rsid w:val="001E69BD"/>
    <w:rsid w:val="001E69D4"/>
    <w:rsid w:val="001E6AAB"/>
    <w:rsid w:val="001E6AC1"/>
    <w:rsid w:val="001E6ACD"/>
    <w:rsid w:val="001E6B0B"/>
    <w:rsid w:val="001E6B92"/>
    <w:rsid w:val="001E6BC5"/>
    <w:rsid w:val="001E6C62"/>
    <w:rsid w:val="001E6CDA"/>
    <w:rsid w:val="001E6D16"/>
    <w:rsid w:val="001E6E15"/>
    <w:rsid w:val="001E6F16"/>
    <w:rsid w:val="001E7033"/>
    <w:rsid w:val="001E7203"/>
    <w:rsid w:val="001E7358"/>
    <w:rsid w:val="001E7392"/>
    <w:rsid w:val="001E73B8"/>
    <w:rsid w:val="001E73C1"/>
    <w:rsid w:val="001E7494"/>
    <w:rsid w:val="001E762B"/>
    <w:rsid w:val="001E76B0"/>
    <w:rsid w:val="001E7877"/>
    <w:rsid w:val="001E78B8"/>
    <w:rsid w:val="001E78DE"/>
    <w:rsid w:val="001E79C7"/>
    <w:rsid w:val="001E7A21"/>
    <w:rsid w:val="001E7A8F"/>
    <w:rsid w:val="001E7AE6"/>
    <w:rsid w:val="001E7B03"/>
    <w:rsid w:val="001E7B3D"/>
    <w:rsid w:val="001E7B4D"/>
    <w:rsid w:val="001E7E9A"/>
    <w:rsid w:val="001E7F10"/>
    <w:rsid w:val="001E7FA6"/>
    <w:rsid w:val="001F0037"/>
    <w:rsid w:val="001F006E"/>
    <w:rsid w:val="001F009F"/>
    <w:rsid w:val="001F0101"/>
    <w:rsid w:val="001F010E"/>
    <w:rsid w:val="001F014C"/>
    <w:rsid w:val="001F01A4"/>
    <w:rsid w:val="001F06C4"/>
    <w:rsid w:val="001F07C5"/>
    <w:rsid w:val="001F08F6"/>
    <w:rsid w:val="001F08F8"/>
    <w:rsid w:val="001F0953"/>
    <w:rsid w:val="001F0A13"/>
    <w:rsid w:val="001F0BC6"/>
    <w:rsid w:val="001F0CA3"/>
    <w:rsid w:val="001F0D1A"/>
    <w:rsid w:val="001F0DB4"/>
    <w:rsid w:val="001F0DF1"/>
    <w:rsid w:val="001F0FFE"/>
    <w:rsid w:val="001F1000"/>
    <w:rsid w:val="001F1041"/>
    <w:rsid w:val="001F119F"/>
    <w:rsid w:val="001F1210"/>
    <w:rsid w:val="001F122F"/>
    <w:rsid w:val="001F1327"/>
    <w:rsid w:val="001F1426"/>
    <w:rsid w:val="001F172C"/>
    <w:rsid w:val="001F182B"/>
    <w:rsid w:val="001F18E1"/>
    <w:rsid w:val="001F18F6"/>
    <w:rsid w:val="001F19B5"/>
    <w:rsid w:val="001F1A23"/>
    <w:rsid w:val="001F1ACE"/>
    <w:rsid w:val="001F1B3E"/>
    <w:rsid w:val="001F1C05"/>
    <w:rsid w:val="001F1C3B"/>
    <w:rsid w:val="001F1CC9"/>
    <w:rsid w:val="001F1D71"/>
    <w:rsid w:val="001F1DB1"/>
    <w:rsid w:val="001F1FB9"/>
    <w:rsid w:val="001F2063"/>
    <w:rsid w:val="001F20F3"/>
    <w:rsid w:val="001F2146"/>
    <w:rsid w:val="001F2198"/>
    <w:rsid w:val="001F2232"/>
    <w:rsid w:val="001F22E5"/>
    <w:rsid w:val="001F2306"/>
    <w:rsid w:val="001F23D3"/>
    <w:rsid w:val="001F2470"/>
    <w:rsid w:val="001F24E5"/>
    <w:rsid w:val="001F2546"/>
    <w:rsid w:val="001F25C9"/>
    <w:rsid w:val="001F25F7"/>
    <w:rsid w:val="001F2788"/>
    <w:rsid w:val="001F278B"/>
    <w:rsid w:val="001F27E0"/>
    <w:rsid w:val="001F298E"/>
    <w:rsid w:val="001F29AF"/>
    <w:rsid w:val="001F29D4"/>
    <w:rsid w:val="001F29E8"/>
    <w:rsid w:val="001F29F8"/>
    <w:rsid w:val="001F2F95"/>
    <w:rsid w:val="001F3074"/>
    <w:rsid w:val="001F315F"/>
    <w:rsid w:val="001F31D1"/>
    <w:rsid w:val="001F3204"/>
    <w:rsid w:val="001F3254"/>
    <w:rsid w:val="001F32C1"/>
    <w:rsid w:val="001F32CC"/>
    <w:rsid w:val="001F3364"/>
    <w:rsid w:val="001F340A"/>
    <w:rsid w:val="001F3486"/>
    <w:rsid w:val="001F3653"/>
    <w:rsid w:val="001F36B6"/>
    <w:rsid w:val="001F371B"/>
    <w:rsid w:val="001F37B9"/>
    <w:rsid w:val="001F3865"/>
    <w:rsid w:val="001F396C"/>
    <w:rsid w:val="001F3A45"/>
    <w:rsid w:val="001F3AB0"/>
    <w:rsid w:val="001F3C90"/>
    <w:rsid w:val="001F3D80"/>
    <w:rsid w:val="001F3E79"/>
    <w:rsid w:val="001F3EC9"/>
    <w:rsid w:val="001F4032"/>
    <w:rsid w:val="001F4035"/>
    <w:rsid w:val="001F4074"/>
    <w:rsid w:val="001F40C1"/>
    <w:rsid w:val="001F418C"/>
    <w:rsid w:val="001F431E"/>
    <w:rsid w:val="001F4399"/>
    <w:rsid w:val="001F443A"/>
    <w:rsid w:val="001F44DC"/>
    <w:rsid w:val="001F454B"/>
    <w:rsid w:val="001F4587"/>
    <w:rsid w:val="001F465B"/>
    <w:rsid w:val="001F46E6"/>
    <w:rsid w:val="001F4753"/>
    <w:rsid w:val="001F484D"/>
    <w:rsid w:val="001F4962"/>
    <w:rsid w:val="001F49A2"/>
    <w:rsid w:val="001F49BD"/>
    <w:rsid w:val="001F4B1C"/>
    <w:rsid w:val="001F4B23"/>
    <w:rsid w:val="001F4B49"/>
    <w:rsid w:val="001F4BD2"/>
    <w:rsid w:val="001F4C1A"/>
    <w:rsid w:val="001F4C30"/>
    <w:rsid w:val="001F4CA3"/>
    <w:rsid w:val="001F4E94"/>
    <w:rsid w:val="001F4FD0"/>
    <w:rsid w:val="001F509B"/>
    <w:rsid w:val="001F50E6"/>
    <w:rsid w:val="001F5185"/>
    <w:rsid w:val="001F51A0"/>
    <w:rsid w:val="001F5256"/>
    <w:rsid w:val="001F5342"/>
    <w:rsid w:val="001F5394"/>
    <w:rsid w:val="001F5397"/>
    <w:rsid w:val="001F539F"/>
    <w:rsid w:val="001F544B"/>
    <w:rsid w:val="001F54EE"/>
    <w:rsid w:val="001F55AE"/>
    <w:rsid w:val="001F5606"/>
    <w:rsid w:val="001F5719"/>
    <w:rsid w:val="001F5756"/>
    <w:rsid w:val="001F58CE"/>
    <w:rsid w:val="001F5A44"/>
    <w:rsid w:val="001F5C2A"/>
    <w:rsid w:val="001F5C77"/>
    <w:rsid w:val="001F5C95"/>
    <w:rsid w:val="001F5CC6"/>
    <w:rsid w:val="001F5DB8"/>
    <w:rsid w:val="001F5DCA"/>
    <w:rsid w:val="001F5E16"/>
    <w:rsid w:val="001F5E47"/>
    <w:rsid w:val="001F5E5A"/>
    <w:rsid w:val="001F5E5B"/>
    <w:rsid w:val="001F5E86"/>
    <w:rsid w:val="001F5FD3"/>
    <w:rsid w:val="001F615E"/>
    <w:rsid w:val="001F6263"/>
    <w:rsid w:val="001F62DB"/>
    <w:rsid w:val="001F6361"/>
    <w:rsid w:val="001F6508"/>
    <w:rsid w:val="001F65B9"/>
    <w:rsid w:val="001F66D8"/>
    <w:rsid w:val="001F67F8"/>
    <w:rsid w:val="001F686F"/>
    <w:rsid w:val="001F6902"/>
    <w:rsid w:val="001F691E"/>
    <w:rsid w:val="001F6927"/>
    <w:rsid w:val="001F692A"/>
    <w:rsid w:val="001F699B"/>
    <w:rsid w:val="001F6CA3"/>
    <w:rsid w:val="001F6CE7"/>
    <w:rsid w:val="001F6E06"/>
    <w:rsid w:val="001F6E31"/>
    <w:rsid w:val="001F6E3F"/>
    <w:rsid w:val="001F6E58"/>
    <w:rsid w:val="001F6E85"/>
    <w:rsid w:val="001F6EC1"/>
    <w:rsid w:val="001F702F"/>
    <w:rsid w:val="001F70FC"/>
    <w:rsid w:val="001F726A"/>
    <w:rsid w:val="001F7307"/>
    <w:rsid w:val="001F7332"/>
    <w:rsid w:val="001F7339"/>
    <w:rsid w:val="001F74EC"/>
    <w:rsid w:val="001F75A4"/>
    <w:rsid w:val="001F767B"/>
    <w:rsid w:val="001F76CE"/>
    <w:rsid w:val="001F7750"/>
    <w:rsid w:val="001F7789"/>
    <w:rsid w:val="001F7811"/>
    <w:rsid w:val="001F783F"/>
    <w:rsid w:val="001F788E"/>
    <w:rsid w:val="001F790F"/>
    <w:rsid w:val="001F7923"/>
    <w:rsid w:val="001F7947"/>
    <w:rsid w:val="001F7AC3"/>
    <w:rsid w:val="001F7C3B"/>
    <w:rsid w:val="001F7D67"/>
    <w:rsid w:val="001F7D90"/>
    <w:rsid w:val="001F7F74"/>
    <w:rsid w:val="001F7FCE"/>
    <w:rsid w:val="002001BB"/>
    <w:rsid w:val="002001C4"/>
    <w:rsid w:val="00200223"/>
    <w:rsid w:val="002002B5"/>
    <w:rsid w:val="00200310"/>
    <w:rsid w:val="00200312"/>
    <w:rsid w:val="00200399"/>
    <w:rsid w:val="00200427"/>
    <w:rsid w:val="00200548"/>
    <w:rsid w:val="0020062D"/>
    <w:rsid w:val="002009C3"/>
    <w:rsid w:val="00200AA1"/>
    <w:rsid w:val="00200B88"/>
    <w:rsid w:val="00200BC0"/>
    <w:rsid w:val="00200C31"/>
    <w:rsid w:val="00200CB2"/>
    <w:rsid w:val="00200E27"/>
    <w:rsid w:val="00200FB4"/>
    <w:rsid w:val="00201067"/>
    <w:rsid w:val="002010E7"/>
    <w:rsid w:val="002010FD"/>
    <w:rsid w:val="00201119"/>
    <w:rsid w:val="00201277"/>
    <w:rsid w:val="0020127A"/>
    <w:rsid w:val="0020146A"/>
    <w:rsid w:val="002015B2"/>
    <w:rsid w:val="00201755"/>
    <w:rsid w:val="0020184F"/>
    <w:rsid w:val="002018C2"/>
    <w:rsid w:val="0020190C"/>
    <w:rsid w:val="00201B62"/>
    <w:rsid w:val="00201BD0"/>
    <w:rsid w:val="00201BE7"/>
    <w:rsid w:val="00201BFB"/>
    <w:rsid w:val="00201DD9"/>
    <w:rsid w:val="00201E35"/>
    <w:rsid w:val="00201E3F"/>
    <w:rsid w:val="00201E42"/>
    <w:rsid w:val="00201E9D"/>
    <w:rsid w:val="00201EAA"/>
    <w:rsid w:val="00201EAE"/>
    <w:rsid w:val="00201F6F"/>
    <w:rsid w:val="00201F8F"/>
    <w:rsid w:val="00201FB7"/>
    <w:rsid w:val="002020A5"/>
    <w:rsid w:val="002021C5"/>
    <w:rsid w:val="00202224"/>
    <w:rsid w:val="00202251"/>
    <w:rsid w:val="00202275"/>
    <w:rsid w:val="002022A8"/>
    <w:rsid w:val="00202301"/>
    <w:rsid w:val="0020239E"/>
    <w:rsid w:val="002023A3"/>
    <w:rsid w:val="002023DB"/>
    <w:rsid w:val="002023DC"/>
    <w:rsid w:val="0020244C"/>
    <w:rsid w:val="0020244D"/>
    <w:rsid w:val="0020250D"/>
    <w:rsid w:val="0020254D"/>
    <w:rsid w:val="00202671"/>
    <w:rsid w:val="00202673"/>
    <w:rsid w:val="00202776"/>
    <w:rsid w:val="00202804"/>
    <w:rsid w:val="0020280B"/>
    <w:rsid w:val="00202863"/>
    <w:rsid w:val="002029A8"/>
    <w:rsid w:val="002029C3"/>
    <w:rsid w:val="00202AFE"/>
    <w:rsid w:val="00202B06"/>
    <w:rsid w:val="00202B4A"/>
    <w:rsid w:val="00202BC3"/>
    <w:rsid w:val="00202DF0"/>
    <w:rsid w:val="00202ECC"/>
    <w:rsid w:val="00202F0A"/>
    <w:rsid w:val="00202FC6"/>
    <w:rsid w:val="00202FD3"/>
    <w:rsid w:val="00202FDA"/>
    <w:rsid w:val="00202FF9"/>
    <w:rsid w:val="0020307A"/>
    <w:rsid w:val="0020324F"/>
    <w:rsid w:val="0020328E"/>
    <w:rsid w:val="0020343A"/>
    <w:rsid w:val="00203457"/>
    <w:rsid w:val="002034C8"/>
    <w:rsid w:val="00203715"/>
    <w:rsid w:val="00203759"/>
    <w:rsid w:val="002037F2"/>
    <w:rsid w:val="00203824"/>
    <w:rsid w:val="0020389F"/>
    <w:rsid w:val="002038CD"/>
    <w:rsid w:val="002038EF"/>
    <w:rsid w:val="00203911"/>
    <w:rsid w:val="0020396C"/>
    <w:rsid w:val="00203A0C"/>
    <w:rsid w:val="00203A99"/>
    <w:rsid w:val="00203C97"/>
    <w:rsid w:val="00203D64"/>
    <w:rsid w:val="00203DD1"/>
    <w:rsid w:val="00203DF9"/>
    <w:rsid w:val="00203E04"/>
    <w:rsid w:val="00203E84"/>
    <w:rsid w:val="00203E8F"/>
    <w:rsid w:val="0020406A"/>
    <w:rsid w:val="002041C3"/>
    <w:rsid w:val="0020422F"/>
    <w:rsid w:val="00204333"/>
    <w:rsid w:val="0020434A"/>
    <w:rsid w:val="00204392"/>
    <w:rsid w:val="0020440C"/>
    <w:rsid w:val="0020447E"/>
    <w:rsid w:val="002046B7"/>
    <w:rsid w:val="0020474C"/>
    <w:rsid w:val="0020487D"/>
    <w:rsid w:val="002048E0"/>
    <w:rsid w:val="00204945"/>
    <w:rsid w:val="00204974"/>
    <w:rsid w:val="002049A2"/>
    <w:rsid w:val="002049AE"/>
    <w:rsid w:val="002049BE"/>
    <w:rsid w:val="00204A0E"/>
    <w:rsid w:val="00204A8B"/>
    <w:rsid w:val="00204AC6"/>
    <w:rsid w:val="00204C0E"/>
    <w:rsid w:val="00204C22"/>
    <w:rsid w:val="00204CF2"/>
    <w:rsid w:val="00204F1A"/>
    <w:rsid w:val="00205002"/>
    <w:rsid w:val="00205034"/>
    <w:rsid w:val="002050D5"/>
    <w:rsid w:val="00205105"/>
    <w:rsid w:val="002051AC"/>
    <w:rsid w:val="002051B6"/>
    <w:rsid w:val="002051F3"/>
    <w:rsid w:val="0020534B"/>
    <w:rsid w:val="00205370"/>
    <w:rsid w:val="00205372"/>
    <w:rsid w:val="0020548E"/>
    <w:rsid w:val="0020549B"/>
    <w:rsid w:val="002055E9"/>
    <w:rsid w:val="0020579F"/>
    <w:rsid w:val="002057DE"/>
    <w:rsid w:val="00205805"/>
    <w:rsid w:val="002058B5"/>
    <w:rsid w:val="002058B8"/>
    <w:rsid w:val="00205927"/>
    <w:rsid w:val="00205A7B"/>
    <w:rsid w:val="00205AE3"/>
    <w:rsid w:val="00205B68"/>
    <w:rsid w:val="00205D40"/>
    <w:rsid w:val="00205DCD"/>
    <w:rsid w:val="00205E4C"/>
    <w:rsid w:val="00205EB0"/>
    <w:rsid w:val="00205F26"/>
    <w:rsid w:val="00205F4C"/>
    <w:rsid w:val="00205F7D"/>
    <w:rsid w:val="00206061"/>
    <w:rsid w:val="002060D1"/>
    <w:rsid w:val="00206153"/>
    <w:rsid w:val="002061B3"/>
    <w:rsid w:val="002061C5"/>
    <w:rsid w:val="002062F7"/>
    <w:rsid w:val="00206330"/>
    <w:rsid w:val="002064E3"/>
    <w:rsid w:val="00206626"/>
    <w:rsid w:val="002067F4"/>
    <w:rsid w:val="00206847"/>
    <w:rsid w:val="00206909"/>
    <w:rsid w:val="0020699C"/>
    <w:rsid w:val="002069E2"/>
    <w:rsid w:val="00206A5F"/>
    <w:rsid w:val="00206B99"/>
    <w:rsid w:val="00206BE2"/>
    <w:rsid w:val="00206CDC"/>
    <w:rsid w:val="00206D56"/>
    <w:rsid w:val="00206D5E"/>
    <w:rsid w:val="00206D9E"/>
    <w:rsid w:val="00206EF6"/>
    <w:rsid w:val="00206F5D"/>
    <w:rsid w:val="00206FDF"/>
    <w:rsid w:val="00206FFA"/>
    <w:rsid w:val="00206FFF"/>
    <w:rsid w:val="00207021"/>
    <w:rsid w:val="0020708E"/>
    <w:rsid w:val="0020709A"/>
    <w:rsid w:val="00207163"/>
    <w:rsid w:val="0020716A"/>
    <w:rsid w:val="00207227"/>
    <w:rsid w:val="0020723A"/>
    <w:rsid w:val="002072A3"/>
    <w:rsid w:val="002072CF"/>
    <w:rsid w:val="00207351"/>
    <w:rsid w:val="002074A6"/>
    <w:rsid w:val="00207625"/>
    <w:rsid w:val="0020797D"/>
    <w:rsid w:val="002079CD"/>
    <w:rsid w:val="002079D7"/>
    <w:rsid w:val="00207BA6"/>
    <w:rsid w:val="00207CE7"/>
    <w:rsid w:val="00207D8B"/>
    <w:rsid w:val="00207E44"/>
    <w:rsid w:val="00207F6F"/>
    <w:rsid w:val="00207F9A"/>
    <w:rsid w:val="00207FBA"/>
    <w:rsid w:val="0021007D"/>
    <w:rsid w:val="002100E1"/>
    <w:rsid w:val="0021016E"/>
    <w:rsid w:val="0021020A"/>
    <w:rsid w:val="0021020F"/>
    <w:rsid w:val="0021021B"/>
    <w:rsid w:val="00210292"/>
    <w:rsid w:val="00210305"/>
    <w:rsid w:val="0021062E"/>
    <w:rsid w:val="0021079E"/>
    <w:rsid w:val="002107A1"/>
    <w:rsid w:val="00210876"/>
    <w:rsid w:val="002108B1"/>
    <w:rsid w:val="0021090B"/>
    <w:rsid w:val="00210A00"/>
    <w:rsid w:val="00210ABD"/>
    <w:rsid w:val="00210AC7"/>
    <w:rsid w:val="00210AC8"/>
    <w:rsid w:val="00210B2F"/>
    <w:rsid w:val="00210C9C"/>
    <w:rsid w:val="00210CC6"/>
    <w:rsid w:val="00211341"/>
    <w:rsid w:val="0021134D"/>
    <w:rsid w:val="002115C5"/>
    <w:rsid w:val="00211765"/>
    <w:rsid w:val="002117CA"/>
    <w:rsid w:val="002117E2"/>
    <w:rsid w:val="00211891"/>
    <w:rsid w:val="002119E6"/>
    <w:rsid w:val="00211A7A"/>
    <w:rsid w:val="00211AB5"/>
    <w:rsid w:val="00211BBE"/>
    <w:rsid w:val="00211BC9"/>
    <w:rsid w:val="00211BFF"/>
    <w:rsid w:val="00211C77"/>
    <w:rsid w:val="00211CE9"/>
    <w:rsid w:val="00211D16"/>
    <w:rsid w:val="00211D7B"/>
    <w:rsid w:val="00211DA9"/>
    <w:rsid w:val="00211E7C"/>
    <w:rsid w:val="00211EAC"/>
    <w:rsid w:val="00212058"/>
    <w:rsid w:val="0021220C"/>
    <w:rsid w:val="00212251"/>
    <w:rsid w:val="00212403"/>
    <w:rsid w:val="00212438"/>
    <w:rsid w:val="0021248C"/>
    <w:rsid w:val="0021264D"/>
    <w:rsid w:val="002126D6"/>
    <w:rsid w:val="00212725"/>
    <w:rsid w:val="00212802"/>
    <w:rsid w:val="002128CA"/>
    <w:rsid w:val="002128DB"/>
    <w:rsid w:val="002128FE"/>
    <w:rsid w:val="002129EF"/>
    <w:rsid w:val="00212A0A"/>
    <w:rsid w:val="00212A34"/>
    <w:rsid w:val="00212A35"/>
    <w:rsid w:val="00212A8B"/>
    <w:rsid w:val="00212B4B"/>
    <w:rsid w:val="00212C09"/>
    <w:rsid w:val="00212C71"/>
    <w:rsid w:val="00212CFB"/>
    <w:rsid w:val="00212D1D"/>
    <w:rsid w:val="00212D28"/>
    <w:rsid w:val="00212D64"/>
    <w:rsid w:val="00212E9C"/>
    <w:rsid w:val="00212EAF"/>
    <w:rsid w:val="00212F5A"/>
    <w:rsid w:val="00213003"/>
    <w:rsid w:val="002130BA"/>
    <w:rsid w:val="0021315B"/>
    <w:rsid w:val="00213168"/>
    <w:rsid w:val="00213279"/>
    <w:rsid w:val="00213300"/>
    <w:rsid w:val="0021346F"/>
    <w:rsid w:val="00213479"/>
    <w:rsid w:val="002134EC"/>
    <w:rsid w:val="002134FA"/>
    <w:rsid w:val="0021350F"/>
    <w:rsid w:val="002135AC"/>
    <w:rsid w:val="002136E7"/>
    <w:rsid w:val="00213835"/>
    <w:rsid w:val="002139E8"/>
    <w:rsid w:val="00213A9C"/>
    <w:rsid w:val="00213BF8"/>
    <w:rsid w:val="00213D27"/>
    <w:rsid w:val="00213DDE"/>
    <w:rsid w:val="00213DF9"/>
    <w:rsid w:val="00213E11"/>
    <w:rsid w:val="00213E2E"/>
    <w:rsid w:val="00213E58"/>
    <w:rsid w:val="00213E63"/>
    <w:rsid w:val="00213F53"/>
    <w:rsid w:val="00213F56"/>
    <w:rsid w:val="002140D3"/>
    <w:rsid w:val="0021416B"/>
    <w:rsid w:val="00214316"/>
    <w:rsid w:val="0021435C"/>
    <w:rsid w:val="00214413"/>
    <w:rsid w:val="0021443B"/>
    <w:rsid w:val="0021453A"/>
    <w:rsid w:val="00214595"/>
    <w:rsid w:val="00214618"/>
    <w:rsid w:val="00214623"/>
    <w:rsid w:val="00214744"/>
    <w:rsid w:val="00214BE1"/>
    <w:rsid w:val="00214C13"/>
    <w:rsid w:val="00214EDC"/>
    <w:rsid w:val="00214F5A"/>
    <w:rsid w:val="00214F75"/>
    <w:rsid w:val="0021500C"/>
    <w:rsid w:val="0021513F"/>
    <w:rsid w:val="00215164"/>
    <w:rsid w:val="002152D9"/>
    <w:rsid w:val="00215315"/>
    <w:rsid w:val="0021534E"/>
    <w:rsid w:val="00215401"/>
    <w:rsid w:val="0021547F"/>
    <w:rsid w:val="002154B1"/>
    <w:rsid w:val="002155B5"/>
    <w:rsid w:val="002155D5"/>
    <w:rsid w:val="002155F6"/>
    <w:rsid w:val="00215629"/>
    <w:rsid w:val="0021563D"/>
    <w:rsid w:val="002157A4"/>
    <w:rsid w:val="00215887"/>
    <w:rsid w:val="002158D2"/>
    <w:rsid w:val="002158F9"/>
    <w:rsid w:val="002159A6"/>
    <w:rsid w:val="002159F6"/>
    <w:rsid w:val="00215A53"/>
    <w:rsid w:val="00215AB5"/>
    <w:rsid w:val="00215B48"/>
    <w:rsid w:val="00215C7A"/>
    <w:rsid w:val="00215C8C"/>
    <w:rsid w:val="00215CF9"/>
    <w:rsid w:val="00215DD8"/>
    <w:rsid w:val="00215E9C"/>
    <w:rsid w:val="00215EBB"/>
    <w:rsid w:val="00215F75"/>
    <w:rsid w:val="00216021"/>
    <w:rsid w:val="00216212"/>
    <w:rsid w:val="00216277"/>
    <w:rsid w:val="00216305"/>
    <w:rsid w:val="002163B7"/>
    <w:rsid w:val="00216466"/>
    <w:rsid w:val="00216482"/>
    <w:rsid w:val="002164ED"/>
    <w:rsid w:val="00216586"/>
    <w:rsid w:val="00216594"/>
    <w:rsid w:val="00216821"/>
    <w:rsid w:val="00216894"/>
    <w:rsid w:val="0021694C"/>
    <w:rsid w:val="002169FD"/>
    <w:rsid w:val="00216A3B"/>
    <w:rsid w:val="00216A5F"/>
    <w:rsid w:val="00216AE1"/>
    <w:rsid w:val="00216B17"/>
    <w:rsid w:val="00216B3B"/>
    <w:rsid w:val="00216B99"/>
    <w:rsid w:val="00216CA9"/>
    <w:rsid w:val="00216CAE"/>
    <w:rsid w:val="00216CC8"/>
    <w:rsid w:val="00216DD8"/>
    <w:rsid w:val="00216EB2"/>
    <w:rsid w:val="00216EC4"/>
    <w:rsid w:val="00216F4F"/>
    <w:rsid w:val="00216FE9"/>
    <w:rsid w:val="00216FF8"/>
    <w:rsid w:val="0021701E"/>
    <w:rsid w:val="0021702B"/>
    <w:rsid w:val="00217173"/>
    <w:rsid w:val="002171AA"/>
    <w:rsid w:val="00217209"/>
    <w:rsid w:val="0021741D"/>
    <w:rsid w:val="0021752C"/>
    <w:rsid w:val="00217571"/>
    <w:rsid w:val="002176EB"/>
    <w:rsid w:val="00217701"/>
    <w:rsid w:val="00217731"/>
    <w:rsid w:val="002179EA"/>
    <w:rsid w:val="00217A37"/>
    <w:rsid w:val="00217B6F"/>
    <w:rsid w:val="00217B70"/>
    <w:rsid w:val="00217BA1"/>
    <w:rsid w:val="00217C23"/>
    <w:rsid w:val="00217C6F"/>
    <w:rsid w:val="00217CBB"/>
    <w:rsid w:val="00217D1F"/>
    <w:rsid w:val="00217D56"/>
    <w:rsid w:val="00217DB5"/>
    <w:rsid w:val="00217F42"/>
    <w:rsid w:val="00217FBE"/>
    <w:rsid w:val="00217FC5"/>
    <w:rsid w:val="00217FD1"/>
    <w:rsid w:val="002200F2"/>
    <w:rsid w:val="00220221"/>
    <w:rsid w:val="0022028B"/>
    <w:rsid w:val="002202CD"/>
    <w:rsid w:val="0022031B"/>
    <w:rsid w:val="0022061D"/>
    <w:rsid w:val="0022062E"/>
    <w:rsid w:val="002206DB"/>
    <w:rsid w:val="00220727"/>
    <w:rsid w:val="00220758"/>
    <w:rsid w:val="0022079F"/>
    <w:rsid w:val="00220879"/>
    <w:rsid w:val="002209EA"/>
    <w:rsid w:val="00220A27"/>
    <w:rsid w:val="00220A7B"/>
    <w:rsid w:val="00220AC4"/>
    <w:rsid w:val="00220B33"/>
    <w:rsid w:val="00220C5A"/>
    <w:rsid w:val="00220C71"/>
    <w:rsid w:val="00220CCF"/>
    <w:rsid w:val="00220DE4"/>
    <w:rsid w:val="00220E7A"/>
    <w:rsid w:val="00220EC0"/>
    <w:rsid w:val="00220F50"/>
    <w:rsid w:val="00221013"/>
    <w:rsid w:val="00221069"/>
    <w:rsid w:val="0022108E"/>
    <w:rsid w:val="0022118A"/>
    <w:rsid w:val="00221290"/>
    <w:rsid w:val="00221346"/>
    <w:rsid w:val="00221351"/>
    <w:rsid w:val="00221382"/>
    <w:rsid w:val="00221436"/>
    <w:rsid w:val="0022151B"/>
    <w:rsid w:val="0022156D"/>
    <w:rsid w:val="00221746"/>
    <w:rsid w:val="0022182D"/>
    <w:rsid w:val="002218C3"/>
    <w:rsid w:val="0022193C"/>
    <w:rsid w:val="002219E5"/>
    <w:rsid w:val="00221A09"/>
    <w:rsid w:val="00221ABC"/>
    <w:rsid w:val="00221ADC"/>
    <w:rsid w:val="00221AF7"/>
    <w:rsid w:val="00221BE0"/>
    <w:rsid w:val="00221C3C"/>
    <w:rsid w:val="00221D92"/>
    <w:rsid w:val="0022202F"/>
    <w:rsid w:val="00222151"/>
    <w:rsid w:val="0022218E"/>
    <w:rsid w:val="002222AE"/>
    <w:rsid w:val="0022232A"/>
    <w:rsid w:val="00222422"/>
    <w:rsid w:val="00222522"/>
    <w:rsid w:val="00222555"/>
    <w:rsid w:val="002225D5"/>
    <w:rsid w:val="0022265A"/>
    <w:rsid w:val="0022266C"/>
    <w:rsid w:val="002226B7"/>
    <w:rsid w:val="002226E0"/>
    <w:rsid w:val="00222715"/>
    <w:rsid w:val="002227C1"/>
    <w:rsid w:val="00222960"/>
    <w:rsid w:val="00222991"/>
    <w:rsid w:val="00222A31"/>
    <w:rsid w:val="00222B98"/>
    <w:rsid w:val="00222BEE"/>
    <w:rsid w:val="00222C26"/>
    <w:rsid w:val="00222C3E"/>
    <w:rsid w:val="00223011"/>
    <w:rsid w:val="00223032"/>
    <w:rsid w:val="002230D2"/>
    <w:rsid w:val="00223146"/>
    <w:rsid w:val="002231BA"/>
    <w:rsid w:val="002231FD"/>
    <w:rsid w:val="00223380"/>
    <w:rsid w:val="002233DF"/>
    <w:rsid w:val="00223420"/>
    <w:rsid w:val="0022345C"/>
    <w:rsid w:val="0022357E"/>
    <w:rsid w:val="0022361E"/>
    <w:rsid w:val="00223658"/>
    <w:rsid w:val="002238CD"/>
    <w:rsid w:val="00223AD5"/>
    <w:rsid w:val="00223AE7"/>
    <w:rsid w:val="00223B9C"/>
    <w:rsid w:val="00223CF2"/>
    <w:rsid w:val="00223D6A"/>
    <w:rsid w:val="00223E63"/>
    <w:rsid w:val="00223EC9"/>
    <w:rsid w:val="00224037"/>
    <w:rsid w:val="00224093"/>
    <w:rsid w:val="002240CF"/>
    <w:rsid w:val="002240E9"/>
    <w:rsid w:val="00224118"/>
    <w:rsid w:val="00224135"/>
    <w:rsid w:val="00224239"/>
    <w:rsid w:val="00224452"/>
    <w:rsid w:val="00224551"/>
    <w:rsid w:val="00224651"/>
    <w:rsid w:val="0022466F"/>
    <w:rsid w:val="0022467C"/>
    <w:rsid w:val="00224859"/>
    <w:rsid w:val="00224962"/>
    <w:rsid w:val="0022498C"/>
    <w:rsid w:val="00224B9C"/>
    <w:rsid w:val="00224BA1"/>
    <w:rsid w:val="00224C20"/>
    <w:rsid w:val="00224DC6"/>
    <w:rsid w:val="00224E8B"/>
    <w:rsid w:val="00225024"/>
    <w:rsid w:val="00225062"/>
    <w:rsid w:val="002250DF"/>
    <w:rsid w:val="002250E6"/>
    <w:rsid w:val="00225127"/>
    <w:rsid w:val="0022512A"/>
    <w:rsid w:val="00225412"/>
    <w:rsid w:val="0022554D"/>
    <w:rsid w:val="00225636"/>
    <w:rsid w:val="00225782"/>
    <w:rsid w:val="0022581D"/>
    <w:rsid w:val="00225A12"/>
    <w:rsid w:val="00225ADC"/>
    <w:rsid w:val="00225CE0"/>
    <w:rsid w:val="00225E9B"/>
    <w:rsid w:val="00225F55"/>
    <w:rsid w:val="00226068"/>
    <w:rsid w:val="00226098"/>
    <w:rsid w:val="002260E9"/>
    <w:rsid w:val="002260FC"/>
    <w:rsid w:val="00226130"/>
    <w:rsid w:val="00226152"/>
    <w:rsid w:val="002261B3"/>
    <w:rsid w:val="00226268"/>
    <w:rsid w:val="002262D7"/>
    <w:rsid w:val="0022630E"/>
    <w:rsid w:val="00226315"/>
    <w:rsid w:val="00226330"/>
    <w:rsid w:val="002265EA"/>
    <w:rsid w:val="002265EF"/>
    <w:rsid w:val="002266C1"/>
    <w:rsid w:val="002268E9"/>
    <w:rsid w:val="002269F3"/>
    <w:rsid w:val="00226A98"/>
    <w:rsid w:val="00226A9C"/>
    <w:rsid w:val="00226AA7"/>
    <w:rsid w:val="00226AB4"/>
    <w:rsid w:val="00226C51"/>
    <w:rsid w:val="00226CAE"/>
    <w:rsid w:val="00226DCD"/>
    <w:rsid w:val="00226DD8"/>
    <w:rsid w:val="00226F12"/>
    <w:rsid w:val="00226F3C"/>
    <w:rsid w:val="00226F6E"/>
    <w:rsid w:val="00226F7F"/>
    <w:rsid w:val="00226F93"/>
    <w:rsid w:val="00226FD4"/>
    <w:rsid w:val="00227034"/>
    <w:rsid w:val="002270AA"/>
    <w:rsid w:val="002270C4"/>
    <w:rsid w:val="0022713E"/>
    <w:rsid w:val="0022714E"/>
    <w:rsid w:val="00227172"/>
    <w:rsid w:val="002271AE"/>
    <w:rsid w:val="002272D3"/>
    <w:rsid w:val="00227321"/>
    <w:rsid w:val="002278E4"/>
    <w:rsid w:val="00227A12"/>
    <w:rsid w:val="00227A13"/>
    <w:rsid w:val="00227AB0"/>
    <w:rsid w:val="00227AF3"/>
    <w:rsid w:val="00227B56"/>
    <w:rsid w:val="00227B82"/>
    <w:rsid w:val="00227BB9"/>
    <w:rsid w:val="00227D24"/>
    <w:rsid w:val="00227D4C"/>
    <w:rsid w:val="00227EA8"/>
    <w:rsid w:val="00227EF0"/>
    <w:rsid w:val="00230077"/>
    <w:rsid w:val="00230098"/>
    <w:rsid w:val="002300A6"/>
    <w:rsid w:val="0023018D"/>
    <w:rsid w:val="002303F0"/>
    <w:rsid w:val="00230449"/>
    <w:rsid w:val="00230455"/>
    <w:rsid w:val="002304F2"/>
    <w:rsid w:val="002305AA"/>
    <w:rsid w:val="002305EE"/>
    <w:rsid w:val="00230717"/>
    <w:rsid w:val="00230728"/>
    <w:rsid w:val="002307A3"/>
    <w:rsid w:val="002307C9"/>
    <w:rsid w:val="00230875"/>
    <w:rsid w:val="002309FB"/>
    <w:rsid w:val="00230B34"/>
    <w:rsid w:val="00230B41"/>
    <w:rsid w:val="00230B44"/>
    <w:rsid w:val="00230B91"/>
    <w:rsid w:val="00230D05"/>
    <w:rsid w:val="00230E44"/>
    <w:rsid w:val="00231026"/>
    <w:rsid w:val="00231055"/>
    <w:rsid w:val="002310FD"/>
    <w:rsid w:val="00231150"/>
    <w:rsid w:val="0023123F"/>
    <w:rsid w:val="0023126F"/>
    <w:rsid w:val="002312F2"/>
    <w:rsid w:val="0023130F"/>
    <w:rsid w:val="00231349"/>
    <w:rsid w:val="002313E0"/>
    <w:rsid w:val="0023146A"/>
    <w:rsid w:val="0023151F"/>
    <w:rsid w:val="00231619"/>
    <w:rsid w:val="00231727"/>
    <w:rsid w:val="002317CE"/>
    <w:rsid w:val="00231857"/>
    <w:rsid w:val="00231865"/>
    <w:rsid w:val="002318B6"/>
    <w:rsid w:val="00231978"/>
    <w:rsid w:val="00231A32"/>
    <w:rsid w:val="00231B5B"/>
    <w:rsid w:val="00231B73"/>
    <w:rsid w:val="00231CC5"/>
    <w:rsid w:val="00231E01"/>
    <w:rsid w:val="00231E11"/>
    <w:rsid w:val="00231E92"/>
    <w:rsid w:val="00231F19"/>
    <w:rsid w:val="00231F9C"/>
    <w:rsid w:val="00231FAB"/>
    <w:rsid w:val="00232135"/>
    <w:rsid w:val="002321DC"/>
    <w:rsid w:val="00232211"/>
    <w:rsid w:val="00232260"/>
    <w:rsid w:val="00232291"/>
    <w:rsid w:val="002323B9"/>
    <w:rsid w:val="002323F6"/>
    <w:rsid w:val="002324AE"/>
    <w:rsid w:val="002324F3"/>
    <w:rsid w:val="00232538"/>
    <w:rsid w:val="00232764"/>
    <w:rsid w:val="00232830"/>
    <w:rsid w:val="00232834"/>
    <w:rsid w:val="00232836"/>
    <w:rsid w:val="00232896"/>
    <w:rsid w:val="00232B8F"/>
    <w:rsid w:val="00232BAA"/>
    <w:rsid w:val="00232BBA"/>
    <w:rsid w:val="00232CEC"/>
    <w:rsid w:val="00232DE1"/>
    <w:rsid w:val="0023301B"/>
    <w:rsid w:val="00233025"/>
    <w:rsid w:val="00233057"/>
    <w:rsid w:val="00233063"/>
    <w:rsid w:val="002330BD"/>
    <w:rsid w:val="00233140"/>
    <w:rsid w:val="00233149"/>
    <w:rsid w:val="0023316E"/>
    <w:rsid w:val="0023328B"/>
    <w:rsid w:val="0023330F"/>
    <w:rsid w:val="00233382"/>
    <w:rsid w:val="0023348B"/>
    <w:rsid w:val="002334C4"/>
    <w:rsid w:val="00233593"/>
    <w:rsid w:val="002337DC"/>
    <w:rsid w:val="002339B9"/>
    <w:rsid w:val="002339EE"/>
    <w:rsid w:val="00233B12"/>
    <w:rsid w:val="00233B18"/>
    <w:rsid w:val="00233B6E"/>
    <w:rsid w:val="00233C26"/>
    <w:rsid w:val="00233C27"/>
    <w:rsid w:val="00233CEF"/>
    <w:rsid w:val="00233D1E"/>
    <w:rsid w:val="00233D1F"/>
    <w:rsid w:val="00233DF7"/>
    <w:rsid w:val="00233E47"/>
    <w:rsid w:val="00233E99"/>
    <w:rsid w:val="00233EAF"/>
    <w:rsid w:val="00233F0B"/>
    <w:rsid w:val="00233F2E"/>
    <w:rsid w:val="00233FD0"/>
    <w:rsid w:val="002340A2"/>
    <w:rsid w:val="00234322"/>
    <w:rsid w:val="002343A9"/>
    <w:rsid w:val="00234418"/>
    <w:rsid w:val="00234650"/>
    <w:rsid w:val="002346BC"/>
    <w:rsid w:val="002349C2"/>
    <w:rsid w:val="00234A22"/>
    <w:rsid w:val="00234CF1"/>
    <w:rsid w:val="00234D72"/>
    <w:rsid w:val="00234F8A"/>
    <w:rsid w:val="00234FF0"/>
    <w:rsid w:val="002351CC"/>
    <w:rsid w:val="0023521F"/>
    <w:rsid w:val="0023529B"/>
    <w:rsid w:val="002352B0"/>
    <w:rsid w:val="002353D9"/>
    <w:rsid w:val="0023543A"/>
    <w:rsid w:val="00235459"/>
    <w:rsid w:val="00235491"/>
    <w:rsid w:val="0023549C"/>
    <w:rsid w:val="002354E1"/>
    <w:rsid w:val="002354E4"/>
    <w:rsid w:val="00235513"/>
    <w:rsid w:val="00235547"/>
    <w:rsid w:val="00235580"/>
    <w:rsid w:val="002355EA"/>
    <w:rsid w:val="002355FD"/>
    <w:rsid w:val="002356B3"/>
    <w:rsid w:val="002356EC"/>
    <w:rsid w:val="002356F5"/>
    <w:rsid w:val="002356FE"/>
    <w:rsid w:val="00235806"/>
    <w:rsid w:val="00235B3D"/>
    <w:rsid w:val="00235B95"/>
    <w:rsid w:val="00235BA3"/>
    <w:rsid w:val="00235C96"/>
    <w:rsid w:val="00235CB9"/>
    <w:rsid w:val="00235D47"/>
    <w:rsid w:val="00235DB3"/>
    <w:rsid w:val="00235E21"/>
    <w:rsid w:val="00235E98"/>
    <w:rsid w:val="00235F75"/>
    <w:rsid w:val="0023601D"/>
    <w:rsid w:val="0023607D"/>
    <w:rsid w:val="00236107"/>
    <w:rsid w:val="00236210"/>
    <w:rsid w:val="0023630C"/>
    <w:rsid w:val="002365DC"/>
    <w:rsid w:val="0023666A"/>
    <w:rsid w:val="0023667B"/>
    <w:rsid w:val="00236764"/>
    <w:rsid w:val="00236768"/>
    <w:rsid w:val="002367B4"/>
    <w:rsid w:val="002367F7"/>
    <w:rsid w:val="002367FC"/>
    <w:rsid w:val="00236844"/>
    <w:rsid w:val="00236873"/>
    <w:rsid w:val="0023687D"/>
    <w:rsid w:val="0023688B"/>
    <w:rsid w:val="00236930"/>
    <w:rsid w:val="002369DB"/>
    <w:rsid w:val="00236A25"/>
    <w:rsid w:val="00236A6A"/>
    <w:rsid w:val="00236A79"/>
    <w:rsid w:val="00236AE8"/>
    <w:rsid w:val="00236D62"/>
    <w:rsid w:val="00236DCE"/>
    <w:rsid w:val="00236E0F"/>
    <w:rsid w:val="00236FBC"/>
    <w:rsid w:val="00237120"/>
    <w:rsid w:val="00237200"/>
    <w:rsid w:val="00237384"/>
    <w:rsid w:val="002377C1"/>
    <w:rsid w:val="00237808"/>
    <w:rsid w:val="002378F2"/>
    <w:rsid w:val="00237A1A"/>
    <w:rsid w:val="00237A3D"/>
    <w:rsid w:val="00237A40"/>
    <w:rsid w:val="00237A62"/>
    <w:rsid w:val="00237B0B"/>
    <w:rsid w:val="00237B83"/>
    <w:rsid w:val="00237BAD"/>
    <w:rsid w:val="00237BB5"/>
    <w:rsid w:val="00237BDB"/>
    <w:rsid w:val="00237CC0"/>
    <w:rsid w:val="00237D3A"/>
    <w:rsid w:val="00237DB1"/>
    <w:rsid w:val="00237E7D"/>
    <w:rsid w:val="00237EA3"/>
    <w:rsid w:val="00237EB4"/>
    <w:rsid w:val="00237F97"/>
    <w:rsid w:val="00237FD2"/>
    <w:rsid w:val="00237FEC"/>
    <w:rsid w:val="00237FF8"/>
    <w:rsid w:val="0024016A"/>
    <w:rsid w:val="002402B2"/>
    <w:rsid w:val="0024030A"/>
    <w:rsid w:val="00240493"/>
    <w:rsid w:val="002405BD"/>
    <w:rsid w:val="002406BA"/>
    <w:rsid w:val="0024071D"/>
    <w:rsid w:val="00240779"/>
    <w:rsid w:val="002407ED"/>
    <w:rsid w:val="0024089C"/>
    <w:rsid w:val="002408A3"/>
    <w:rsid w:val="002408DC"/>
    <w:rsid w:val="00240946"/>
    <w:rsid w:val="00240999"/>
    <w:rsid w:val="002409AC"/>
    <w:rsid w:val="002409CE"/>
    <w:rsid w:val="00240B19"/>
    <w:rsid w:val="00240B81"/>
    <w:rsid w:val="00240C8C"/>
    <w:rsid w:val="00240D52"/>
    <w:rsid w:val="00240D84"/>
    <w:rsid w:val="00240E89"/>
    <w:rsid w:val="00240F91"/>
    <w:rsid w:val="00240FF2"/>
    <w:rsid w:val="00241042"/>
    <w:rsid w:val="002410D6"/>
    <w:rsid w:val="002411F3"/>
    <w:rsid w:val="00241280"/>
    <w:rsid w:val="00241281"/>
    <w:rsid w:val="0024135B"/>
    <w:rsid w:val="0024154C"/>
    <w:rsid w:val="002415BE"/>
    <w:rsid w:val="00241645"/>
    <w:rsid w:val="0024165D"/>
    <w:rsid w:val="0024166B"/>
    <w:rsid w:val="002416C8"/>
    <w:rsid w:val="00241724"/>
    <w:rsid w:val="002418D9"/>
    <w:rsid w:val="00241A08"/>
    <w:rsid w:val="00241A1A"/>
    <w:rsid w:val="00241A63"/>
    <w:rsid w:val="00241A6A"/>
    <w:rsid w:val="00241ABE"/>
    <w:rsid w:val="00241B16"/>
    <w:rsid w:val="00241C26"/>
    <w:rsid w:val="00241C30"/>
    <w:rsid w:val="00241CB0"/>
    <w:rsid w:val="00241DF7"/>
    <w:rsid w:val="00241F19"/>
    <w:rsid w:val="00241F7F"/>
    <w:rsid w:val="00241FFC"/>
    <w:rsid w:val="002420E2"/>
    <w:rsid w:val="002422AB"/>
    <w:rsid w:val="002422B3"/>
    <w:rsid w:val="0024232F"/>
    <w:rsid w:val="0024234A"/>
    <w:rsid w:val="00242446"/>
    <w:rsid w:val="002424A2"/>
    <w:rsid w:val="0024259A"/>
    <w:rsid w:val="00242737"/>
    <w:rsid w:val="00242754"/>
    <w:rsid w:val="00242792"/>
    <w:rsid w:val="002427FE"/>
    <w:rsid w:val="00242811"/>
    <w:rsid w:val="00242814"/>
    <w:rsid w:val="0024284B"/>
    <w:rsid w:val="00242980"/>
    <w:rsid w:val="00242A5D"/>
    <w:rsid w:val="00242B46"/>
    <w:rsid w:val="00242BD9"/>
    <w:rsid w:val="00242C41"/>
    <w:rsid w:val="00242D63"/>
    <w:rsid w:val="00242E99"/>
    <w:rsid w:val="00242F87"/>
    <w:rsid w:val="00242F98"/>
    <w:rsid w:val="00242FF0"/>
    <w:rsid w:val="0024303A"/>
    <w:rsid w:val="002430AA"/>
    <w:rsid w:val="002430D1"/>
    <w:rsid w:val="0024319C"/>
    <w:rsid w:val="00243201"/>
    <w:rsid w:val="00243271"/>
    <w:rsid w:val="002432A4"/>
    <w:rsid w:val="00243366"/>
    <w:rsid w:val="0024339B"/>
    <w:rsid w:val="002433FF"/>
    <w:rsid w:val="0024348E"/>
    <w:rsid w:val="002434E6"/>
    <w:rsid w:val="002437F4"/>
    <w:rsid w:val="00243942"/>
    <w:rsid w:val="0024397E"/>
    <w:rsid w:val="00243A9A"/>
    <w:rsid w:val="00243AAC"/>
    <w:rsid w:val="00243AF2"/>
    <w:rsid w:val="00243DDE"/>
    <w:rsid w:val="00243E4A"/>
    <w:rsid w:val="00243E70"/>
    <w:rsid w:val="00243F89"/>
    <w:rsid w:val="00243FC8"/>
    <w:rsid w:val="00244051"/>
    <w:rsid w:val="00244119"/>
    <w:rsid w:val="0024429B"/>
    <w:rsid w:val="002443C2"/>
    <w:rsid w:val="002444AE"/>
    <w:rsid w:val="00244513"/>
    <w:rsid w:val="0024465A"/>
    <w:rsid w:val="00244691"/>
    <w:rsid w:val="002446F0"/>
    <w:rsid w:val="00244709"/>
    <w:rsid w:val="002448A7"/>
    <w:rsid w:val="002449D2"/>
    <w:rsid w:val="00244A55"/>
    <w:rsid w:val="00244AD8"/>
    <w:rsid w:val="00244B48"/>
    <w:rsid w:val="00244B66"/>
    <w:rsid w:val="00244BB7"/>
    <w:rsid w:val="00244BD6"/>
    <w:rsid w:val="00244C1F"/>
    <w:rsid w:val="00244CB3"/>
    <w:rsid w:val="00244D8C"/>
    <w:rsid w:val="00244D99"/>
    <w:rsid w:val="00244DD7"/>
    <w:rsid w:val="00244DDB"/>
    <w:rsid w:val="00244EB8"/>
    <w:rsid w:val="00244F1A"/>
    <w:rsid w:val="00244F5F"/>
    <w:rsid w:val="002450C5"/>
    <w:rsid w:val="0024517A"/>
    <w:rsid w:val="0024518D"/>
    <w:rsid w:val="002451FE"/>
    <w:rsid w:val="00245387"/>
    <w:rsid w:val="00245444"/>
    <w:rsid w:val="00245450"/>
    <w:rsid w:val="0024548C"/>
    <w:rsid w:val="002455A3"/>
    <w:rsid w:val="002455BF"/>
    <w:rsid w:val="002455C3"/>
    <w:rsid w:val="002457E3"/>
    <w:rsid w:val="0024582D"/>
    <w:rsid w:val="00245833"/>
    <w:rsid w:val="00245894"/>
    <w:rsid w:val="00245941"/>
    <w:rsid w:val="0024597C"/>
    <w:rsid w:val="002459B4"/>
    <w:rsid w:val="002459CE"/>
    <w:rsid w:val="00245B24"/>
    <w:rsid w:val="00245BB9"/>
    <w:rsid w:val="00245CC1"/>
    <w:rsid w:val="00245DED"/>
    <w:rsid w:val="00245E7F"/>
    <w:rsid w:val="00245EA7"/>
    <w:rsid w:val="00245FDA"/>
    <w:rsid w:val="0024607D"/>
    <w:rsid w:val="00246161"/>
    <w:rsid w:val="0024627B"/>
    <w:rsid w:val="00246288"/>
    <w:rsid w:val="0024628C"/>
    <w:rsid w:val="002462A1"/>
    <w:rsid w:val="00246332"/>
    <w:rsid w:val="00246432"/>
    <w:rsid w:val="002464E8"/>
    <w:rsid w:val="00246545"/>
    <w:rsid w:val="0024655C"/>
    <w:rsid w:val="00246900"/>
    <w:rsid w:val="0024697A"/>
    <w:rsid w:val="002469D9"/>
    <w:rsid w:val="00246A63"/>
    <w:rsid w:val="00246A7A"/>
    <w:rsid w:val="00246CE1"/>
    <w:rsid w:val="00246CFF"/>
    <w:rsid w:val="00246D4F"/>
    <w:rsid w:val="00246D57"/>
    <w:rsid w:val="00246E06"/>
    <w:rsid w:val="00247047"/>
    <w:rsid w:val="00247061"/>
    <w:rsid w:val="002470C6"/>
    <w:rsid w:val="0024710C"/>
    <w:rsid w:val="0024715A"/>
    <w:rsid w:val="0024726E"/>
    <w:rsid w:val="0024749D"/>
    <w:rsid w:val="002475B5"/>
    <w:rsid w:val="002475CC"/>
    <w:rsid w:val="002475EA"/>
    <w:rsid w:val="002477B6"/>
    <w:rsid w:val="002477D0"/>
    <w:rsid w:val="002477DE"/>
    <w:rsid w:val="0024789B"/>
    <w:rsid w:val="002478C9"/>
    <w:rsid w:val="002479A3"/>
    <w:rsid w:val="00247AFA"/>
    <w:rsid w:val="00247BC5"/>
    <w:rsid w:val="00247FFE"/>
    <w:rsid w:val="00250021"/>
    <w:rsid w:val="00250128"/>
    <w:rsid w:val="00250143"/>
    <w:rsid w:val="00250197"/>
    <w:rsid w:val="0025024B"/>
    <w:rsid w:val="00250252"/>
    <w:rsid w:val="00250298"/>
    <w:rsid w:val="002502F8"/>
    <w:rsid w:val="002504F3"/>
    <w:rsid w:val="002505BF"/>
    <w:rsid w:val="002506AD"/>
    <w:rsid w:val="002506ED"/>
    <w:rsid w:val="00250795"/>
    <w:rsid w:val="00250839"/>
    <w:rsid w:val="0025088B"/>
    <w:rsid w:val="00250970"/>
    <w:rsid w:val="00250AB5"/>
    <w:rsid w:val="00250B01"/>
    <w:rsid w:val="00250B67"/>
    <w:rsid w:val="00250C18"/>
    <w:rsid w:val="00250D64"/>
    <w:rsid w:val="00250D8D"/>
    <w:rsid w:val="00250E28"/>
    <w:rsid w:val="00251065"/>
    <w:rsid w:val="0025116F"/>
    <w:rsid w:val="002511D6"/>
    <w:rsid w:val="002511DC"/>
    <w:rsid w:val="002511E8"/>
    <w:rsid w:val="00251248"/>
    <w:rsid w:val="00251390"/>
    <w:rsid w:val="002513FA"/>
    <w:rsid w:val="0025141A"/>
    <w:rsid w:val="002514B5"/>
    <w:rsid w:val="00251582"/>
    <w:rsid w:val="002515A0"/>
    <w:rsid w:val="002515C1"/>
    <w:rsid w:val="002515CE"/>
    <w:rsid w:val="0025161F"/>
    <w:rsid w:val="002516F7"/>
    <w:rsid w:val="002516FA"/>
    <w:rsid w:val="00251722"/>
    <w:rsid w:val="00251834"/>
    <w:rsid w:val="002518E9"/>
    <w:rsid w:val="00251A7A"/>
    <w:rsid w:val="00251B75"/>
    <w:rsid w:val="00251C8F"/>
    <w:rsid w:val="00251CA7"/>
    <w:rsid w:val="00251CB7"/>
    <w:rsid w:val="00251CBA"/>
    <w:rsid w:val="00251CD3"/>
    <w:rsid w:val="00251D50"/>
    <w:rsid w:val="00251DC6"/>
    <w:rsid w:val="00251E44"/>
    <w:rsid w:val="00251E65"/>
    <w:rsid w:val="00251F40"/>
    <w:rsid w:val="00252091"/>
    <w:rsid w:val="002520B7"/>
    <w:rsid w:val="002520F6"/>
    <w:rsid w:val="0025216D"/>
    <w:rsid w:val="00252184"/>
    <w:rsid w:val="002521E9"/>
    <w:rsid w:val="00252265"/>
    <w:rsid w:val="0025236B"/>
    <w:rsid w:val="00252379"/>
    <w:rsid w:val="002523D1"/>
    <w:rsid w:val="002523D3"/>
    <w:rsid w:val="00252508"/>
    <w:rsid w:val="00252516"/>
    <w:rsid w:val="002525C3"/>
    <w:rsid w:val="002525D9"/>
    <w:rsid w:val="0025266D"/>
    <w:rsid w:val="002526BF"/>
    <w:rsid w:val="00252750"/>
    <w:rsid w:val="002527CF"/>
    <w:rsid w:val="00252967"/>
    <w:rsid w:val="00252ABD"/>
    <w:rsid w:val="00252B6F"/>
    <w:rsid w:val="00252BE7"/>
    <w:rsid w:val="00252D9C"/>
    <w:rsid w:val="00252D9F"/>
    <w:rsid w:val="00252DAE"/>
    <w:rsid w:val="00252DBD"/>
    <w:rsid w:val="00252E32"/>
    <w:rsid w:val="00252EB3"/>
    <w:rsid w:val="00252F83"/>
    <w:rsid w:val="00252FE2"/>
    <w:rsid w:val="0025303E"/>
    <w:rsid w:val="002530FD"/>
    <w:rsid w:val="002531FD"/>
    <w:rsid w:val="0025323D"/>
    <w:rsid w:val="0025356E"/>
    <w:rsid w:val="002535A5"/>
    <w:rsid w:val="0025363D"/>
    <w:rsid w:val="002536EE"/>
    <w:rsid w:val="0025371D"/>
    <w:rsid w:val="00253756"/>
    <w:rsid w:val="00253776"/>
    <w:rsid w:val="002537C1"/>
    <w:rsid w:val="00253815"/>
    <w:rsid w:val="0025386E"/>
    <w:rsid w:val="002538BB"/>
    <w:rsid w:val="00253910"/>
    <w:rsid w:val="002539CA"/>
    <w:rsid w:val="00253BD7"/>
    <w:rsid w:val="00253C4B"/>
    <w:rsid w:val="00253C69"/>
    <w:rsid w:val="00253C8F"/>
    <w:rsid w:val="00253D85"/>
    <w:rsid w:val="00253DD2"/>
    <w:rsid w:val="00253E60"/>
    <w:rsid w:val="00253F28"/>
    <w:rsid w:val="00253F96"/>
    <w:rsid w:val="00253FC3"/>
    <w:rsid w:val="002541B7"/>
    <w:rsid w:val="0025422E"/>
    <w:rsid w:val="002542FD"/>
    <w:rsid w:val="00254329"/>
    <w:rsid w:val="002543A8"/>
    <w:rsid w:val="0025444D"/>
    <w:rsid w:val="002544AD"/>
    <w:rsid w:val="002544D9"/>
    <w:rsid w:val="002544F8"/>
    <w:rsid w:val="0025452F"/>
    <w:rsid w:val="002545E2"/>
    <w:rsid w:val="00254670"/>
    <w:rsid w:val="002546E6"/>
    <w:rsid w:val="0025470E"/>
    <w:rsid w:val="0025476B"/>
    <w:rsid w:val="0025483B"/>
    <w:rsid w:val="0025488C"/>
    <w:rsid w:val="00254925"/>
    <w:rsid w:val="0025497B"/>
    <w:rsid w:val="00254983"/>
    <w:rsid w:val="00254AA4"/>
    <w:rsid w:val="00254BCE"/>
    <w:rsid w:val="00254C65"/>
    <w:rsid w:val="00254CBB"/>
    <w:rsid w:val="00254DE7"/>
    <w:rsid w:val="00254EBE"/>
    <w:rsid w:val="00254EE7"/>
    <w:rsid w:val="00254FDC"/>
    <w:rsid w:val="00254FFF"/>
    <w:rsid w:val="0025517A"/>
    <w:rsid w:val="00255190"/>
    <w:rsid w:val="002551D8"/>
    <w:rsid w:val="00255221"/>
    <w:rsid w:val="002552D8"/>
    <w:rsid w:val="00255314"/>
    <w:rsid w:val="00255330"/>
    <w:rsid w:val="0025539D"/>
    <w:rsid w:val="002553C9"/>
    <w:rsid w:val="00255415"/>
    <w:rsid w:val="00255417"/>
    <w:rsid w:val="002555EA"/>
    <w:rsid w:val="002556CD"/>
    <w:rsid w:val="002556CE"/>
    <w:rsid w:val="002557D9"/>
    <w:rsid w:val="00255843"/>
    <w:rsid w:val="002558DB"/>
    <w:rsid w:val="002559A7"/>
    <w:rsid w:val="00255A01"/>
    <w:rsid w:val="00255A3F"/>
    <w:rsid w:val="00255AF3"/>
    <w:rsid w:val="00255B73"/>
    <w:rsid w:val="00255BC5"/>
    <w:rsid w:val="00255CA5"/>
    <w:rsid w:val="00255CB3"/>
    <w:rsid w:val="00255CB5"/>
    <w:rsid w:val="00255D21"/>
    <w:rsid w:val="00255D53"/>
    <w:rsid w:val="00255D90"/>
    <w:rsid w:val="00255E50"/>
    <w:rsid w:val="0025604B"/>
    <w:rsid w:val="002561B6"/>
    <w:rsid w:val="00256232"/>
    <w:rsid w:val="00256279"/>
    <w:rsid w:val="0025632C"/>
    <w:rsid w:val="002563E7"/>
    <w:rsid w:val="00256400"/>
    <w:rsid w:val="00256406"/>
    <w:rsid w:val="00256432"/>
    <w:rsid w:val="00256450"/>
    <w:rsid w:val="002565B1"/>
    <w:rsid w:val="0025663E"/>
    <w:rsid w:val="0025674B"/>
    <w:rsid w:val="00256886"/>
    <w:rsid w:val="002568C8"/>
    <w:rsid w:val="002568EF"/>
    <w:rsid w:val="00256943"/>
    <w:rsid w:val="00256B11"/>
    <w:rsid w:val="00256BBC"/>
    <w:rsid w:val="00256C65"/>
    <w:rsid w:val="00256CC6"/>
    <w:rsid w:val="00256EA5"/>
    <w:rsid w:val="00256EF0"/>
    <w:rsid w:val="00256F38"/>
    <w:rsid w:val="00256FDF"/>
    <w:rsid w:val="00256FF4"/>
    <w:rsid w:val="00257038"/>
    <w:rsid w:val="0025703C"/>
    <w:rsid w:val="00257167"/>
    <w:rsid w:val="0025727C"/>
    <w:rsid w:val="002572EF"/>
    <w:rsid w:val="00257426"/>
    <w:rsid w:val="0025748D"/>
    <w:rsid w:val="0025752B"/>
    <w:rsid w:val="002575B6"/>
    <w:rsid w:val="002575FB"/>
    <w:rsid w:val="00257678"/>
    <w:rsid w:val="002576B6"/>
    <w:rsid w:val="00257742"/>
    <w:rsid w:val="00257748"/>
    <w:rsid w:val="00257816"/>
    <w:rsid w:val="0025784B"/>
    <w:rsid w:val="002578F6"/>
    <w:rsid w:val="00257952"/>
    <w:rsid w:val="00257989"/>
    <w:rsid w:val="00257A88"/>
    <w:rsid w:val="00257A8D"/>
    <w:rsid w:val="00257A8E"/>
    <w:rsid w:val="00257DFC"/>
    <w:rsid w:val="00257ED7"/>
    <w:rsid w:val="00257FF1"/>
    <w:rsid w:val="00260045"/>
    <w:rsid w:val="00260151"/>
    <w:rsid w:val="002601F9"/>
    <w:rsid w:val="0026025D"/>
    <w:rsid w:val="00260274"/>
    <w:rsid w:val="00260310"/>
    <w:rsid w:val="00260369"/>
    <w:rsid w:val="002603FC"/>
    <w:rsid w:val="00260463"/>
    <w:rsid w:val="00260517"/>
    <w:rsid w:val="00260584"/>
    <w:rsid w:val="0026064D"/>
    <w:rsid w:val="002606F8"/>
    <w:rsid w:val="002607AB"/>
    <w:rsid w:val="002607EA"/>
    <w:rsid w:val="002607FA"/>
    <w:rsid w:val="0026083C"/>
    <w:rsid w:val="00260877"/>
    <w:rsid w:val="002608D6"/>
    <w:rsid w:val="002608E7"/>
    <w:rsid w:val="002608F3"/>
    <w:rsid w:val="00260A25"/>
    <w:rsid w:val="00260A27"/>
    <w:rsid w:val="00260B8A"/>
    <w:rsid w:val="00260BEB"/>
    <w:rsid w:val="00260C28"/>
    <w:rsid w:val="00260C2C"/>
    <w:rsid w:val="00260CAA"/>
    <w:rsid w:val="00260D83"/>
    <w:rsid w:val="00260E6D"/>
    <w:rsid w:val="00260E9D"/>
    <w:rsid w:val="00260EDD"/>
    <w:rsid w:val="00260F58"/>
    <w:rsid w:val="0026113F"/>
    <w:rsid w:val="00261163"/>
    <w:rsid w:val="00261228"/>
    <w:rsid w:val="002613F6"/>
    <w:rsid w:val="0026148A"/>
    <w:rsid w:val="002614E5"/>
    <w:rsid w:val="0026184E"/>
    <w:rsid w:val="00261886"/>
    <w:rsid w:val="002618A9"/>
    <w:rsid w:val="002618B3"/>
    <w:rsid w:val="00261941"/>
    <w:rsid w:val="00261972"/>
    <w:rsid w:val="0026197D"/>
    <w:rsid w:val="00261980"/>
    <w:rsid w:val="00261A5E"/>
    <w:rsid w:val="00261AD5"/>
    <w:rsid w:val="00261B62"/>
    <w:rsid w:val="00261C9A"/>
    <w:rsid w:val="00261CD0"/>
    <w:rsid w:val="00261D12"/>
    <w:rsid w:val="00261D5B"/>
    <w:rsid w:val="00261DFD"/>
    <w:rsid w:val="00261DFF"/>
    <w:rsid w:val="00261F4C"/>
    <w:rsid w:val="00261FCB"/>
    <w:rsid w:val="002620C8"/>
    <w:rsid w:val="002620DF"/>
    <w:rsid w:val="00262131"/>
    <w:rsid w:val="0026246D"/>
    <w:rsid w:val="002624F7"/>
    <w:rsid w:val="0026267C"/>
    <w:rsid w:val="0026269C"/>
    <w:rsid w:val="002626CE"/>
    <w:rsid w:val="00262719"/>
    <w:rsid w:val="0026275C"/>
    <w:rsid w:val="002627AC"/>
    <w:rsid w:val="00262A50"/>
    <w:rsid w:val="00262A9E"/>
    <w:rsid w:val="00262B2C"/>
    <w:rsid w:val="00262B90"/>
    <w:rsid w:val="00262C91"/>
    <w:rsid w:val="00262D18"/>
    <w:rsid w:val="00262DA0"/>
    <w:rsid w:val="00262DEA"/>
    <w:rsid w:val="00262E6F"/>
    <w:rsid w:val="00262ED2"/>
    <w:rsid w:val="00262FED"/>
    <w:rsid w:val="00263052"/>
    <w:rsid w:val="002630F9"/>
    <w:rsid w:val="00263210"/>
    <w:rsid w:val="0026326A"/>
    <w:rsid w:val="002632FB"/>
    <w:rsid w:val="00263348"/>
    <w:rsid w:val="00263597"/>
    <w:rsid w:val="002635AD"/>
    <w:rsid w:val="0026364F"/>
    <w:rsid w:val="002636CB"/>
    <w:rsid w:val="002638F9"/>
    <w:rsid w:val="0026391D"/>
    <w:rsid w:val="00263951"/>
    <w:rsid w:val="0026395C"/>
    <w:rsid w:val="002639A1"/>
    <w:rsid w:val="00263A8B"/>
    <w:rsid w:val="00263AAC"/>
    <w:rsid w:val="00263B7C"/>
    <w:rsid w:val="00263C27"/>
    <w:rsid w:val="00263D6D"/>
    <w:rsid w:val="00263ECC"/>
    <w:rsid w:val="00263EE6"/>
    <w:rsid w:val="00263F15"/>
    <w:rsid w:val="00263F88"/>
    <w:rsid w:val="00263F92"/>
    <w:rsid w:val="002640C3"/>
    <w:rsid w:val="0026439A"/>
    <w:rsid w:val="00264864"/>
    <w:rsid w:val="0026486B"/>
    <w:rsid w:val="00264911"/>
    <w:rsid w:val="0026493B"/>
    <w:rsid w:val="00264948"/>
    <w:rsid w:val="0026494C"/>
    <w:rsid w:val="00264A6A"/>
    <w:rsid w:val="00264B63"/>
    <w:rsid w:val="00264C7B"/>
    <w:rsid w:val="00264D03"/>
    <w:rsid w:val="00264DE7"/>
    <w:rsid w:val="00264E8C"/>
    <w:rsid w:val="00264F13"/>
    <w:rsid w:val="00264F9B"/>
    <w:rsid w:val="002652BA"/>
    <w:rsid w:val="00265380"/>
    <w:rsid w:val="00265386"/>
    <w:rsid w:val="002653F4"/>
    <w:rsid w:val="0026552B"/>
    <w:rsid w:val="0026559B"/>
    <w:rsid w:val="002655C1"/>
    <w:rsid w:val="00265603"/>
    <w:rsid w:val="00265754"/>
    <w:rsid w:val="002658EE"/>
    <w:rsid w:val="00265980"/>
    <w:rsid w:val="002659E3"/>
    <w:rsid w:val="00265A62"/>
    <w:rsid w:val="00265AEE"/>
    <w:rsid w:val="00265B4F"/>
    <w:rsid w:val="00265C60"/>
    <w:rsid w:val="00265CAB"/>
    <w:rsid w:val="00265CF9"/>
    <w:rsid w:val="00265E0C"/>
    <w:rsid w:val="00265F58"/>
    <w:rsid w:val="00265F85"/>
    <w:rsid w:val="00266056"/>
    <w:rsid w:val="0026605D"/>
    <w:rsid w:val="00266097"/>
    <w:rsid w:val="0026617E"/>
    <w:rsid w:val="002661BB"/>
    <w:rsid w:val="0026622E"/>
    <w:rsid w:val="0026624F"/>
    <w:rsid w:val="002662EE"/>
    <w:rsid w:val="0026633B"/>
    <w:rsid w:val="00266342"/>
    <w:rsid w:val="00266363"/>
    <w:rsid w:val="002663C7"/>
    <w:rsid w:val="002663C8"/>
    <w:rsid w:val="002663CA"/>
    <w:rsid w:val="0026642A"/>
    <w:rsid w:val="00266448"/>
    <w:rsid w:val="0026644F"/>
    <w:rsid w:val="002664FC"/>
    <w:rsid w:val="00266621"/>
    <w:rsid w:val="002666E2"/>
    <w:rsid w:val="002667A7"/>
    <w:rsid w:val="0026689A"/>
    <w:rsid w:val="002668DF"/>
    <w:rsid w:val="00266919"/>
    <w:rsid w:val="002669F7"/>
    <w:rsid w:val="00266CBD"/>
    <w:rsid w:val="00266D1A"/>
    <w:rsid w:val="00266D6C"/>
    <w:rsid w:val="00266DD4"/>
    <w:rsid w:val="00266E81"/>
    <w:rsid w:val="00266E9C"/>
    <w:rsid w:val="002670BB"/>
    <w:rsid w:val="00267118"/>
    <w:rsid w:val="0026722C"/>
    <w:rsid w:val="00267328"/>
    <w:rsid w:val="0026732F"/>
    <w:rsid w:val="00267440"/>
    <w:rsid w:val="0026761B"/>
    <w:rsid w:val="002676E6"/>
    <w:rsid w:val="00267705"/>
    <w:rsid w:val="002677D4"/>
    <w:rsid w:val="00267ADD"/>
    <w:rsid w:val="00267BBE"/>
    <w:rsid w:val="00267DB7"/>
    <w:rsid w:val="00267DD9"/>
    <w:rsid w:val="00267E84"/>
    <w:rsid w:val="00270018"/>
    <w:rsid w:val="00270028"/>
    <w:rsid w:val="0027003C"/>
    <w:rsid w:val="002700AA"/>
    <w:rsid w:val="002700F8"/>
    <w:rsid w:val="00270182"/>
    <w:rsid w:val="002701C8"/>
    <w:rsid w:val="002703E7"/>
    <w:rsid w:val="00270472"/>
    <w:rsid w:val="00270554"/>
    <w:rsid w:val="00270574"/>
    <w:rsid w:val="00270670"/>
    <w:rsid w:val="0027068A"/>
    <w:rsid w:val="0027068C"/>
    <w:rsid w:val="00270701"/>
    <w:rsid w:val="00270798"/>
    <w:rsid w:val="002707A1"/>
    <w:rsid w:val="002707C3"/>
    <w:rsid w:val="002707FB"/>
    <w:rsid w:val="0027087A"/>
    <w:rsid w:val="0027088B"/>
    <w:rsid w:val="002709ED"/>
    <w:rsid w:val="00270BEA"/>
    <w:rsid w:val="00270D07"/>
    <w:rsid w:val="00270DCD"/>
    <w:rsid w:val="00270DE8"/>
    <w:rsid w:val="00270E29"/>
    <w:rsid w:val="002710D4"/>
    <w:rsid w:val="00271155"/>
    <w:rsid w:val="0027126B"/>
    <w:rsid w:val="002712F3"/>
    <w:rsid w:val="00271340"/>
    <w:rsid w:val="0027137B"/>
    <w:rsid w:val="00271664"/>
    <w:rsid w:val="00271793"/>
    <w:rsid w:val="002717A4"/>
    <w:rsid w:val="00271820"/>
    <w:rsid w:val="0027193E"/>
    <w:rsid w:val="002719DF"/>
    <w:rsid w:val="00271A14"/>
    <w:rsid w:val="00271AAE"/>
    <w:rsid w:val="00271AD6"/>
    <w:rsid w:val="00271AF9"/>
    <w:rsid w:val="00271B5C"/>
    <w:rsid w:val="00271C4F"/>
    <w:rsid w:val="00271F05"/>
    <w:rsid w:val="00271F98"/>
    <w:rsid w:val="00271FD3"/>
    <w:rsid w:val="0027206F"/>
    <w:rsid w:val="00272071"/>
    <w:rsid w:val="002720EF"/>
    <w:rsid w:val="00272260"/>
    <w:rsid w:val="00272375"/>
    <w:rsid w:val="0027237B"/>
    <w:rsid w:val="0027243D"/>
    <w:rsid w:val="00272587"/>
    <w:rsid w:val="002725BF"/>
    <w:rsid w:val="00272847"/>
    <w:rsid w:val="00272874"/>
    <w:rsid w:val="002728CA"/>
    <w:rsid w:val="00272939"/>
    <w:rsid w:val="00272963"/>
    <w:rsid w:val="00272A48"/>
    <w:rsid w:val="00272AF2"/>
    <w:rsid w:val="00272B6C"/>
    <w:rsid w:val="00272B7D"/>
    <w:rsid w:val="00272CCC"/>
    <w:rsid w:val="00272D94"/>
    <w:rsid w:val="00272E65"/>
    <w:rsid w:val="00272F51"/>
    <w:rsid w:val="00272F7A"/>
    <w:rsid w:val="00273098"/>
    <w:rsid w:val="002730D7"/>
    <w:rsid w:val="00273390"/>
    <w:rsid w:val="00273466"/>
    <w:rsid w:val="002734BE"/>
    <w:rsid w:val="002734E9"/>
    <w:rsid w:val="00273634"/>
    <w:rsid w:val="00273743"/>
    <w:rsid w:val="0027383A"/>
    <w:rsid w:val="00273A15"/>
    <w:rsid w:val="00273B56"/>
    <w:rsid w:val="00273BB8"/>
    <w:rsid w:val="00273CF0"/>
    <w:rsid w:val="00273D2A"/>
    <w:rsid w:val="00273E1A"/>
    <w:rsid w:val="00273E82"/>
    <w:rsid w:val="00273F03"/>
    <w:rsid w:val="00273F07"/>
    <w:rsid w:val="00273F64"/>
    <w:rsid w:val="00274030"/>
    <w:rsid w:val="0027409C"/>
    <w:rsid w:val="0027419C"/>
    <w:rsid w:val="002741CC"/>
    <w:rsid w:val="002742A4"/>
    <w:rsid w:val="00274508"/>
    <w:rsid w:val="00274651"/>
    <w:rsid w:val="00274654"/>
    <w:rsid w:val="00274712"/>
    <w:rsid w:val="00274848"/>
    <w:rsid w:val="0027485F"/>
    <w:rsid w:val="00274963"/>
    <w:rsid w:val="002749B8"/>
    <w:rsid w:val="00274BF2"/>
    <w:rsid w:val="00274C00"/>
    <w:rsid w:val="00274C13"/>
    <w:rsid w:val="00274DA0"/>
    <w:rsid w:val="00274E6D"/>
    <w:rsid w:val="00274FD3"/>
    <w:rsid w:val="0027504D"/>
    <w:rsid w:val="00275141"/>
    <w:rsid w:val="00275218"/>
    <w:rsid w:val="00275337"/>
    <w:rsid w:val="00275377"/>
    <w:rsid w:val="002753F0"/>
    <w:rsid w:val="002753FD"/>
    <w:rsid w:val="0027548C"/>
    <w:rsid w:val="00275649"/>
    <w:rsid w:val="002759EA"/>
    <w:rsid w:val="002759F1"/>
    <w:rsid w:val="00275A02"/>
    <w:rsid w:val="00275A7C"/>
    <w:rsid w:val="00275ACA"/>
    <w:rsid w:val="00275AD2"/>
    <w:rsid w:val="00275B24"/>
    <w:rsid w:val="00275B4C"/>
    <w:rsid w:val="00275B4D"/>
    <w:rsid w:val="00275B7C"/>
    <w:rsid w:val="00275BC6"/>
    <w:rsid w:val="00275C54"/>
    <w:rsid w:val="00275CD1"/>
    <w:rsid w:val="00276043"/>
    <w:rsid w:val="0027627E"/>
    <w:rsid w:val="00276503"/>
    <w:rsid w:val="00276568"/>
    <w:rsid w:val="0027665C"/>
    <w:rsid w:val="002766F1"/>
    <w:rsid w:val="00276723"/>
    <w:rsid w:val="002767FD"/>
    <w:rsid w:val="0027688F"/>
    <w:rsid w:val="00276896"/>
    <w:rsid w:val="002769CB"/>
    <w:rsid w:val="00276A0F"/>
    <w:rsid w:val="00276A33"/>
    <w:rsid w:val="00276A65"/>
    <w:rsid w:val="00276BDA"/>
    <w:rsid w:val="00276C0A"/>
    <w:rsid w:val="00276E51"/>
    <w:rsid w:val="00276F7E"/>
    <w:rsid w:val="00276F93"/>
    <w:rsid w:val="00277185"/>
    <w:rsid w:val="00277304"/>
    <w:rsid w:val="0027738E"/>
    <w:rsid w:val="002774A5"/>
    <w:rsid w:val="002775A9"/>
    <w:rsid w:val="002776B6"/>
    <w:rsid w:val="00277739"/>
    <w:rsid w:val="002777B6"/>
    <w:rsid w:val="002777FB"/>
    <w:rsid w:val="00277859"/>
    <w:rsid w:val="00277866"/>
    <w:rsid w:val="00277892"/>
    <w:rsid w:val="00277A2B"/>
    <w:rsid w:val="00277ADE"/>
    <w:rsid w:val="00277C5E"/>
    <w:rsid w:val="00277CF1"/>
    <w:rsid w:val="00277DAF"/>
    <w:rsid w:val="00280002"/>
    <w:rsid w:val="00280087"/>
    <w:rsid w:val="00280105"/>
    <w:rsid w:val="00280136"/>
    <w:rsid w:val="002801F3"/>
    <w:rsid w:val="00280211"/>
    <w:rsid w:val="002802AC"/>
    <w:rsid w:val="002802B9"/>
    <w:rsid w:val="00280472"/>
    <w:rsid w:val="002804D1"/>
    <w:rsid w:val="00280509"/>
    <w:rsid w:val="0028050D"/>
    <w:rsid w:val="0028050F"/>
    <w:rsid w:val="00280593"/>
    <w:rsid w:val="002805E2"/>
    <w:rsid w:val="00280766"/>
    <w:rsid w:val="00280770"/>
    <w:rsid w:val="002807DA"/>
    <w:rsid w:val="0028081F"/>
    <w:rsid w:val="00280821"/>
    <w:rsid w:val="00280844"/>
    <w:rsid w:val="00280887"/>
    <w:rsid w:val="00280A4B"/>
    <w:rsid w:val="00280A63"/>
    <w:rsid w:val="00280A75"/>
    <w:rsid w:val="00280AB1"/>
    <w:rsid w:val="00280AB2"/>
    <w:rsid w:val="00280B44"/>
    <w:rsid w:val="00280BBD"/>
    <w:rsid w:val="00280BFF"/>
    <w:rsid w:val="00280CB2"/>
    <w:rsid w:val="00280ECA"/>
    <w:rsid w:val="00280F79"/>
    <w:rsid w:val="00280F85"/>
    <w:rsid w:val="00280FC0"/>
    <w:rsid w:val="0028105D"/>
    <w:rsid w:val="0028125E"/>
    <w:rsid w:val="00281267"/>
    <w:rsid w:val="002812B3"/>
    <w:rsid w:val="0028130C"/>
    <w:rsid w:val="0028144A"/>
    <w:rsid w:val="002815E6"/>
    <w:rsid w:val="00281731"/>
    <w:rsid w:val="00281768"/>
    <w:rsid w:val="00281769"/>
    <w:rsid w:val="00281793"/>
    <w:rsid w:val="002817CE"/>
    <w:rsid w:val="002817FE"/>
    <w:rsid w:val="0028195B"/>
    <w:rsid w:val="00281982"/>
    <w:rsid w:val="002819E7"/>
    <w:rsid w:val="00281A62"/>
    <w:rsid w:val="00281B49"/>
    <w:rsid w:val="00281D12"/>
    <w:rsid w:val="00281D37"/>
    <w:rsid w:val="00281D70"/>
    <w:rsid w:val="00281DB4"/>
    <w:rsid w:val="00281EFE"/>
    <w:rsid w:val="00281F99"/>
    <w:rsid w:val="00281FA7"/>
    <w:rsid w:val="00281FBB"/>
    <w:rsid w:val="00281FFE"/>
    <w:rsid w:val="00282005"/>
    <w:rsid w:val="002820B9"/>
    <w:rsid w:val="002820E3"/>
    <w:rsid w:val="0028218A"/>
    <w:rsid w:val="002822B8"/>
    <w:rsid w:val="00282344"/>
    <w:rsid w:val="00282494"/>
    <w:rsid w:val="0028254A"/>
    <w:rsid w:val="00282555"/>
    <w:rsid w:val="0028255F"/>
    <w:rsid w:val="002825E4"/>
    <w:rsid w:val="002825F2"/>
    <w:rsid w:val="00282610"/>
    <w:rsid w:val="0028261F"/>
    <w:rsid w:val="0028268F"/>
    <w:rsid w:val="00282779"/>
    <w:rsid w:val="002827C1"/>
    <w:rsid w:val="0028285B"/>
    <w:rsid w:val="002828BB"/>
    <w:rsid w:val="0028299E"/>
    <w:rsid w:val="002829A1"/>
    <w:rsid w:val="002829B4"/>
    <w:rsid w:val="00282A5F"/>
    <w:rsid w:val="00282BA5"/>
    <w:rsid w:val="00282C96"/>
    <w:rsid w:val="00282D3E"/>
    <w:rsid w:val="00282D40"/>
    <w:rsid w:val="00282E25"/>
    <w:rsid w:val="00282F29"/>
    <w:rsid w:val="00282F5A"/>
    <w:rsid w:val="0028305F"/>
    <w:rsid w:val="002830A1"/>
    <w:rsid w:val="002830DD"/>
    <w:rsid w:val="002831FE"/>
    <w:rsid w:val="00283286"/>
    <w:rsid w:val="0028340E"/>
    <w:rsid w:val="00283501"/>
    <w:rsid w:val="00283534"/>
    <w:rsid w:val="00283590"/>
    <w:rsid w:val="002837D0"/>
    <w:rsid w:val="00283800"/>
    <w:rsid w:val="00283828"/>
    <w:rsid w:val="00283891"/>
    <w:rsid w:val="002838D5"/>
    <w:rsid w:val="00283931"/>
    <w:rsid w:val="00283949"/>
    <w:rsid w:val="0028395F"/>
    <w:rsid w:val="00283962"/>
    <w:rsid w:val="002839AB"/>
    <w:rsid w:val="002839E1"/>
    <w:rsid w:val="00283A68"/>
    <w:rsid w:val="00283AA6"/>
    <w:rsid w:val="00283B17"/>
    <w:rsid w:val="00283B72"/>
    <w:rsid w:val="00283B8A"/>
    <w:rsid w:val="00283B8C"/>
    <w:rsid w:val="00283C0F"/>
    <w:rsid w:val="00283C7C"/>
    <w:rsid w:val="00283CFE"/>
    <w:rsid w:val="00283EEE"/>
    <w:rsid w:val="00283FE9"/>
    <w:rsid w:val="0028406E"/>
    <w:rsid w:val="00284183"/>
    <w:rsid w:val="002842A8"/>
    <w:rsid w:val="002842B2"/>
    <w:rsid w:val="002842FB"/>
    <w:rsid w:val="0028432C"/>
    <w:rsid w:val="002844F5"/>
    <w:rsid w:val="00284532"/>
    <w:rsid w:val="00284593"/>
    <w:rsid w:val="002846C0"/>
    <w:rsid w:val="002847DD"/>
    <w:rsid w:val="0028484F"/>
    <w:rsid w:val="002848A0"/>
    <w:rsid w:val="002848B8"/>
    <w:rsid w:val="00284950"/>
    <w:rsid w:val="0028499A"/>
    <w:rsid w:val="00284A43"/>
    <w:rsid w:val="00284B16"/>
    <w:rsid w:val="00284BE3"/>
    <w:rsid w:val="00284CA5"/>
    <w:rsid w:val="00284D7C"/>
    <w:rsid w:val="00284DA9"/>
    <w:rsid w:val="00284E00"/>
    <w:rsid w:val="00284E16"/>
    <w:rsid w:val="00284E46"/>
    <w:rsid w:val="00284E5F"/>
    <w:rsid w:val="00284F74"/>
    <w:rsid w:val="00284FD5"/>
    <w:rsid w:val="002850A4"/>
    <w:rsid w:val="002850D8"/>
    <w:rsid w:val="00285112"/>
    <w:rsid w:val="00285133"/>
    <w:rsid w:val="0028520F"/>
    <w:rsid w:val="002852DE"/>
    <w:rsid w:val="002852F5"/>
    <w:rsid w:val="00285484"/>
    <w:rsid w:val="00285575"/>
    <w:rsid w:val="002855F2"/>
    <w:rsid w:val="00285640"/>
    <w:rsid w:val="00285694"/>
    <w:rsid w:val="00285763"/>
    <w:rsid w:val="002857E2"/>
    <w:rsid w:val="0028585E"/>
    <w:rsid w:val="00285964"/>
    <w:rsid w:val="002859C4"/>
    <w:rsid w:val="002859E8"/>
    <w:rsid w:val="00285A0C"/>
    <w:rsid w:val="00285A31"/>
    <w:rsid w:val="00285A64"/>
    <w:rsid w:val="00285C2E"/>
    <w:rsid w:val="00285D37"/>
    <w:rsid w:val="00285D98"/>
    <w:rsid w:val="00285D99"/>
    <w:rsid w:val="00285DB9"/>
    <w:rsid w:val="00285F10"/>
    <w:rsid w:val="00285FFA"/>
    <w:rsid w:val="002860E4"/>
    <w:rsid w:val="00286135"/>
    <w:rsid w:val="0028614C"/>
    <w:rsid w:val="00286196"/>
    <w:rsid w:val="002861A3"/>
    <w:rsid w:val="002861F7"/>
    <w:rsid w:val="0028631C"/>
    <w:rsid w:val="00286353"/>
    <w:rsid w:val="002863AA"/>
    <w:rsid w:val="002863F5"/>
    <w:rsid w:val="00286417"/>
    <w:rsid w:val="00286430"/>
    <w:rsid w:val="00286447"/>
    <w:rsid w:val="002864F5"/>
    <w:rsid w:val="002865BD"/>
    <w:rsid w:val="002866F7"/>
    <w:rsid w:val="00286750"/>
    <w:rsid w:val="002868D6"/>
    <w:rsid w:val="002869F1"/>
    <w:rsid w:val="00286A3A"/>
    <w:rsid w:val="00286B71"/>
    <w:rsid w:val="00286CDA"/>
    <w:rsid w:val="00286D3F"/>
    <w:rsid w:val="00286E10"/>
    <w:rsid w:val="00286EA5"/>
    <w:rsid w:val="00286FF9"/>
    <w:rsid w:val="002870A9"/>
    <w:rsid w:val="002871A4"/>
    <w:rsid w:val="00287206"/>
    <w:rsid w:val="00287293"/>
    <w:rsid w:val="00287339"/>
    <w:rsid w:val="0028739F"/>
    <w:rsid w:val="00287454"/>
    <w:rsid w:val="00287520"/>
    <w:rsid w:val="00287648"/>
    <w:rsid w:val="00287668"/>
    <w:rsid w:val="0028779E"/>
    <w:rsid w:val="00287806"/>
    <w:rsid w:val="00287ACC"/>
    <w:rsid w:val="00287B01"/>
    <w:rsid w:val="00287B29"/>
    <w:rsid w:val="00287BD5"/>
    <w:rsid w:val="00287C33"/>
    <w:rsid w:val="00287C56"/>
    <w:rsid w:val="00287CE5"/>
    <w:rsid w:val="00287E62"/>
    <w:rsid w:val="00287E7B"/>
    <w:rsid w:val="00287ECC"/>
    <w:rsid w:val="00287F1F"/>
    <w:rsid w:val="00287F69"/>
    <w:rsid w:val="00287FB9"/>
    <w:rsid w:val="002900B5"/>
    <w:rsid w:val="0029015E"/>
    <w:rsid w:val="0029022E"/>
    <w:rsid w:val="002902FA"/>
    <w:rsid w:val="00290365"/>
    <w:rsid w:val="0029044A"/>
    <w:rsid w:val="0029055B"/>
    <w:rsid w:val="002905A7"/>
    <w:rsid w:val="002908AB"/>
    <w:rsid w:val="00290902"/>
    <w:rsid w:val="00290920"/>
    <w:rsid w:val="00290A01"/>
    <w:rsid w:val="00290A33"/>
    <w:rsid w:val="00290A56"/>
    <w:rsid w:val="00290ABD"/>
    <w:rsid w:val="00290B37"/>
    <w:rsid w:val="00290B42"/>
    <w:rsid w:val="00290BBA"/>
    <w:rsid w:val="00290C90"/>
    <w:rsid w:val="00290CC7"/>
    <w:rsid w:val="00290DBE"/>
    <w:rsid w:val="00290EBB"/>
    <w:rsid w:val="00290EC9"/>
    <w:rsid w:val="00290F19"/>
    <w:rsid w:val="00290F4A"/>
    <w:rsid w:val="00290FFB"/>
    <w:rsid w:val="0029102B"/>
    <w:rsid w:val="00291032"/>
    <w:rsid w:val="002910A6"/>
    <w:rsid w:val="002911D6"/>
    <w:rsid w:val="002911E4"/>
    <w:rsid w:val="00291304"/>
    <w:rsid w:val="002913CD"/>
    <w:rsid w:val="002914A7"/>
    <w:rsid w:val="00291539"/>
    <w:rsid w:val="002916E0"/>
    <w:rsid w:val="00291751"/>
    <w:rsid w:val="002917BB"/>
    <w:rsid w:val="00291853"/>
    <w:rsid w:val="00291958"/>
    <w:rsid w:val="002919E8"/>
    <w:rsid w:val="002919EC"/>
    <w:rsid w:val="00291A25"/>
    <w:rsid w:val="00291A8D"/>
    <w:rsid w:val="00291B80"/>
    <w:rsid w:val="00291B98"/>
    <w:rsid w:val="00291BEC"/>
    <w:rsid w:val="00291BF0"/>
    <w:rsid w:val="00291C66"/>
    <w:rsid w:val="00291CAB"/>
    <w:rsid w:val="00291D14"/>
    <w:rsid w:val="00291D86"/>
    <w:rsid w:val="00291E66"/>
    <w:rsid w:val="00291FB3"/>
    <w:rsid w:val="00291FF5"/>
    <w:rsid w:val="00292077"/>
    <w:rsid w:val="002920E3"/>
    <w:rsid w:val="0029220E"/>
    <w:rsid w:val="002922D2"/>
    <w:rsid w:val="0029230D"/>
    <w:rsid w:val="002923E4"/>
    <w:rsid w:val="002924BE"/>
    <w:rsid w:val="0029253A"/>
    <w:rsid w:val="0029260D"/>
    <w:rsid w:val="0029263F"/>
    <w:rsid w:val="00292657"/>
    <w:rsid w:val="00292736"/>
    <w:rsid w:val="002928AA"/>
    <w:rsid w:val="00292910"/>
    <w:rsid w:val="002929E0"/>
    <w:rsid w:val="00292A1B"/>
    <w:rsid w:val="00292B9B"/>
    <w:rsid w:val="00292DAB"/>
    <w:rsid w:val="00292DAD"/>
    <w:rsid w:val="00292DF9"/>
    <w:rsid w:val="00292F02"/>
    <w:rsid w:val="00292F5C"/>
    <w:rsid w:val="00292F73"/>
    <w:rsid w:val="00292F9D"/>
    <w:rsid w:val="00293028"/>
    <w:rsid w:val="00293118"/>
    <w:rsid w:val="00293167"/>
    <w:rsid w:val="0029329A"/>
    <w:rsid w:val="00293496"/>
    <w:rsid w:val="002935CE"/>
    <w:rsid w:val="002935DB"/>
    <w:rsid w:val="002935E8"/>
    <w:rsid w:val="00293693"/>
    <w:rsid w:val="002936FF"/>
    <w:rsid w:val="0029372E"/>
    <w:rsid w:val="00293758"/>
    <w:rsid w:val="002938A0"/>
    <w:rsid w:val="002938E0"/>
    <w:rsid w:val="002938FD"/>
    <w:rsid w:val="00293934"/>
    <w:rsid w:val="00293A27"/>
    <w:rsid w:val="00293BB6"/>
    <w:rsid w:val="00293C5A"/>
    <w:rsid w:val="00293DE5"/>
    <w:rsid w:val="00293E05"/>
    <w:rsid w:val="00293E2B"/>
    <w:rsid w:val="00293EA8"/>
    <w:rsid w:val="00293EB8"/>
    <w:rsid w:val="00293FA5"/>
    <w:rsid w:val="0029404E"/>
    <w:rsid w:val="00294090"/>
    <w:rsid w:val="002940C8"/>
    <w:rsid w:val="0029418D"/>
    <w:rsid w:val="00294259"/>
    <w:rsid w:val="002942A6"/>
    <w:rsid w:val="002942F0"/>
    <w:rsid w:val="002942FC"/>
    <w:rsid w:val="00294301"/>
    <w:rsid w:val="0029436F"/>
    <w:rsid w:val="0029438F"/>
    <w:rsid w:val="002943B8"/>
    <w:rsid w:val="002944CA"/>
    <w:rsid w:val="0029452F"/>
    <w:rsid w:val="0029455A"/>
    <w:rsid w:val="002945AD"/>
    <w:rsid w:val="00294660"/>
    <w:rsid w:val="002946B9"/>
    <w:rsid w:val="002946DD"/>
    <w:rsid w:val="002946DE"/>
    <w:rsid w:val="00294939"/>
    <w:rsid w:val="00294947"/>
    <w:rsid w:val="00294BA0"/>
    <w:rsid w:val="00294C08"/>
    <w:rsid w:val="00294C58"/>
    <w:rsid w:val="00294CEB"/>
    <w:rsid w:val="00294DE1"/>
    <w:rsid w:val="00294E37"/>
    <w:rsid w:val="00294EB3"/>
    <w:rsid w:val="00294F22"/>
    <w:rsid w:val="00294FD5"/>
    <w:rsid w:val="00295017"/>
    <w:rsid w:val="00295082"/>
    <w:rsid w:val="00295086"/>
    <w:rsid w:val="002950B3"/>
    <w:rsid w:val="002950BE"/>
    <w:rsid w:val="00295160"/>
    <w:rsid w:val="0029521C"/>
    <w:rsid w:val="002954D0"/>
    <w:rsid w:val="002954FC"/>
    <w:rsid w:val="002956D0"/>
    <w:rsid w:val="002957A8"/>
    <w:rsid w:val="00295929"/>
    <w:rsid w:val="00295A99"/>
    <w:rsid w:val="00295B10"/>
    <w:rsid w:val="00295B28"/>
    <w:rsid w:val="00295D0B"/>
    <w:rsid w:val="00295D27"/>
    <w:rsid w:val="00295D2C"/>
    <w:rsid w:val="00295EB8"/>
    <w:rsid w:val="002961AE"/>
    <w:rsid w:val="002961B4"/>
    <w:rsid w:val="002962EA"/>
    <w:rsid w:val="00296353"/>
    <w:rsid w:val="00296469"/>
    <w:rsid w:val="00296472"/>
    <w:rsid w:val="002964E1"/>
    <w:rsid w:val="00296554"/>
    <w:rsid w:val="00296592"/>
    <w:rsid w:val="002965C8"/>
    <w:rsid w:val="0029669D"/>
    <w:rsid w:val="0029678B"/>
    <w:rsid w:val="0029679E"/>
    <w:rsid w:val="0029683A"/>
    <w:rsid w:val="0029688E"/>
    <w:rsid w:val="00296A1F"/>
    <w:rsid w:val="00296A7D"/>
    <w:rsid w:val="00296AD8"/>
    <w:rsid w:val="00296B06"/>
    <w:rsid w:val="00296BD8"/>
    <w:rsid w:val="00296C58"/>
    <w:rsid w:val="00296CAC"/>
    <w:rsid w:val="00296DD1"/>
    <w:rsid w:val="00296E13"/>
    <w:rsid w:val="00296E6C"/>
    <w:rsid w:val="00296E73"/>
    <w:rsid w:val="00297010"/>
    <w:rsid w:val="00297027"/>
    <w:rsid w:val="00297031"/>
    <w:rsid w:val="0029704E"/>
    <w:rsid w:val="0029712F"/>
    <w:rsid w:val="0029713D"/>
    <w:rsid w:val="00297169"/>
    <w:rsid w:val="0029716A"/>
    <w:rsid w:val="002972EC"/>
    <w:rsid w:val="002973B4"/>
    <w:rsid w:val="00297427"/>
    <w:rsid w:val="00297448"/>
    <w:rsid w:val="00297459"/>
    <w:rsid w:val="00297463"/>
    <w:rsid w:val="00297506"/>
    <w:rsid w:val="00297629"/>
    <w:rsid w:val="002976C1"/>
    <w:rsid w:val="00297716"/>
    <w:rsid w:val="00297782"/>
    <w:rsid w:val="002977A4"/>
    <w:rsid w:val="00297954"/>
    <w:rsid w:val="00297BC8"/>
    <w:rsid w:val="00297C06"/>
    <w:rsid w:val="00297CEA"/>
    <w:rsid w:val="00297EA1"/>
    <w:rsid w:val="00297F61"/>
    <w:rsid w:val="002A0099"/>
    <w:rsid w:val="002A00CB"/>
    <w:rsid w:val="002A0199"/>
    <w:rsid w:val="002A033C"/>
    <w:rsid w:val="002A041D"/>
    <w:rsid w:val="002A042D"/>
    <w:rsid w:val="002A0503"/>
    <w:rsid w:val="002A0511"/>
    <w:rsid w:val="002A06A7"/>
    <w:rsid w:val="002A076F"/>
    <w:rsid w:val="002A0937"/>
    <w:rsid w:val="002A0959"/>
    <w:rsid w:val="002A09DC"/>
    <w:rsid w:val="002A0A1F"/>
    <w:rsid w:val="002A0A4F"/>
    <w:rsid w:val="002A0A8A"/>
    <w:rsid w:val="002A0AFB"/>
    <w:rsid w:val="002A0B4A"/>
    <w:rsid w:val="002A0C38"/>
    <w:rsid w:val="002A0CEB"/>
    <w:rsid w:val="002A0D9D"/>
    <w:rsid w:val="002A0DE9"/>
    <w:rsid w:val="002A0F7C"/>
    <w:rsid w:val="002A10C4"/>
    <w:rsid w:val="002A1117"/>
    <w:rsid w:val="002A1279"/>
    <w:rsid w:val="002A130C"/>
    <w:rsid w:val="002A153B"/>
    <w:rsid w:val="002A157E"/>
    <w:rsid w:val="002A15BA"/>
    <w:rsid w:val="002A161C"/>
    <w:rsid w:val="002A1695"/>
    <w:rsid w:val="002A1897"/>
    <w:rsid w:val="002A1935"/>
    <w:rsid w:val="002A1A67"/>
    <w:rsid w:val="002A1AD8"/>
    <w:rsid w:val="002A1BB8"/>
    <w:rsid w:val="002A1BC6"/>
    <w:rsid w:val="002A1CF9"/>
    <w:rsid w:val="002A1D1B"/>
    <w:rsid w:val="002A1E08"/>
    <w:rsid w:val="002A1E97"/>
    <w:rsid w:val="002A1E9F"/>
    <w:rsid w:val="002A2157"/>
    <w:rsid w:val="002A2192"/>
    <w:rsid w:val="002A223C"/>
    <w:rsid w:val="002A231D"/>
    <w:rsid w:val="002A231F"/>
    <w:rsid w:val="002A235D"/>
    <w:rsid w:val="002A242F"/>
    <w:rsid w:val="002A252E"/>
    <w:rsid w:val="002A2581"/>
    <w:rsid w:val="002A273B"/>
    <w:rsid w:val="002A282D"/>
    <w:rsid w:val="002A290F"/>
    <w:rsid w:val="002A2912"/>
    <w:rsid w:val="002A2955"/>
    <w:rsid w:val="002A29CA"/>
    <w:rsid w:val="002A2A04"/>
    <w:rsid w:val="002A2A4C"/>
    <w:rsid w:val="002A2AB1"/>
    <w:rsid w:val="002A2AC3"/>
    <w:rsid w:val="002A2C41"/>
    <w:rsid w:val="002A2C44"/>
    <w:rsid w:val="002A2CB6"/>
    <w:rsid w:val="002A2DDB"/>
    <w:rsid w:val="002A2E9C"/>
    <w:rsid w:val="002A2F01"/>
    <w:rsid w:val="002A309C"/>
    <w:rsid w:val="002A3114"/>
    <w:rsid w:val="002A31DE"/>
    <w:rsid w:val="002A333F"/>
    <w:rsid w:val="002A3408"/>
    <w:rsid w:val="002A34C1"/>
    <w:rsid w:val="002A358F"/>
    <w:rsid w:val="002A3645"/>
    <w:rsid w:val="002A37FA"/>
    <w:rsid w:val="002A381A"/>
    <w:rsid w:val="002A3955"/>
    <w:rsid w:val="002A3A1A"/>
    <w:rsid w:val="002A3A25"/>
    <w:rsid w:val="002A3AB7"/>
    <w:rsid w:val="002A3B60"/>
    <w:rsid w:val="002A3B62"/>
    <w:rsid w:val="002A3D23"/>
    <w:rsid w:val="002A3E11"/>
    <w:rsid w:val="002A40E9"/>
    <w:rsid w:val="002A4115"/>
    <w:rsid w:val="002A4421"/>
    <w:rsid w:val="002A452C"/>
    <w:rsid w:val="002A4559"/>
    <w:rsid w:val="002A46F2"/>
    <w:rsid w:val="002A4707"/>
    <w:rsid w:val="002A47CA"/>
    <w:rsid w:val="002A47DE"/>
    <w:rsid w:val="002A47EE"/>
    <w:rsid w:val="002A48DB"/>
    <w:rsid w:val="002A48E2"/>
    <w:rsid w:val="002A4952"/>
    <w:rsid w:val="002A4AD6"/>
    <w:rsid w:val="002A4AED"/>
    <w:rsid w:val="002A4BEB"/>
    <w:rsid w:val="002A4F44"/>
    <w:rsid w:val="002A4FCC"/>
    <w:rsid w:val="002A5104"/>
    <w:rsid w:val="002A5146"/>
    <w:rsid w:val="002A5164"/>
    <w:rsid w:val="002A5262"/>
    <w:rsid w:val="002A526A"/>
    <w:rsid w:val="002A53B2"/>
    <w:rsid w:val="002A54D3"/>
    <w:rsid w:val="002A5522"/>
    <w:rsid w:val="002A5611"/>
    <w:rsid w:val="002A5615"/>
    <w:rsid w:val="002A5682"/>
    <w:rsid w:val="002A56D4"/>
    <w:rsid w:val="002A5739"/>
    <w:rsid w:val="002A5763"/>
    <w:rsid w:val="002A5826"/>
    <w:rsid w:val="002A588F"/>
    <w:rsid w:val="002A58C3"/>
    <w:rsid w:val="002A5971"/>
    <w:rsid w:val="002A5C06"/>
    <w:rsid w:val="002A5C0E"/>
    <w:rsid w:val="002A5C43"/>
    <w:rsid w:val="002A5C5C"/>
    <w:rsid w:val="002A5D0B"/>
    <w:rsid w:val="002A5D1D"/>
    <w:rsid w:val="002A5E4B"/>
    <w:rsid w:val="002A5F2A"/>
    <w:rsid w:val="002A5FA1"/>
    <w:rsid w:val="002A5FD6"/>
    <w:rsid w:val="002A6035"/>
    <w:rsid w:val="002A6061"/>
    <w:rsid w:val="002A620F"/>
    <w:rsid w:val="002A6213"/>
    <w:rsid w:val="002A6288"/>
    <w:rsid w:val="002A635A"/>
    <w:rsid w:val="002A6426"/>
    <w:rsid w:val="002A64FF"/>
    <w:rsid w:val="002A661C"/>
    <w:rsid w:val="002A668C"/>
    <w:rsid w:val="002A66B0"/>
    <w:rsid w:val="002A66C7"/>
    <w:rsid w:val="002A675E"/>
    <w:rsid w:val="002A67DD"/>
    <w:rsid w:val="002A68A6"/>
    <w:rsid w:val="002A69B7"/>
    <w:rsid w:val="002A6A52"/>
    <w:rsid w:val="002A6AD5"/>
    <w:rsid w:val="002A6AE5"/>
    <w:rsid w:val="002A6B63"/>
    <w:rsid w:val="002A6B88"/>
    <w:rsid w:val="002A6C4C"/>
    <w:rsid w:val="002A6D79"/>
    <w:rsid w:val="002A6DBF"/>
    <w:rsid w:val="002A6EF1"/>
    <w:rsid w:val="002A6F91"/>
    <w:rsid w:val="002A6FC9"/>
    <w:rsid w:val="002A7053"/>
    <w:rsid w:val="002A70CE"/>
    <w:rsid w:val="002A715C"/>
    <w:rsid w:val="002A716A"/>
    <w:rsid w:val="002A7182"/>
    <w:rsid w:val="002A727C"/>
    <w:rsid w:val="002A729E"/>
    <w:rsid w:val="002A72E1"/>
    <w:rsid w:val="002A7401"/>
    <w:rsid w:val="002A7581"/>
    <w:rsid w:val="002A768F"/>
    <w:rsid w:val="002A7721"/>
    <w:rsid w:val="002A776B"/>
    <w:rsid w:val="002A7855"/>
    <w:rsid w:val="002A786F"/>
    <w:rsid w:val="002A789E"/>
    <w:rsid w:val="002A7912"/>
    <w:rsid w:val="002A7A84"/>
    <w:rsid w:val="002A7B16"/>
    <w:rsid w:val="002A7C5B"/>
    <w:rsid w:val="002A7C98"/>
    <w:rsid w:val="002A7DD2"/>
    <w:rsid w:val="002A7DE5"/>
    <w:rsid w:val="002A7E38"/>
    <w:rsid w:val="002A7E73"/>
    <w:rsid w:val="002A7E89"/>
    <w:rsid w:val="002A7F00"/>
    <w:rsid w:val="002A7F3D"/>
    <w:rsid w:val="002A7F83"/>
    <w:rsid w:val="002A7FB5"/>
    <w:rsid w:val="002B0171"/>
    <w:rsid w:val="002B0188"/>
    <w:rsid w:val="002B0378"/>
    <w:rsid w:val="002B051D"/>
    <w:rsid w:val="002B05FF"/>
    <w:rsid w:val="002B06F9"/>
    <w:rsid w:val="002B0713"/>
    <w:rsid w:val="002B0766"/>
    <w:rsid w:val="002B0786"/>
    <w:rsid w:val="002B090F"/>
    <w:rsid w:val="002B0AC9"/>
    <w:rsid w:val="002B0BB5"/>
    <w:rsid w:val="002B0CA5"/>
    <w:rsid w:val="002B0E89"/>
    <w:rsid w:val="002B0F20"/>
    <w:rsid w:val="002B0F87"/>
    <w:rsid w:val="002B1030"/>
    <w:rsid w:val="002B1072"/>
    <w:rsid w:val="002B122D"/>
    <w:rsid w:val="002B124E"/>
    <w:rsid w:val="002B1276"/>
    <w:rsid w:val="002B12D6"/>
    <w:rsid w:val="002B1395"/>
    <w:rsid w:val="002B13D3"/>
    <w:rsid w:val="002B14E1"/>
    <w:rsid w:val="002B14F9"/>
    <w:rsid w:val="002B150A"/>
    <w:rsid w:val="002B1756"/>
    <w:rsid w:val="002B1893"/>
    <w:rsid w:val="002B18B2"/>
    <w:rsid w:val="002B19F9"/>
    <w:rsid w:val="002B1B47"/>
    <w:rsid w:val="002B1BDE"/>
    <w:rsid w:val="002B1C9D"/>
    <w:rsid w:val="002B1D4E"/>
    <w:rsid w:val="002B1D6D"/>
    <w:rsid w:val="002B1DA0"/>
    <w:rsid w:val="002B1DF5"/>
    <w:rsid w:val="002B1EB1"/>
    <w:rsid w:val="002B1FC0"/>
    <w:rsid w:val="002B20CD"/>
    <w:rsid w:val="002B211D"/>
    <w:rsid w:val="002B217A"/>
    <w:rsid w:val="002B21E2"/>
    <w:rsid w:val="002B21F8"/>
    <w:rsid w:val="002B2222"/>
    <w:rsid w:val="002B2298"/>
    <w:rsid w:val="002B22EF"/>
    <w:rsid w:val="002B2341"/>
    <w:rsid w:val="002B2363"/>
    <w:rsid w:val="002B23DE"/>
    <w:rsid w:val="002B23F7"/>
    <w:rsid w:val="002B2533"/>
    <w:rsid w:val="002B2563"/>
    <w:rsid w:val="002B262D"/>
    <w:rsid w:val="002B26D6"/>
    <w:rsid w:val="002B275C"/>
    <w:rsid w:val="002B2894"/>
    <w:rsid w:val="002B28FB"/>
    <w:rsid w:val="002B2939"/>
    <w:rsid w:val="002B2A8B"/>
    <w:rsid w:val="002B2B6E"/>
    <w:rsid w:val="002B2BDB"/>
    <w:rsid w:val="002B2BEC"/>
    <w:rsid w:val="002B2C27"/>
    <w:rsid w:val="002B2C8E"/>
    <w:rsid w:val="002B2DE5"/>
    <w:rsid w:val="002B2DF5"/>
    <w:rsid w:val="002B30F9"/>
    <w:rsid w:val="002B3232"/>
    <w:rsid w:val="002B325C"/>
    <w:rsid w:val="002B3266"/>
    <w:rsid w:val="002B32AF"/>
    <w:rsid w:val="002B32DC"/>
    <w:rsid w:val="002B32F8"/>
    <w:rsid w:val="002B333F"/>
    <w:rsid w:val="002B336C"/>
    <w:rsid w:val="002B3396"/>
    <w:rsid w:val="002B34A6"/>
    <w:rsid w:val="002B354E"/>
    <w:rsid w:val="002B3576"/>
    <w:rsid w:val="002B35F2"/>
    <w:rsid w:val="002B365C"/>
    <w:rsid w:val="002B3789"/>
    <w:rsid w:val="002B37A3"/>
    <w:rsid w:val="002B37CE"/>
    <w:rsid w:val="002B37D2"/>
    <w:rsid w:val="002B37DB"/>
    <w:rsid w:val="002B3828"/>
    <w:rsid w:val="002B3836"/>
    <w:rsid w:val="002B39BC"/>
    <w:rsid w:val="002B39C5"/>
    <w:rsid w:val="002B3A74"/>
    <w:rsid w:val="002B3AA8"/>
    <w:rsid w:val="002B3AA9"/>
    <w:rsid w:val="002B3B0D"/>
    <w:rsid w:val="002B3B15"/>
    <w:rsid w:val="002B3B69"/>
    <w:rsid w:val="002B3BFB"/>
    <w:rsid w:val="002B3C10"/>
    <w:rsid w:val="002B3C67"/>
    <w:rsid w:val="002B3FAE"/>
    <w:rsid w:val="002B4053"/>
    <w:rsid w:val="002B405E"/>
    <w:rsid w:val="002B41B1"/>
    <w:rsid w:val="002B4342"/>
    <w:rsid w:val="002B4422"/>
    <w:rsid w:val="002B4510"/>
    <w:rsid w:val="002B46F6"/>
    <w:rsid w:val="002B47A8"/>
    <w:rsid w:val="002B485A"/>
    <w:rsid w:val="002B4879"/>
    <w:rsid w:val="002B48AA"/>
    <w:rsid w:val="002B48B1"/>
    <w:rsid w:val="002B48FA"/>
    <w:rsid w:val="002B49DB"/>
    <w:rsid w:val="002B4A13"/>
    <w:rsid w:val="002B4B3F"/>
    <w:rsid w:val="002B4BF7"/>
    <w:rsid w:val="002B4CE8"/>
    <w:rsid w:val="002B4D2F"/>
    <w:rsid w:val="002B5010"/>
    <w:rsid w:val="002B5049"/>
    <w:rsid w:val="002B50CF"/>
    <w:rsid w:val="002B515B"/>
    <w:rsid w:val="002B5160"/>
    <w:rsid w:val="002B5186"/>
    <w:rsid w:val="002B51A7"/>
    <w:rsid w:val="002B51AF"/>
    <w:rsid w:val="002B51B7"/>
    <w:rsid w:val="002B51D1"/>
    <w:rsid w:val="002B52C6"/>
    <w:rsid w:val="002B5578"/>
    <w:rsid w:val="002B55B0"/>
    <w:rsid w:val="002B5643"/>
    <w:rsid w:val="002B567B"/>
    <w:rsid w:val="002B5717"/>
    <w:rsid w:val="002B5730"/>
    <w:rsid w:val="002B57FB"/>
    <w:rsid w:val="002B58DF"/>
    <w:rsid w:val="002B59B4"/>
    <w:rsid w:val="002B5A27"/>
    <w:rsid w:val="002B5BE9"/>
    <w:rsid w:val="002B5CE6"/>
    <w:rsid w:val="002B5D5C"/>
    <w:rsid w:val="002B5DAD"/>
    <w:rsid w:val="002B5E62"/>
    <w:rsid w:val="002B5E8B"/>
    <w:rsid w:val="002B5EFC"/>
    <w:rsid w:val="002B6125"/>
    <w:rsid w:val="002B613D"/>
    <w:rsid w:val="002B6156"/>
    <w:rsid w:val="002B61F3"/>
    <w:rsid w:val="002B6201"/>
    <w:rsid w:val="002B62B4"/>
    <w:rsid w:val="002B62EC"/>
    <w:rsid w:val="002B6532"/>
    <w:rsid w:val="002B659A"/>
    <w:rsid w:val="002B65B9"/>
    <w:rsid w:val="002B6766"/>
    <w:rsid w:val="002B6782"/>
    <w:rsid w:val="002B6853"/>
    <w:rsid w:val="002B691F"/>
    <w:rsid w:val="002B69C3"/>
    <w:rsid w:val="002B6AA8"/>
    <w:rsid w:val="002B6AEF"/>
    <w:rsid w:val="002B6B72"/>
    <w:rsid w:val="002B6B93"/>
    <w:rsid w:val="002B6BB2"/>
    <w:rsid w:val="002B6CA7"/>
    <w:rsid w:val="002B70A5"/>
    <w:rsid w:val="002B70FF"/>
    <w:rsid w:val="002B712E"/>
    <w:rsid w:val="002B71BF"/>
    <w:rsid w:val="002B71F7"/>
    <w:rsid w:val="002B7203"/>
    <w:rsid w:val="002B75B1"/>
    <w:rsid w:val="002B763B"/>
    <w:rsid w:val="002B766C"/>
    <w:rsid w:val="002B77BB"/>
    <w:rsid w:val="002B77C6"/>
    <w:rsid w:val="002B7827"/>
    <w:rsid w:val="002B7885"/>
    <w:rsid w:val="002B7919"/>
    <w:rsid w:val="002B79C6"/>
    <w:rsid w:val="002B7BAB"/>
    <w:rsid w:val="002B7CB8"/>
    <w:rsid w:val="002B7CF6"/>
    <w:rsid w:val="002B7D68"/>
    <w:rsid w:val="002B7DF5"/>
    <w:rsid w:val="002B7E06"/>
    <w:rsid w:val="002B7E29"/>
    <w:rsid w:val="002B7F2F"/>
    <w:rsid w:val="002C0075"/>
    <w:rsid w:val="002C00FC"/>
    <w:rsid w:val="002C012F"/>
    <w:rsid w:val="002C01F2"/>
    <w:rsid w:val="002C0224"/>
    <w:rsid w:val="002C0361"/>
    <w:rsid w:val="002C0424"/>
    <w:rsid w:val="002C05F2"/>
    <w:rsid w:val="002C06A6"/>
    <w:rsid w:val="002C06B3"/>
    <w:rsid w:val="002C0787"/>
    <w:rsid w:val="002C0845"/>
    <w:rsid w:val="002C0868"/>
    <w:rsid w:val="002C08E1"/>
    <w:rsid w:val="002C08EF"/>
    <w:rsid w:val="002C09C6"/>
    <w:rsid w:val="002C0A1A"/>
    <w:rsid w:val="002C0A23"/>
    <w:rsid w:val="002C0ABB"/>
    <w:rsid w:val="002C0B21"/>
    <w:rsid w:val="002C0B5E"/>
    <w:rsid w:val="002C0C87"/>
    <w:rsid w:val="002C0D5D"/>
    <w:rsid w:val="002C0E01"/>
    <w:rsid w:val="002C0E9A"/>
    <w:rsid w:val="002C0ED9"/>
    <w:rsid w:val="002C0EFF"/>
    <w:rsid w:val="002C0F8E"/>
    <w:rsid w:val="002C1000"/>
    <w:rsid w:val="002C1102"/>
    <w:rsid w:val="002C110C"/>
    <w:rsid w:val="002C117A"/>
    <w:rsid w:val="002C119C"/>
    <w:rsid w:val="002C11EE"/>
    <w:rsid w:val="002C120D"/>
    <w:rsid w:val="002C127A"/>
    <w:rsid w:val="002C12D7"/>
    <w:rsid w:val="002C134F"/>
    <w:rsid w:val="002C142D"/>
    <w:rsid w:val="002C1494"/>
    <w:rsid w:val="002C1600"/>
    <w:rsid w:val="002C165A"/>
    <w:rsid w:val="002C16D4"/>
    <w:rsid w:val="002C16FF"/>
    <w:rsid w:val="002C1789"/>
    <w:rsid w:val="002C17F7"/>
    <w:rsid w:val="002C18D5"/>
    <w:rsid w:val="002C193D"/>
    <w:rsid w:val="002C19DA"/>
    <w:rsid w:val="002C19DD"/>
    <w:rsid w:val="002C1A6C"/>
    <w:rsid w:val="002C1B38"/>
    <w:rsid w:val="002C1C17"/>
    <w:rsid w:val="002C1CDF"/>
    <w:rsid w:val="002C1CE7"/>
    <w:rsid w:val="002C1D0B"/>
    <w:rsid w:val="002C1D2D"/>
    <w:rsid w:val="002C1D67"/>
    <w:rsid w:val="002C1E7F"/>
    <w:rsid w:val="002C1FDF"/>
    <w:rsid w:val="002C208E"/>
    <w:rsid w:val="002C20F9"/>
    <w:rsid w:val="002C2140"/>
    <w:rsid w:val="002C21D7"/>
    <w:rsid w:val="002C2246"/>
    <w:rsid w:val="002C2295"/>
    <w:rsid w:val="002C232F"/>
    <w:rsid w:val="002C234E"/>
    <w:rsid w:val="002C235F"/>
    <w:rsid w:val="002C2396"/>
    <w:rsid w:val="002C23CD"/>
    <w:rsid w:val="002C24EA"/>
    <w:rsid w:val="002C2559"/>
    <w:rsid w:val="002C2597"/>
    <w:rsid w:val="002C2603"/>
    <w:rsid w:val="002C2672"/>
    <w:rsid w:val="002C27C7"/>
    <w:rsid w:val="002C2940"/>
    <w:rsid w:val="002C2B04"/>
    <w:rsid w:val="002C2B23"/>
    <w:rsid w:val="002C2B4E"/>
    <w:rsid w:val="002C2BD3"/>
    <w:rsid w:val="002C2C6D"/>
    <w:rsid w:val="002C2CA3"/>
    <w:rsid w:val="002C2D08"/>
    <w:rsid w:val="002C2E4B"/>
    <w:rsid w:val="002C3131"/>
    <w:rsid w:val="002C3186"/>
    <w:rsid w:val="002C31AE"/>
    <w:rsid w:val="002C321D"/>
    <w:rsid w:val="002C329C"/>
    <w:rsid w:val="002C32B4"/>
    <w:rsid w:val="002C32C1"/>
    <w:rsid w:val="002C3381"/>
    <w:rsid w:val="002C34EF"/>
    <w:rsid w:val="002C3501"/>
    <w:rsid w:val="002C3561"/>
    <w:rsid w:val="002C35A2"/>
    <w:rsid w:val="002C363D"/>
    <w:rsid w:val="002C3650"/>
    <w:rsid w:val="002C36B8"/>
    <w:rsid w:val="002C3739"/>
    <w:rsid w:val="002C3757"/>
    <w:rsid w:val="002C379A"/>
    <w:rsid w:val="002C37B4"/>
    <w:rsid w:val="002C38C8"/>
    <w:rsid w:val="002C3984"/>
    <w:rsid w:val="002C3997"/>
    <w:rsid w:val="002C3B2A"/>
    <w:rsid w:val="002C3C42"/>
    <w:rsid w:val="002C3C6E"/>
    <w:rsid w:val="002C3CAD"/>
    <w:rsid w:val="002C3D4F"/>
    <w:rsid w:val="002C3D98"/>
    <w:rsid w:val="002C3E0F"/>
    <w:rsid w:val="002C3E32"/>
    <w:rsid w:val="002C3E98"/>
    <w:rsid w:val="002C3F02"/>
    <w:rsid w:val="002C3FA2"/>
    <w:rsid w:val="002C3FC3"/>
    <w:rsid w:val="002C41CB"/>
    <w:rsid w:val="002C41EB"/>
    <w:rsid w:val="002C4237"/>
    <w:rsid w:val="002C4239"/>
    <w:rsid w:val="002C4283"/>
    <w:rsid w:val="002C439F"/>
    <w:rsid w:val="002C43FC"/>
    <w:rsid w:val="002C4441"/>
    <w:rsid w:val="002C447A"/>
    <w:rsid w:val="002C4503"/>
    <w:rsid w:val="002C4593"/>
    <w:rsid w:val="002C45D7"/>
    <w:rsid w:val="002C45F5"/>
    <w:rsid w:val="002C466F"/>
    <w:rsid w:val="002C4710"/>
    <w:rsid w:val="002C472E"/>
    <w:rsid w:val="002C4747"/>
    <w:rsid w:val="002C47D8"/>
    <w:rsid w:val="002C4845"/>
    <w:rsid w:val="002C493B"/>
    <w:rsid w:val="002C4A10"/>
    <w:rsid w:val="002C4A16"/>
    <w:rsid w:val="002C4A17"/>
    <w:rsid w:val="002C4A1F"/>
    <w:rsid w:val="002C4A22"/>
    <w:rsid w:val="002C4AD4"/>
    <w:rsid w:val="002C4B0E"/>
    <w:rsid w:val="002C4BBF"/>
    <w:rsid w:val="002C4BEE"/>
    <w:rsid w:val="002C4C02"/>
    <w:rsid w:val="002C4C44"/>
    <w:rsid w:val="002C4C81"/>
    <w:rsid w:val="002C4DE3"/>
    <w:rsid w:val="002C51DE"/>
    <w:rsid w:val="002C51FD"/>
    <w:rsid w:val="002C5266"/>
    <w:rsid w:val="002C52AB"/>
    <w:rsid w:val="002C52CC"/>
    <w:rsid w:val="002C52CF"/>
    <w:rsid w:val="002C5300"/>
    <w:rsid w:val="002C5484"/>
    <w:rsid w:val="002C54B5"/>
    <w:rsid w:val="002C557F"/>
    <w:rsid w:val="002C5751"/>
    <w:rsid w:val="002C576B"/>
    <w:rsid w:val="002C5781"/>
    <w:rsid w:val="002C57E5"/>
    <w:rsid w:val="002C57ED"/>
    <w:rsid w:val="002C592B"/>
    <w:rsid w:val="002C5A24"/>
    <w:rsid w:val="002C5A68"/>
    <w:rsid w:val="002C5B2C"/>
    <w:rsid w:val="002C5C09"/>
    <w:rsid w:val="002C5CC8"/>
    <w:rsid w:val="002C5CF0"/>
    <w:rsid w:val="002C5D6B"/>
    <w:rsid w:val="002C5E41"/>
    <w:rsid w:val="002C5E7C"/>
    <w:rsid w:val="002C5EDD"/>
    <w:rsid w:val="002C5FC0"/>
    <w:rsid w:val="002C5FD4"/>
    <w:rsid w:val="002C604F"/>
    <w:rsid w:val="002C60DB"/>
    <w:rsid w:val="002C61D4"/>
    <w:rsid w:val="002C61E0"/>
    <w:rsid w:val="002C638F"/>
    <w:rsid w:val="002C64D2"/>
    <w:rsid w:val="002C6537"/>
    <w:rsid w:val="002C65E1"/>
    <w:rsid w:val="002C66AE"/>
    <w:rsid w:val="002C66F6"/>
    <w:rsid w:val="002C6725"/>
    <w:rsid w:val="002C677F"/>
    <w:rsid w:val="002C67E8"/>
    <w:rsid w:val="002C686E"/>
    <w:rsid w:val="002C68DD"/>
    <w:rsid w:val="002C6909"/>
    <w:rsid w:val="002C6985"/>
    <w:rsid w:val="002C699C"/>
    <w:rsid w:val="002C69D8"/>
    <w:rsid w:val="002C6B24"/>
    <w:rsid w:val="002C6CF1"/>
    <w:rsid w:val="002C6E6C"/>
    <w:rsid w:val="002C6F79"/>
    <w:rsid w:val="002C7060"/>
    <w:rsid w:val="002C7137"/>
    <w:rsid w:val="002C7220"/>
    <w:rsid w:val="002C7270"/>
    <w:rsid w:val="002C73A4"/>
    <w:rsid w:val="002C74AB"/>
    <w:rsid w:val="002C7512"/>
    <w:rsid w:val="002C7520"/>
    <w:rsid w:val="002C756C"/>
    <w:rsid w:val="002C7577"/>
    <w:rsid w:val="002C758B"/>
    <w:rsid w:val="002C75E8"/>
    <w:rsid w:val="002C763F"/>
    <w:rsid w:val="002C7704"/>
    <w:rsid w:val="002C770D"/>
    <w:rsid w:val="002C7887"/>
    <w:rsid w:val="002C7920"/>
    <w:rsid w:val="002C796E"/>
    <w:rsid w:val="002C7980"/>
    <w:rsid w:val="002C7A48"/>
    <w:rsid w:val="002C7CC6"/>
    <w:rsid w:val="002C7E41"/>
    <w:rsid w:val="002C7E47"/>
    <w:rsid w:val="002C7F13"/>
    <w:rsid w:val="002C7F64"/>
    <w:rsid w:val="002D0094"/>
    <w:rsid w:val="002D01BA"/>
    <w:rsid w:val="002D0225"/>
    <w:rsid w:val="002D024B"/>
    <w:rsid w:val="002D045F"/>
    <w:rsid w:val="002D064E"/>
    <w:rsid w:val="002D06C3"/>
    <w:rsid w:val="002D06E2"/>
    <w:rsid w:val="002D0850"/>
    <w:rsid w:val="002D0907"/>
    <w:rsid w:val="002D0B6B"/>
    <w:rsid w:val="002D0BAF"/>
    <w:rsid w:val="002D0BF0"/>
    <w:rsid w:val="002D0CB1"/>
    <w:rsid w:val="002D0D21"/>
    <w:rsid w:val="002D0EA2"/>
    <w:rsid w:val="002D0EEA"/>
    <w:rsid w:val="002D0F08"/>
    <w:rsid w:val="002D1012"/>
    <w:rsid w:val="002D1019"/>
    <w:rsid w:val="002D104E"/>
    <w:rsid w:val="002D1074"/>
    <w:rsid w:val="002D10D4"/>
    <w:rsid w:val="002D1215"/>
    <w:rsid w:val="002D1528"/>
    <w:rsid w:val="002D190E"/>
    <w:rsid w:val="002D1957"/>
    <w:rsid w:val="002D19A4"/>
    <w:rsid w:val="002D1A6E"/>
    <w:rsid w:val="002D1C0E"/>
    <w:rsid w:val="002D1C4E"/>
    <w:rsid w:val="002D1C59"/>
    <w:rsid w:val="002D1C89"/>
    <w:rsid w:val="002D1E4B"/>
    <w:rsid w:val="002D1EF7"/>
    <w:rsid w:val="002D206A"/>
    <w:rsid w:val="002D20BF"/>
    <w:rsid w:val="002D2135"/>
    <w:rsid w:val="002D2367"/>
    <w:rsid w:val="002D23DA"/>
    <w:rsid w:val="002D2480"/>
    <w:rsid w:val="002D26ED"/>
    <w:rsid w:val="002D2711"/>
    <w:rsid w:val="002D2753"/>
    <w:rsid w:val="002D2770"/>
    <w:rsid w:val="002D27B6"/>
    <w:rsid w:val="002D27CA"/>
    <w:rsid w:val="002D27CD"/>
    <w:rsid w:val="002D2823"/>
    <w:rsid w:val="002D29B5"/>
    <w:rsid w:val="002D29BC"/>
    <w:rsid w:val="002D29E1"/>
    <w:rsid w:val="002D2A39"/>
    <w:rsid w:val="002D2A3F"/>
    <w:rsid w:val="002D2C82"/>
    <w:rsid w:val="002D2CEB"/>
    <w:rsid w:val="002D2D34"/>
    <w:rsid w:val="002D2D66"/>
    <w:rsid w:val="002D2E01"/>
    <w:rsid w:val="002D2F81"/>
    <w:rsid w:val="002D2F9B"/>
    <w:rsid w:val="002D3052"/>
    <w:rsid w:val="002D30C5"/>
    <w:rsid w:val="002D31CB"/>
    <w:rsid w:val="002D3219"/>
    <w:rsid w:val="002D3471"/>
    <w:rsid w:val="002D34A4"/>
    <w:rsid w:val="002D358E"/>
    <w:rsid w:val="002D35C7"/>
    <w:rsid w:val="002D35E8"/>
    <w:rsid w:val="002D368C"/>
    <w:rsid w:val="002D369E"/>
    <w:rsid w:val="002D36F4"/>
    <w:rsid w:val="002D37BC"/>
    <w:rsid w:val="002D39B0"/>
    <w:rsid w:val="002D3ABA"/>
    <w:rsid w:val="002D3C5F"/>
    <w:rsid w:val="002D3CD2"/>
    <w:rsid w:val="002D3D23"/>
    <w:rsid w:val="002D3D6C"/>
    <w:rsid w:val="002D3E7E"/>
    <w:rsid w:val="002D3F34"/>
    <w:rsid w:val="002D4196"/>
    <w:rsid w:val="002D427B"/>
    <w:rsid w:val="002D42E8"/>
    <w:rsid w:val="002D4424"/>
    <w:rsid w:val="002D453A"/>
    <w:rsid w:val="002D46AE"/>
    <w:rsid w:val="002D4724"/>
    <w:rsid w:val="002D4793"/>
    <w:rsid w:val="002D4801"/>
    <w:rsid w:val="002D4882"/>
    <w:rsid w:val="002D48A7"/>
    <w:rsid w:val="002D4A36"/>
    <w:rsid w:val="002D4ADC"/>
    <w:rsid w:val="002D4AEB"/>
    <w:rsid w:val="002D4BB7"/>
    <w:rsid w:val="002D4D8E"/>
    <w:rsid w:val="002D4DD2"/>
    <w:rsid w:val="002D5170"/>
    <w:rsid w:val="002D5198"/>
    <w:rsid w:val="002D51A1"/>
    <w:rsid w:val="002D5497"/>
    <w:rsid w:val="002D54E7"/>
    <w:rsid w:val="002D54EE"/>
    <w:rsid w:val="002D554A"/>
    <w:rsid w:val="002D559C"/>
    <w:rsid w:val="002D5740"/>
    <w:rsid w:val="002D5760"/>
    <w:rsid w:val="002D5795"/>
    <w:rsid w:val="002D57DB"/>
    <w:rsid w:val="002D57E3"/>
    <w:rsid w:val="002D5930"/>
    <w:rsid w:val="002D5979"/>
    <w:rsid w:val="002D5C7A"/>
    <w:rsid w:val="002D5DB5"/>
    <w:rsid w:val="002D5DEB"/>
    <w:rsid w:val="002D5E67"/>
    <w:rsid w:val="002D5FFD"/>
    <w:rsid w:val="002D607D"/>
    <w:rsid w:val="002D60AC"/>
    <w:rsid w:val="002D60EE"/>
    <w:rsid w:val="002D6194"/>
    <w:rsid w:val="002D62D2"/>
    <w:rsid w:val="002D62EC"/>
    <w:rsid w:val="002D6370"/>
    <w:rsid w:val="002D6445"/>
    <w:rsid w:val="002D64E8"/>
    <w:rsid w:val="002D65B3"/>
    <w:rsid w:val="002D65EF"/>
    <w:rsid w:val="002D6629"/>
    <w:rsid w:val="002D6679"/>
    <w:rsid w:val="002D6761"/>
    <w:rsid w:val="002D677A"/>
    <w:rsid w:val="002D67D5"/>
    <w:rsid w:val="002D67D8"/>
    <w:rsid w:val="002D69AE"/>
    <w:rsid w:val="002D6A3E"/>
    <w:rsid w:val="002D6AA2"/>
    <w:rsid w:val="002D6BE2"/>
    <w:rsid w:val="002D6EAE"/>
    <w:rsid w:val="002D6F13"/>
    <w:rsid w:val="002D7044"/>
    <w:rsid w:val="002D704C"/>
    <w:rsid w:val="002D710F"/>
    <w:rsid w:val="002D7159"/>
    <w:rsid w:val="002D7199"/>
    <w:rsid w:val="002D73A4"/>
    <w:rsid w:val="002D73E7"/>
    <w:rsid w:val="002D74A2"/>
    <w:rsid w:val="002D752C"/>
    <w:rsid w:val="002D76D5"/>
    <w:rsid w:val="002D772D"/>
    <w:rsid w:val="002D78FD"/>
    <w:rsid w:val="002D7943"/>
    <w:rsid w:val="002D79B0"/>
    <w:rsid w:val="002D7A4E"/>
    <w:rsid w:val="002D7BCD"/>
    <w:rsid w:val="002D7C69"/>
    <w:rsid w:val="002D7CB0"/>
    <w:rsid w:val="002D7D57"/>
    <w:rsid w:val="002D7D6B"/>
    <w:rsid w:val="002D7DFD"/>
    <w:rsid w:val="002D7E56"/>
    <w:rsid w:val="002D7F9B"/>
    <w:rsid w:val="002E0015"/>
    <w:rsid w:val="002E0020"/>
    <w:rsid w:val="002E01C9"/>
    <w:rsid w:val="002E0301"/>
    <w:rsid w:val="002E030A"/>
    <w:rsid w:val="002E0329"/>
    <w:rsid w:val="002E0482"/>
    <w:rsid w:val="002E0486"/>
    <w:rsid w:val="002E0547"/>
    <w:rsid w:val="002E05E9"/>
    <w:rsid w:val="002E0647"/>
    <w:rsid w:val="002E0682"/>
    <w:rsid w:val="002E06B0"/>
    <w:rsid w:val="002E06DE"/>
    <w:rsid w:val="002E0771"/>
    <w:rsid w:val="002E0785"/>
    <w:rsid w:val="002E07B4"/>
    <w:rsid w:val="002E0897"/>
    <w:rsid w:val="002E093B"/>
    <w:rsid w:val="002E0A50"/>
    <w:rsid w:val="002E0A9E"/>
    <w:rsid w:val="002E0AA1"/>
    <w:rsid w:val="002E0AA9"/>
    <w:rsid w:val="002E0AED"/>
    <w:rsid w:val="002E0B11"/>
    <w:rsid w:val="002E0B5A"/>
    <w:rsid w:val="002E0C1E"/>
    <w:rsid w:val="002E0D4F"/>
    <w:rsid w:val="002E0D81"/>
    <w:rsid w:val="002E0DBF"/>
    <w:rsid w:val="002E0E82"/>
    <w:rsid w:val="002E0E9C"/>
    <w:rsid w:val="002E0F55"/>
    <w:rsid w:val="002E1152"/>
    <w:rsid w:val="002E1228"/>
    <w:rsid w:val="002E1235"/>
    <w:rsid w:val="002E1267"/>
    <w:rsid w:val="002E126C"/>
    <w:rsid w:val="002E130F"/>
    <w:rsid w:val="002E131C"/>
    <w:rsid w:val="002E1336"/>
    <w:rsid w:val="002E1409"/>
    <w:rsid w:val="002E1449"/>
    <w:rsid w:val="002E15FF"/>
    <w:rsid w:val="002E1604"/>
    <w:rsid w:val="002E175D"/>
    <w:rsid w:val="002E1817"/>
    <w:rsid w:val="002E182E"/>
    <w:rsid w:val="002E1897"/>
    <w:rsid w:val="002E18FD"/>
    <w:rsid w:val="002E19B7"/>
    <w:rsid w:val="002E1A12"/>
    <w:rsid w:val="002E1BE8"/>
    <w:rsid w:val="002E1D12"/>
    <w:rsid w:val="002E1D27"/>
    <w:rsid w:val="002E1E9F"/>
    <w:rsid w:val="002E1F64"/>
    <w:rsid w:val="002E1F77"/>
    <w:rsid w:val="002E200E"/>
    <w:rsid w:val="002E2101"/>
    <w:rsid w:val="002E2247"/>
    <w:rsid w:val="002E229E"/>
    <w:rsid w:val="002E235C"/>
    <w:rsid w:val="002E2417"/>
    <w:rsid w:val="002E257F"/>
    <w:rsid w:val="002E258B"/>
    <w:rsid w:val="002E2608"/>
    <w:rsid w:val="002E2693"/>
    <w:rsid w:val="002E2701"/>
    <w:rsid w:val="002E2738"/>
    <w:rsid w:val="002E278E"/>
    <w:rsid w:val="002E284D"/>
    <w:rsid w:val="002E292A"/>
    <w:rsid w:val="002E294A"/>
    <w:rsid w:val="002E2A4E"/>
    <w:rsid w:val="002E2A9A"/>
    <w:rsid w:val="002E2AA8"/>
    <w:rsid w:val="002E2B1C"/>
    <w:rsid w:val="002E2F75"/>
    <w:rsid w:val="002E3020"/>
    <w:rsid w:val="002E3036"/>
    <w:rsid w:val="002E3043"/>
    <w:rsid w:val="002E3049"/>
    <w:rsid w:val="002E30E2"/>
    <w:rsid w:val="002E30EE"/>
    <w:rsid w:val="002E3163"/>
    <w:rsid w:val="002E319C"/>
    <w:rsid w:val="002E3290"/>
    <w:rsid w:val="002E3336"/>
    <w:rsid w:val="002E33D0"/>
    <w:rsid w:val="002E3421"/>
    <w:rsid w:val="002E34C2"/>
    <w:rsid w:val="002E350B"/>
    <w:rsid w:val="002E364F"/>
    <w:rsid w:val="002E37D8"/>
    <w:rsid w:val="002E38F5"/>
    <w:rsid w:val="002E3993"/>
    <w:rsid w:val="002E39FE"/>
    <w:rsid w:val="002E3A3A"/>
    <w:rsid w:val="002E3B8A"/>
    <w:rsid w:val="002E3BF0"/>
    <w:rsid w:val="002E3C0C"/>
    <w:rsid w:val="002E3D1F"/>
    <w:rsid w:val="002E3DA1"/>
    <w:rsid w:val="002E3E7D"/>
    <w:rsid w:val="002E3EA2"/>
    <w:rsid w:val="002E3EBF"/>
    <w:rsid w:val="002E3EC2"/>
    <w:rsid w:val="002E3F2D"/>
    <w:rsid w:val="002E4196"/>
    <w:rsid w:val="002E42D5"/>
    <w:rsid w:val="002E44A8"/>
    <w:rsid w:val="002E4530"/>
    <w:rsid w:val="002E4611"/>
    <w:rsid w:val="002E46FD"/>
    <w:rsid w:val="002E472F"/>
    <w:rsid w:val="002E4799"/>
    <w:rsid w:val="002E4806"/>
    <w:rsid w:val="002E484B"/>
    <w:rsid w:val="002E494D"/>
    <w:rsid w:val="002E4AAC"/>
    <w:rsid w:val="002E4B39"/>
    <w:rsid w:val="002E4B8B"/>
    <w:rsid w:val="002E4BA4"/>
    <w:rsid w:val="002E4BCB"/>
    <w:rsid w:val="002E4C3F"/>
    <w:rsid w:val="002E4CBC"/>
    <w:rsid w:val="002E4D20"/>
    <w:rsid w:val="002E4D98"/>
    <w:rsid w:val="002E4E43"/>
    <w:rsid w:val="002E4E6A"/>
    <w:rsid w:val="002E4E8A"/>
    <w:rsid w:val="002E4EEC"/>
    <w:rsid w:val="002E4F51"/>
    <w:rsid w:val="002E500A"/>
    <w:rsid w:val="002E519F"/>
    <w:rsid w:val="002E51D2"/>
    <w:rsid w:val="002E5241"/>
    <w:rsid w:val="002E5300"/>
    <w:rsid w:val="002E5955"/>
    <w:rsid w:val="002E5A27"/>
    <w:rsid w:val="002E5B0C"/>
    <w:rsid w:val="002E5C1E"/>
    <w:rsid w:val="002E5CD8"/>
    <w:rsid w:val="002E5D7D"/>
    <w:rsid w:val="002E5DF4"/>
    <w:rsid w:val="002E5E07"/>
    <w:rsid w:val="002E5F52"/>
    <w:rsid w:val="002E6041"/>
    <w:rsid w:val="002E60B3"/>
    <w:rsid w:val="002E60FA"/>
    <w:rsid w:val="002E61B0"/>
    <w:rsid w:val="002E6231"/>
    <w:rsid w:val="002E62B4"/>
    <w:rsid w:val="002E648E"/>
    <w:rsid w:val="002E65BA"/>
    <w:rsid w:val="002E65D6"/>
    <w:rsid w:val="002E6772"/>
    <w:rsid w:val="002E67D7"/>
    <w:rsid w:val="002E67DA"/>
    <w:rsid w:val="002E6882"/>
    <w:rsid w:val="002E68CE"/>
    <w:rsid w:val="002E69F9"/>
    <w:rsid w:val="002E6B3F"/>
    <w:rsid w:val="002E6B46"/>
    <w:rsid w:val="002E6B67"/>
    <w:rsid w:val="002E6B96"/>
    <w:rsid w:val="002E6BBD"/>
    <w:rsid w:val="002E6BF4"/>
    <w:rsid w:val="002E6C24"/>
    <w:rsid w:val="002E6C66"/>
    <w:rsid w:val="002E7138"/>
    <w:rsid w:val="002E71B2"/>
    <w:rsid w:val="002E7246"/>
    <w:rsid w:val="002E7248"/>
    <w:rsid w:val="002E7378"/>
    <w:rsid w:val="002E73C7"/>
    <w:rsid w:val="002E743F"/>
    <w:rsid w:val="002E7453"/>
    <w:rsid w:val="002E74F8"/>
    <w:rsid w:val="002E761B"/>
    <w:rsid w:val="002E7669"/>
    <w:rsid w:val="002E76E6"/>
    <w:rsid w:val="002E76FD"/>
    <w:rsid w:val="002E7740"/>
    <w:rsid w:val="002E78B4"/>
    <w:rsid w:val="002E7917"/>
    <w:rsid w:val="002E7A22"/>
    <w:rsid w:val="002E7AE1"/>
    <w:rsid w:val="002E7B2C"/>
    <w:rsid w:val="002E7C1B"/>
    <w:rsid w:val="002E7C8B"/>
    <w:rsid w:val="002E7C97"/>
    <w:rsid w:val="002E7F23"/>
    <w:rsid w:val="002E7F78"/>
    <w:rsid w:val="002E7F7D"/>
    <w:rsid w:val="002F0083"/>
    <w:rsid w:val="002F009D"/>
    <w:rsid w:val="002F0194"/>
    <w:rsid w:val="002F02CC"/>
    <w:rsid w:val="002F03CC"/>
    <w:rsid w:val="002F03F3"/>
    <w:rsid w:val="002F0534"/>
    <w:rsid w:val="002F0541"/>
    <w:rsid w:val="002F05FA"/>
    <w:rsid w:val="002F07C2"/>
    <w:rsid w:val="002F08DF"/>
    <w:rsid w:val="002F0965"/>
    <w:rsid w:val="002F0B87"/>
    <w:rsid w:val="002F0C8C"/>
    <w:rsid w:val="002F0D8E"/>
    <w:rsid w:val="002F0D91"/>
    <w:rsid w:val="002F0E0C"/>
    <w:rsid w:val="002F0E9A"/>
    <w:rsid w:val="002F0F24"/>
    <w:rsid w:val="002F0F7B"/>
    <w:rsid w:val="002F1058"/>
    <w:rsid w:val="002F1290"/>
    <w:rsid w:val="002F1306"/>
    <w:rsid w:val="002F1311"/>
    <w:rsid w:val="002F177E"/>
    <w:rsid w:val="002F19D4"/>
    <w:rsid w:val="002F1AC3"/>
    <w:rsid w:val="002F1AE8"/>
    <w:rsid w:val="002F1B83"/>
    <w:rsid w:val="002F1BE5"/>
    <w:rsid w:val="002F1C62"/>
    <w:rsid w:val="002F1C87"/>
    <w:rsid w:val="002F1D3B"/>
    <w:rsid w:val="002F1F33"/>
    <w:rsid w:val="002F203A"/>
    <w:rsid w:val="002F212D"/>
    <w:rsid w:val="002F2171"/>
    <w:rsid w:val="002F22B9"/>
    <w:rsid w:val="002F22EF"/>
    <w:rsid w:val="002F2341"/>
    <w:rsid w:val="002F23EB"/>
    <w:rsid w:val="002F246B"/>
    <w:rsid w:val="002F28C0"/>
    <w:rsid w:val="002F2A0A"/>
    <w:rsid w:val="002F2B38"/>
    <w:rsid w:val="002F2BFA"/>
    <w:rsid w:val="002F2CA8"/>
    <w:rsid w:val="002F2DF3"/>
    <w:rsid w:val="002F2E3A"/>
    <w:rsid w:val="002F2EB2"/>
    <w:rsid w:val="002F2F2C"/>
    <w:rsid w:val="002F2F57"/>
    <w:rsid w:val="002F2FC3"/>
    <w:rsid w:val="002F3072"/>
    <w:rsid w:val="002F3094"/>
    <w:rsid w:val="002F309A"/>
    <w:rsid w:val="002F31EA"/>
    <w:rsid w:val="002F3325"/>
    <w:rsid w:val="002F338F"/>
    <w:rsid w:val="002F3420"/>
    <w:rsid w:val="002F3437"/>
    <w:rsid w:val="002F3473"/>
    <w:rsid w:val="002F3486"/>
    <w:rsid w:val="002F3603"/>
    <w:rsid w:val="002F3645"/>
    <w:rsid w:val="002F36CB"/>
    <w:rsid w:val="002F36CE"/>
    <w:rsid w:val="002F3738"/>
    <w:rsid w:val="002F3758"/>
    <w:rsid w:val="002F3815"/>
    <w:rsid w:val="002F3857"/>
    <w:rsid w:val="002F38E0"/>
    <w:rsid w:val="002F3937"/>
    <w:rsid w:val="002F39AA"/>
    <w:rsid w:val="002F3BA2"/>
    <w:rsid w:val="002F3C96"/>
    <w:rsid w:val="002F3D13"/>
    <w:rsid w:val="002F3D9D"/>
    <w:rsid w:val="002F3DCA"/>
    <w:rsid w:val="002F3E13"/>
    <w:rsid w:val="002F3FF8"/>
    <w:rsid w:val="002F402E"/>
    <w:rsid w:val="002F407E"/>
    <w:rsid w:val="002F40AE"/>
    <w:rsid w:val="002F411A"/>
    <w:rsid w:val="002F416D"/>
    <w:rsid w:val="002F41C2"/>
    <w:rsid w:val="002F4279"/>
    <w:rsid w:val="002F42E3"/>
    <w:rsid w:val="002F436C"/>
    <w:rsid w:val="002F482B"/>
    <w:rsid w:val="002F4835"/>
    <w:rsid w:val="002F489A"/>
    <w:rsid w:val="002F4A78"/>
    <w:rsid w:val="002F4B23"/>
    <w:rsid w:val="002F4B9A"/>
    <w:rsid w:val="002F4C71"/>
    <w:rsid w:val="002F4C88"/>
    <w:rsid w:val="002F4D80"/>
    <w:rsid w:val="002F4DC1"/>
    <w:rsid w:val="002F4EEA"/>
    <w:rsid w:val="002F4F53"/>
    <w:rsid w:val="002F4FF0"/>
    <w:rsid w:val="002F5032"/>
    <w:rsid w:val="002F51CB"/>
    <w:rsid w:val="002F51DB"/>
    <w:rsid w:val="002F5246"/>
    <w:rsid w:val="002F5287"/>
    <w:rsid w:val="002F52A9"/>
    <w:rsid w:val="002F530A"/>
    <w:rsid w:val="002F540F"/>
    <w:rsid w:val="002F5545"/>
    <w:rsid w:val="002F5613"/>
    <w:rsid w:val="002F56AB"/>
    <w:rsid w:val="002F57AE"/>
    <w:rsid w:val="002F57E3"/>
    <w:rsid w:val="002F5808"/>
    <w:rsid w:val="002F5814"/>
    <w:rsid w:val="002F58CA"/>
    <w:rsid w:val="002F58F6"/>
    <w:rsid w:val="002F593B"/>
    <w:rsid w:val="002F5975"/>
    <w:rsid w:val="002F5AB2"/>
    <w:rsid w:val="002F5ABA"/>
    <w:rsid w:val="002F5B08"/>
    <w:rsid w:val="002F5E37"/>
    <w:rsid w:val="002F5E4A"/>
    <w:rsid w:val="002F5E52"/>
    <w:rsid w:val="002F5F76"/>
    <w:rsid w:val="002F5FF8"/>
    <w:rsid w:val="002F609B"/>
    <w:rsid w:val="002F6111"/>
    <w:rsid w:val="002F625F"/>
    <w:rsid w:val="002F6266"/>
    <w:rsid w:val="002F633E"/>
    <w:rsid w:val="002F63A4"/>
    <w:rsid w:val="002F6474"/>
    <w:rsid w:val="002F647B"/>
    <w:rsid w:val="002F64BB"/>
    <w:rsid w:val="002F65EC"/>
    <w:rsid w:val="002F66E1"/>
    <w:rsid w:val="002F66F3"/>
    <w:rsid w:val="002F67AE"/>
    <w:rsid w:val="002F6813"/>
    <w:rsid w:val="002F6868"/>
    <w:rsid w:val="002F692A"/>
    <w:rsid w:val="002F6938"/>
    <w:rsid w:val="002F6999"/>
    <w:rsid w:val="002F6A1B"/>
    <w:rsid w:val="002F6AFF"/>
    <w:rsid w:val="002F6C08"/>
    <w:rsid w:val="002F6E03"/>
    <w:rsid w:val="002F6EC9"/>
    <w:rsid w:val="002F6EE8"/>
    <w:rsid w:val="002F6F5F"/>
    <w:rsid w:val="002F7014"/>
    <w:rsid w:val="002F7049"/>
    <w:rsid w:val="002F707F"/>
    <w:rsid w:val="002F70A1"/>
    <w:rsid w:val="002F7116"/>
    <w:rsid w:val="002F7121"/>
    <w:rsid w:val="002F71A4"/>
    <w:rsid w:val="002F71A7"/>
    <w:rsid w:val="002F7206"/>
    <w:rsid w:val="002F723B"/>
    <w:rsid w:val="002F7310"/>
    <w:rsid w:val="002F7373"/>
    <w:rsid w:val="002F7411"/>
    <w:rsid w:val="002F742E"/>
    <w:rsid w:val="002F7481"/>
    <w:rsid w:val="002F75C0"/>
    <w:rsid w:val="002F76D8"/>
    <w:rsid w:val="002F778E"/>
    <w:rsid w:val="002F77BB"/>
    <w:rsid w:val="002F7807"/>
    <w:rsid w:val="002F79B7"/>
    <w:rsid w:val="002F79F7"/>
    <w:rsid w:val="002F7A22"/>
    <w:rsid w:val="002F7A39"/>
    <w:rsid w:val="002F7A59"/>
    <w:rsid w:val="002F7AB6"/>
    <w:rsid w:val="002F7B5B"/>
    <w:rsid w:val="002F7B61"/>
    <w:rsid w:val="002F7BBE"/>
    <w:rsid w:val="002F7C52"/>
    <w:rsid w:val="002F7C77"/>
    <w:rsid w:val="002F7D89"/>
    <w:rsid w:val="002F7DC3"/>
    <w:rsid w:val="002F7ED7"/>
    <w:rsid w:val="002F7F0E"/>
    <w:rsid w:val="002F7FEA"/>
    <w:rsid w:val="00300070"/>
    <w:rsid w:val="0030008D"/>
    <w:rsid w:val="0030017A"/>
    <w:rsid w:val="0030017F"/>
    <w:rsid w:val="00300265"/>
    <w:rsid w:val="003002C8"/>
    <w:rsid w:val="00300339"/>
    <w:rsid w:val="003003AE"/>
    <w:rsid w:val="0030043C"/>
    <w:rsid w:val="00300459"/>
    <w:rsid w:val="0030048E"/>
    <w:rsid w:val="003005EF"/>
    <w:rsid w:val="00300615"/>
    <w:rsid w:val="003006E4"/>
    <w:rsid w:val="003006F1"/>
    <w:rsid w:val="00300717"/>
    <w:rsid w:val="0030072C"/>
    <w:rsid w:val="00300749"/>
    <w:rsid w:val="003008CF"/>
    <w:rsid w:val="003008D7"/>
    <w:rsid w:val="003008F5"/>
    <w:rsid w:val="0030093B"/>
    <w:rsid w:val="00300949"/>
    <w:rsid w:val="00300A80"/>
    <w:rsid w:val="00300AD1"/>
    <w:rsid w:val="00300B16"/>
    <w:rsid w:val="00300B1F"/>
    <w:rsid w:val="00300C17"/>
    <w:rsid w:val="00300C1C"/>
    <w:rsid w:val="00300CD1"/>
    <w:rsid w:val="00300D70"/>
    <w:rsid w:val="00300E8B"/>
    <w:rsid w:val="00300EB5"/>
    <w:rsid w:val="00300F0F"/>
    <w:rsid w:val="00300F27"/>
    <w:rsid w:val="00300F40"/>
    <w:rsid w:val="00300F4F"/>
    <w:rsid w:val="00300F58"/>
    <w:rsid w:val="00300F89"/>
    <w:rsid w:val="003011D5"/>
    <w:rsid w:val="003012DC"/>
    <w:rsid w:val="00301348"/>
    <w:rsid w:val="00301355"/>
    <w:rsid w:val="00301481"/>
    <w:rsid w:val="003014AB"/>
    <w:rsid w:val="00301556"/>
    <w:rsid w:val="003015E3"/>
    <w:rsid w:val="00301668"/>
    <w:rsid w:val="003016B1"/>
    <w:rsid w:val="003016BB"/>
    <w:rsid w:val="00301847"/>
    <w:rsid w:val="003018C3"/>
    <w:rsid w:val="00301B31"/>
    <w:rsid w:val="00301C51"/>
    <w:rsid w:val="00301CCA"/>
    <w:rsid w:val="00301CF6"/>
    <w:rsid w:val="00301D48"/>
    <w:rsid w:val="00301D4B"/>
    <w:rsid w:val="00301D68"/>
    <w:rsid w:val="00301DB9"/>
    <w:rsid w:val="00301DE2"/>
    <w:rsid w:val="00301E74"/>
    <w:rsid w:val="00301EE5"/>
    <w:rsid w:val="00301F0A"/>
    <w:rsid w:val="00301F40"/>
    <w:rsid w:val="00301FEF"/>
    <w:rsid w:val="003020A2"/>
    <w:rsid w:val="003020E2"/>
    <w:rsid w:val="0030229E"/>
    <w:rsid w:val="003022B9"/>
    <w:rsid w:val="00302346"/>
    <w:rsid w:val="00302369"/>
    <w:rsid w:val="003023F1"/>
    <w:rsid w:val="00302479"/>
    <w:rsid w:val="00302746"/>
    <w:rsid w:val="0030277A"/>
    <w:rsid w:val="0030277E"/>
    <w:rsid w:val="0030282C"/>
    <w:rsid w:val="0030289B"/>
    <w:rsid w:val="00302B20"/>
    <w:rsid w:val="00302B52"/>
    <w:rsid w:val="00302C0C"/>
    <w:rsid w:val="00302C62"/>
    <w:rsid w:val="00302D6C"/>
    <w:rsid w:val="00302DBC"/>
    <w:rsid w:val="00302DDB"/>
    <w:rsid w:val="00302E19"/>
    <w:rsid w:val="00302E3D"/>
    <w:rsid w:val="00302F70"/>
    <w:rsid w:val="0030309B"/>
    <w:rsid w:val="0030311A"/>
    <w:rsid w:val="003031A2"/>
    <w:rsid w:val="003031BC"/>
    <w:rsid w:val="003031DA"/>
    <w:rsid w:val="00303240"/>
    <w:rsid w:val="0030328B"/>
    <w:rsid w:val="003032CE"/>
    <w:rsid w:val="003033D4"/>
    <w:rsid w:val="00303411"/>
    <w:rsid w:val="003034D7"/>
    <w:rsid w:val="00303631"/>
    <w:rsid w:val="0030363C"/>
    <w:rsid w:val="00303657"/>
    <w:rsid w:val="00303705"/>
    <w:rsid w:val="0030372E"/>
    <w:rsid w:val="003037A9"/>
    <w:rsid w:val="003037AA"/>
    <w:rsid w:val="00303898"/>
    <w:rsid w:val="003038E7"/>
    <w:rsid w:val="003039A2"/>
    <w:rsid w:val="00303B7D"/>
    <w:rsid w:val="00303B87"/>
    <w:rsid w:val="00303BDD"/>
    <w:rsid w:val="00303C1D"/>
    <w:rsid w:val="00303CFD"/>
    <w:rsid w:val="00303EB3"/>
    <w:rsid w:val="00303F6E"/>
    <w:rsid w:val="00303FF4"/>
    <w:rsid w:val="003040A5"/>
    <w:rsid w:val="00304183"/>
    <w:rsid w:val="0030421C"/>
    <w:rsid w:val="003043A4"/>
    <w:rsid w:val="003044AD"/>
    <w:rsid w:val="003044CA"/>
    <w:rsid w:val="003044D1"/>
    <w:rsid w:val="00304565"/>
    <w:rsid w:val="003045CB"/>
    <w:rsid w:val="003046A2"/>
    <w:rsid w:val="003047DA"/>
    <w:rsid w:val="003048D6"/>
    <w:rsid w:val="003049C6"/>
    <w:rsid w:val="00304A0A"/>
    <w:rsid w:val="00304A3E"/>
    <w:rsid w:val="00304B03"/>
    <w:rsid w:val="00304B48"/>
    <w:rsid w:val="00304BA4"/>
    <w:rsid w:val="00304BB0"/>
    <w:rsid w:val="00304C3C"/>
    <w:rsid w:val="00304C6F"/>
    <w:rsid w:val="00304C90"/>
    <w:rsid w:val="00304D8A"/>
    <w:rsid w:val="00304D8F"/>
    <w:rsid w:val="00304F52"/>
    <w:rsid w:val="0030500B"/>
    <w:rsid w:val="00305181"/>
    <w:rsid w:val="0030520C"/>
    <w:rsid w:val="003052D0"/>
    <w:rsid w:val="003055F8"/>
    <w:rsid w:val="003056CB"/>
    <w:rsid w:val="0030572E"/>
    <w:rsid w:val="00305776"/>
    <w:rsid w:val="00305940"/>
    <w:rsid w:val="003059FF"/>
    <w:rsid w:val="00305BC9"/>
    <w:rsid w:val="00305CA0"/>
    <w:rsid w:val="00305D95"/>
    <w:rsid w:val="00305E7F"/>
    <w:rsid w:val="00305EB9"/>
    <w:rsid w:val="0030618C"/>
    <w:rsid w:val="003061E4"/>
    <w:rsid w:val="003061FA"/>
    <w:rsid w:val="00306217"/>
    <w:rsid w:val="003062A3"/>
    <w:rsid w:val="003064F0"/>
    <w:rsid w:val="0030655A"/>
    <w:rsid w:val="0030658F"/>
    <w:rsid w:val="003065D2"/>
    <w:rsid w:val="003067C5"/>
    <w:rsid w:val="0030687B"/>
    <w:rsid w:val="00306881"/>
    <w:rsid w:val="00306906"/>
    <w:rsid w:val="00306A2A"/>
    <w:rsid w:val="00306A84"/>
    <w:rsid w:val="00306C69"/>
    <w:rsid w:val="00306F37"/>
    <w:rsid w:val="00306FED"/>
    <w:rsid w:val="003070EB"/>
    <w:rsid w:val="003070F9"/>
    <w:rsid w:val="003071F6"/>
    <w:rsid w:val="00307360"/>
    <w:rsid w:val="00307386"/>
    <w:rsid w:val="00307531"/>
    <w:rsid w:val="0030753C"/>
    <w:rsid w:val="0030758A"/>
    <w:rsid w:val="003075FF"/>
    <w:rsid w:val="00307610"/>
    <w:rsid w:val="00307665"/>
    <w:rsid w:val="00307692"/>
    <w:rsid w:val="00307717"/>
    <w:rsid w:val="0030774C"/>
    <w:rsid w:val="00307864"/>
    <w:rsid w:val="00307920"/>
    <w:rsid w:val="0030798A"/>
    <w:rsid w:val="00307C87"/>
    <w:rsid w:val="00307CBA"/>
    <w:rsid w:val="00307D3C"/>
    <w:rsid w:val="00307D88"/>
    <w:rsid w:val="00307DA3"/>
    <w:rsid w:val="00307FE2"/>
    <w:rsid w:val="003100CB"/>
    <w:rsid w:val="003100E8"/>
    <w:rsid w:val="003100FB"/>
    <w:rsid w:val="003101ED"/>
    <w:rsid w:val="0031028A"/>
    <w:rsid w:val="0031049C"/>
    <w:rsid w:val="003104F5"/>
    <w:rsid w:val="0031058F"/>
    <w:rsid w:val="003105A0"/>
    <w:rsid w:val="003106A1"/>
    <w:rsid w:val="003106FB"/>
    <w:rsid w:val="00310801"/>
    <w:rsid w:val="00310808"/>
    <w:rsid w:val="00310889"/>
    <w:rsid w:val="00310932"/>
    <w:rsid w:val="003109B1"/>
    <w:rsid w:val="003109CB"/>
    <w:rsid w:val="00310A4C"/>
    <w:rsid w:val="00310C36"/>
    <w:rsid w:val="00310E63"/>
    <w:rsid w:val="00310EDA"/>
    <w:rsid w:val="00310F1D"/>
    <w:rsid w:val="00310F58"/>
    <w:rsid w:val="00311098"/>
    <w:rsid w:val="003110F7"/>
    <w:rsid w:val="003111A2"/>
    <w:rsid w:val="003111F1"/>
    <w:rsid w:val="0031122B"/>
    <w:rsid w:val="00311253"/>
    <w:rsid w:val="0031132D"/>
    <w:rsid w:val="0031154E"/>
    <w:rsid w:val="00311588"/>
    <w:rsid w:val="003115EC"/>
    <w:rsid w:val="00311616"/>
    <w:rsid w:val="003117E8"/>
    <w:rsid w:val="003118FD"/>
    <w:rsid w:val="00311908"/>
    <w:rsid w:val="0031194E"/>
    <w:rsid w:val="00311A16"/>
    <w:rsid w:val="00311A54"/>
    <w:rsid w:val="00311A65"/>
    <w:rsid w:val="00311A6A"/>
    <w:rsid w:val="00311AAD"/>
    <w:rsid w:val="00311B45"/>
    <w:rsid w:val="00311B70"/>
    <w:rsid w:val="00311C25"/>
    <w:rsid w:val="00311CCC"/>
    <w:rsid w:val="00311CED"/>
    <w:rsid w:val="00311D28"/>
    <w:rsid w:val="00311DBA"/>
    <w:rsid w:val="00311DF2"/>
    <w:rsid w:val="00311DF9"/>
    <w:rsid w:val="00311FE0"/>
    <w:rsid w:val="003120A0"/>
    <w:rsid w:val="0031226B"/>
    <w:rsid w:val="0031229B"/>
    <w:rsid w:val="003122C8"/>
    <w:rsid w:val="0031245B"/>
    <w:rsid w:val="003125FC"/>
    <w:rsid w:val="00312651"/>
    <w:rsid w:val="0031275A"/>
    <w:rsid w:val="003127A0"/>
    <w:rsid w:val="003127EF"/>
    <w:rsid w:val="00312878"/>
    <w:rsid w:val="003128D2"/>
    <w:rsid w:val="003128E0"/>
    <w:rsid w:val="0031296A"/>
    <w:rsid w:val="00312981"/>
    <w:rsid w:val="00312A16"/>
    <w:rsid w:val="00312A62"/>
    <w:rsid w:val="00312B94"/>
    <w:rsid w:val="00312BAE"/>
    <w:rsid w:val="00312BE6"/>
    <w:rsid w:val="00312C3A"/>
    <w:rsid w:val="00312C76"/>
    <w:rsid w:val="00312D9F"/>
    <w:rsid w:val="00312E48"/>
    <w:rsid w:val="00312E52"/>
    <w:rsid w:val="00312EB9"/>
    <w:rsid w:val="00312F4C"/>
    <w:rsid w:val="00312F68"/>
    <w:rsid w:val="00312F7D"/>
    <w:rsid w:val="00312FF5"/>
    <w:rsid w:val="003130CF"/>
    <w:rsid w:val="00313195"/>
    <w:rsid w:val="00313198"/>
    <w:rsid w:val="003131DF"/>
    <w:rsid w:val="00313262"/>
    <w:rsid w:val="003132DB"/>
    <w:rsid w:val="00313353"/>
    <w:rsid w:val="003134E7"/>
    <w:rsid w:val="00313531"/>
    <w:rsid w:val="00313634"/>
    <w:rsid w:val="0031365A"/>
    <w:rsid w:val="003136E0"/>
    <w:rsid w:val="00313758"/>
    <w:rsid w:val="0031379A"/>
    <w:rsid w:val="003139EC"/>
    <w:rsid w:val="00313A15"/>
    <w:rsid w:val="00313A2A"/>
    <w:rsid w:val="00313A58"/>
    <w:rsid w:val="00313B0A"/>
    <w:rsid w:val="00313BC9"/>
    <w:rsid w:val="00313BD6"/>
    <w:rsid w:val="00313E2C"/>
    <w:rsid w:val="00313E86"/>
    <w:rsid w:val="00313F64"/>
    <w:rsid w:val="00313F85"/>
    <w:rsid w:val="00314133"/>
    <w:rsid w:val="003141A4"/>
    <w:rsid w:val="00314285"/>
    <w:rsid w:val="003142CF"/>
    <w:rsid w:val="003142F4"/>
    <w:rsid w:val="00314319"/>
    <w:rsid w:val="00314555"/>
    <w:rsid w:val="003146AC"/>
    <w:rsid w:val="0031477A"/>
    <w:rsid w:val="00314797"/>
    <w:rsid w:val="003147E5"/>
    <w:rsid w:val="00314933"/>
    <w:rsid w:val="0031495D"/>
    <w:rsid w:val="003149B7"/>
    <w:rsid w:val="00314A68"/>
    <w:rsid w:val="00314C94"/>
    <w:rsid w:val="00314CC4"/>
    <w:rsid w:val="00314D57"/>
    <w:rsid w:val="00314D9A"/>
    <w:rsid w:val="00314ED6"/>
    <w:rsid w:val="0031501F"/>
    <w:rsid w:val="0031509E"/>
    <w:rsid w:val="003150A8"/>
    <w:rsid w:val="00315199"/>
    <w:rsid w:val="003151A1"/>
    <w:rsid w:val="003151FE"/>
    <w:rsid w:val="00315271"/>
    <w:rsid w:val="0031548C"/>
    <w:rsid w:val="0031549B"/>
    <w:rsid w:val="003154CA"/>
    <w:rsid w:val="003154CD"/>
    <w:rsid w:val="00315538"/>
    <w:rsid w:val="00315616"/>
    <w:rsid w:val="00315688"/>
    <w:rsid w:val="00315695"/>
    <w:rsid w:val="0031579D"/>
    <w:rsid w:val="003157AF"/>
    <w:rsid w:val="003157BA"/>
    <w:rsid w:val="00315848"/>
    <w:rsid w:val="003158C5"/>
    <w:rsid w:val="00315981"/>
    <w:rsid w:val="003159A3"/>
    <w:rsid w:val="003159E6"/>
    <w:rsid w:val="00315AA7"/>
    <w:rsid w:val="00315D76"/>
    <w:rsid w:val="00315FEF"/>
    <w:rsid w:val="00316123"/>
    <w:rsid w:val="00316248"/>
    <w:rsid w:val="003162DC"/>
    <w:rsid w:val="0031630D"/>
    <w:rsid w:val="00316338"/>
    <w:rsid w:val="0031635E"/>
    <w:rsid w:val="00316363"/>
    <w:rsid w:val="0031643B"/>
    <w:rsid w:val="003164C3"/>
    <w:rsid w:val="003164F4"/>
    <w:rsid w:val="0031651F"/>
    <w:rsid w:val="0031671A"/>
    <w:rsid w:val="003167C3"/>
    <w:rsid w:val="00316915"/>
    <w:rsid w:val="003169A2"/>
    <w:rsid w:val="003169E4"/>
    <w:rsid w:val="00316B56"/>
    <w:rsid w:val="00316C51"/>
    <w:rsid w:val="00316DA1"/>
    <w:rsid w:val="00316DB2"/>
    <w:rsid w:val="00316E2C"/>
    <w:rsid w:val="00316EA5"/>
    <w:rsid w:val="00316F8D"/>
    <w:rsid w:val="00316FA7"/>
    <w:rsid w:val="0031706C"/>
    <w:rsid w:val="00317116"/>
    <w:rsid w:val="003172EF"/>
    <w:rsid w:val="0031731A"/>
    <w:rsid w:val="00317338"/>
    <w:rsid w:val="003173B6"/>
    <w:rsid w:val="0031741B"/>
    <w:rsid w:val="003174F3"/>
    <w:rsid w:val="003174F4"/>
    <w:rsid w:val="00317655"/>
    <w:rsid w:val="003177D5"/>
    <w:rsid w:val="003177FC"/>
    <w:rsid w:val="003179AF"/>
    <w:rsid w:val="003179D0"/>
    <w:rsid w:val="00317BAC"/>
    <w:rsid w:val="00317D01"/>
    <w:rsid w:val="00317D12"/>
    <w:rsid w:val="00317DD1"/>
    <w:rsid w:val="00317DDF"/>
    <w:rsid w:val="00317DF4"/>
    <w:rsid w:val="00317EDE"/>
    <w:rsid w:val="00317EFC"/>
    <w:rsid w:val="00317FF6"/>
    <w:rsid w:val="00320235"/>
    <w:rsid w:val="003202CF"/>
    <w:rsid w:val="00320367"/>
    <w:rsid w:val="0032048D"/>
    <w:rsid w:val="003205A0"/>
    <w:rsid w:val="0032063F"/>
    <w:rsid w:val="0032069A"/>
    <w:rsid w:val="0032072B"/>
    <w:rsid w:val="0032080A"/>
    <w:rsid w:val="00320A06"/>
    <w:rsid w:val="00320A1D"/>
    <w:rsid w:val="00320B71"/>
    <w:rsid w:val="00320BB4"/>
    <w:rsid w:val="00320BC3"/>
    <w:rsid w:val="00320C7B"/>
    <w:rsid w:val="00320F22"/>
    <w:rsid w:val="00320F31"/>
    <w:rsid w:val="00320FCA"/>
    <w:rsid w:val="00321020"/>
    <w:rsid w:val="003210A8"/>
    <w:rsid w:val="003211D3"/>
    <w:rsid w:val="00321280"/>
    <w:rsid w:val="00321316"/>
    <w:rsid w:val="003213D9"/>
    <w:rsid w:val="0032141D"/>
    <w:rsid w:val="00321431"/>
    <w:rsid w:val="00321483"/>
    <w:rsid w:val="0032153E"/>
    <w:rsid w:val="003215FB"/>
    <w:rsid w:val="00321618"/>
    <w:rsid w:val="003216FE"/>
    <w:rsid w:val="00321737"/>
    <w:rsid w:val="00321839"/>
    <w:rsid w:val="003218EC"/>
    <w:rsid w:val="003219A6"/>
    <w:rsid w:val="00321BB8"/>
    <w:rsid w:val="00321D97"/>
    <w:rsid w:val="00321E95"/>
    <w:rsid w:val="00321F91"/>
    <w:rsid w:val="00321FAD"/>
    <w:rsid w:val="0032206F"/>
    <w:rsid w:val="00322226"/>
    <w:rsid w:val="00322461"/>
    <w:rsid w:val="0032257A"/>
    <w:rsid w:val="0032270E"/>
    <w:rsid w:val="003228D1"/>
    <w:rsid w:val="00322950"/>
    <w:rsid w:val="00322995"/>
    <w:rsid w:val="003229B7"/>
    <w:rsid w:val="00322A17"/>
    <w:rsid w:val="00322A35"/>
    <w:rsid w:val="00322BB8"/>
    <w:rsid w:val="00322CBD"/>
    <w:rsid w:val="00322CCB"/>
    <w:rsid w:val="00322EE9"/>
    <w:rsid w:val="00322F05"/>
    <w:rsid w:val="00322F21"/>
    <w:rsid w:val="00322F9A"/>
    <w:rsid w:val="00322FC3"/>
    <w:rsid w:val="00322FEE"/>
    <w:rsid w:val="00322FF6"/>
    <w:rsid w:val="0032309F"/>
    <w:rsid w:val="003230DA"/>
    <w:rsid w:val="00323156"/>
    <w:rsid w:val="0032319B"/>
    <w:rsid w:val="00323247"/>
    <w:rsid w:val="00323319"/>
    <w:rsid w:val="0032340D"/>
    <w:rsid w:val="003234D2"/>
    <w:rsid w:val="00323522"/>
    <w:rsid w:val="0032366B"/>
    <w:rsid w:val="00323698"/>
    <w:rsid w:val="00323708"/>
    <w:rsid w:val="0032377A"/>
    <w:rsid w:val="00323797"/>
    <w:rsid w:val="003237E6"/>
    <w:rsid w:val="00323803"/>
    <w:rsid w:val="00323847"/>
    <w:rsid w:val="00323885"/>
    <w:rsid w:val="0032398C"/>
    <w:rsid w:val="00323A00"/>
    <w:rsid w:val="00323AA4"/>
    <w:rsid w:val="00323AED"/>
    <w:rsid w:val="00323B00"/>
    <w:rsid w:val="00323C6D"/>
    <w:rsid w:val="00323D55"/>
    <w:rsid w:val="00324027"/>
    <w:rsid w:val="003241BC"/>
    <w:rsid w:val="003241F3"/>
    <w:rsid w:val="00324210"/>
    <w:rsid w:val="00324246"/>
    <w:rsid w:val="00324311"/>
    <w:rsid w:val="003243A3"/>
    <w:rsid w:val="003243BE"/>
    <w:rsid w:val="00324532"/>
    <w:rsid w:val="0032465C"/>
    <w:rsid w:val="0032475F"/>
    <w:rsid w:val="00324879"/>
    <w:rsid w:val="0032495A"/>
    <w:rsid w:val="003249B9"/>
    <w:rsid w:val="00324A9A"/>
    <w:rsid w:val="00324ABF"/>
    <w:rsid w:val="00324AD5"/>
    <w:rsid w:val="00324BEE"/>
    <w:rsid w:val="00324C87"/>
    <w:rsid w:val="00324C94"/>
    <w:rsid w:val="00324CE8"/>
    <w:rsid w:val="00324CF1"/>
    <w:rsid w:val="00324DE7"/>
    <w:rsid w:val="00324F79"/>
    <w:rsid w:val="00325022"/>
    <w:rsid w:val="0032507E"/>
    <w:rsid w:val="0032533B"/>
    <w:rsid w:val="00325515"/>
    <w:rsid w:val="003255AA"/>
    <w:rsid w:val="003255F4"/>
    <w:rsid w:val="003256CA"/>
    <w:rsid w:val="00325740"/>
    <w:rsid w:val="0032584A"/>
    <w:rsid w:val="003258CF"/>
    <w:rsid w:val="00325909"/>
    <w:rsid w:val="003259B9"/>
    <w:rsid w:val="00325A31"/>
    <w:rsid w:val="00325A44"/>
    <w:rsid w:val="00325C2F"/>
    <w:rsid w:val="00326075"/>
    <w:rsid w:val="003260CE"/>
    <w:rsid w:val="00326196"/>
    <w:rsid w:val="00326227"/>
    <w:rsid w:val="0032625C"/>
    <w:rsid w:val="003262D6"/>
    <w:rsid w:val="003262EA"/>
    <w:rsid w:val="003263A3"/>
    <w:rsid w:val="003263C3"/>
    <w:rsid w:val="003263ED"/>
    <w:rsid w:val="00326464"/>
    <w:rsid w:val="00326568"/>
    <w:rsid w:val="003265C4"/>
    <w:rsid w:val="00326761"/>
    <w:rsid w:val="003267C5"/>
    <w:rsid w:val="003267DC"/>
    <w:rsid w:val="00326821"/>
    <w:rsid w:val="003268C6"/>
    <w:rsid w:val="0032695B"/>
    <w:rsid w:val="00326A43"/>
    <w:rsid w:val="00326B92"/>
    <w:rsid w:val="00326BAF"/>
    <w:rsid w:val="00326C16"/>
    <w:rsid w:val="00326C90"/>
    <w:rsid w:val="00326CE6"/>
    <w:rsid w:val="00326DDF"/>
    <w:rsid w:val="00326E0B"/>
    <w:rsid w:val="00326E44"/>
    <w:rsid w:val="00326E62"/>
    <w:rsid w:val="00326F24"/>
    <w:rsid w:val="00326FDB"/>
    <w:rsid w:val="00326FEA"/>
    <w:rsid w:val="00326FF5"/>
    <w:rsid w:val="0032704F"/>
    <w:rsid w:val="00327064"/>
    <w:rsid w:val="00327070"/>
    <w:rsid w:val="0032716A"/>
    <w:rsid w:val="003271C3"/>
    <w:rsid w:val="003271F0"/>
    <w:rsid w:val="0032733C"/>
    <w:rsid w:val="00327401"/>
    <w:rsid w:val="0032762E"/>
    <w:rsid w:val="00327644"/>
    <w:rsid w:val="003276A7"/>
    <w:rsid w:val="00327785"/>
    <w:rsid w:val="0032779B"/>
    <w:rsid w:val="00327869"/>
    <w:rsid w:val="003279DB"/>
    <w:rsid w:val="00327A94"/>
    <w:rsid w:val="00327E5C"/>
    <w:rsid w:val="00327F24"/>
    <w:rsid w:val="00327F5B"/>
    <w:rsid w:val="0033007E"/>
    <w:rsid w:val="00330270"/>
    <w:rsid w:val="00330298"/>
    <w:rsid w:val="0033039C"/>
    <w:rsid w:val="00330511"/>
    <w:rsid w:val="0033055F"/>
    <w:rsid w:val="003305E6"/>
    <w:rsid w:val="00330602"/>
    <w:rsid w:val="00330690"/>
    <w:rsid w:val="00330691"/>
    <w:rsid w:val="003306E8"/>
    <w:rsid w:val="00330846"/>
    <w:rsid w:val="00330962"/>
    <w:rsid w:val="00330998"/>
    <w:rsid w:val="00330A11"/>
    <w:rsid w:val="00330A6C"/>
    <w:rsid w:val="00330B3D"/>
    <w:rsid w:val="00330CC9"/>
    <w:rsid w:val="00330D3C"/>
    <w:rsid w:val="00330D45"/>
    <w:rsid w:val="00330F0D"/>
    <w:rsid w:val="00330F7E"/>
    <w:rsid w:val="00331199"/>
    <w:rsid w:val="003311B3"/>
    <w:rsid w:val="00331227"/>
    <w:rsid w:val="00331252"/>
    <w:rsid w:val="00331318"/>
    <w:rsid w:val="0033139A"/>
    <w:rsid w:val="003313CE"/>
    <w:rsid w:val="003316EF"/>
    <w:rsid w:val="003317C7"/>
    <w:rsid w:val="0033183D"/>
    <w:rsid w:val="003319B1"/>
    <w:rsid w:val="00331A2D"/>
    <w:rsid w:val="00331BC8"/>
    <w:rsid w:val="00331EDD"/>
    <w:rsid w:val="00331F54"/>
    <w:rsid w:val="00331FB0"/>
    <w:rsid w:val="00332014"/>
    <w:rsid w:val="00332144"/>
    <w:rsid w:val="003321E7"/>
    <w:rsid w:val="0033222A"/>
    <w:rsid w:val="003322AA"/>
    <w:rsid w:val="003322F8"/>
    <w:rsid w:val="00332359"/>
    <w:rsid w:val="0033237F"/>
    <w:rsid w:val="00332473"/>
    <w:rsid w:val="003324FB"/>
    <w:rsid w:val="00332549"/>
    <w:rsid w:val="003325C6"/>
    <w:rsid w:val="003325D2"/>
    <w:rsid w:val="0033262B"/>
    <w:rsid w:val="0033269C"/>
    <w:rsid w:val="00332815"/>
    <w:rsid w:val="0033286B"/>
    <w:rsid w:val="0033287B"/>
    <w:rsid w:val="0033290B"/>
    <w:rsid w:val="0033299F"/>
    <w:rsid w:val="00332A2B"/>
    <w:rsid w:val="00332ADD"/>
    <w:rsid w:val="00332B9A"/>
    <w:rsid w:val="00332C5F"/>
    <w:rsid w:val="00332CF2"/>
    <w:rsid w:val="00332D69"/>
    <w:rsid w:val="00332DA8"/>
    <w:rsid w:val="00332DD6"/>
    <w:rsid w:val="00332DF9"/>
    <w:rsid w:val="00332E3B"/>
    <w:rsid w:val="0033310E"/>
    <w:rsid w:val="0033312A"/>
    <w:rsid w:val="00333207"/>
    <w:rsid w:val="003332F5"/>
    <w:rsid w:val="003333C8"/>
    <w:rsid w:val="003334BF"/>
    <w:rsid w:val="003334F8"/>
    <w:rsid w:val="00333503"/>
    <w:rsid w:val="00333589"/>
    <w:rsid w:val="00333866"/>
    <w:rsid w:val="00333926"/>
    <w:rsid w:val="003339EB"/>
    <w:rsid w:val="00333AE6"/>
    <w:rsid w:val="00333B6A"/>
    <w:rsid w:val="00333BBB"/>
    <w:rsid w:val="00333C28"/>
    <w:rsid w:val="00333C36"/>
    <w:rsid w:val="00333CA9"/>
    <w:rsid w:val="00333D6A"/>
    <w:rsid w:val="00333D89"/>
    <w:rsid w:val="00333D94"/>
    <w:rsid w:val="00333E11"/>
    <w:rsid w:val="0033405A"/>
    <w:rsid w:val="003340BA"/>
    <w:rsid w:val="00334179"/>
    <w:rsid w:val="003341F2"/>
    <w:rsid w:val="0033432D"/>
    <w:rsid w:val="00334377"/>
    <w:rsid w:val="00334392"/>
    <w:rsid w:val="003343F4"/>
    <w:rsid w:val="0033452A"/>
    <w:rsid w:val="003345CA"/>
    <w:rsid w:val="003346D1"/>
    <w:rsid w:val="003346EB"/>
    <w:rsid w:val="0033480F"/>
    <w:rsid w:val="0033482F"/>
    <w:rsid w:val="0033483A"/>
    <w:rsid w:val="00334885"/>
    <w:rsid w:val="003348B1"/>
    <w:rsid w:val="003348FB"/>
    <w:rsid w:val="00334B29"/>
    <w:rsid w:val="00334C50"/>
    <w:rsid w:val="00334D2F"/>
    <w:rsid w:val="00334DB7"/>
    <w:rsid w:val="00334E47"/>
    <w:rsid w:val="00334ED0"/>
    <w:rsid w:val="00334EFE"/>
    <w:rsid w:val="00334F28"/>
    <w:rsid w:val="00334FDF"/>
    <w:rsid w:val="00335024"/>
    <w:rsid w:val="003350C6"/>
    <w:rsid w:val="00335124"/>
    <w:rsid w:val="00335254"/>
    <w:rsid w:val="003352E7"/>
    <w:rsid w:val="00335357"/>
    <w:rsid w:val="003353D1"/>
    <w:rsid w:val="003353E1"/>
    <w:rsid w:val="003354BE"/>
    <w:rsid w:val="00335860"/>
    <w:rsid w:val="00335933"/>
    <w:rsid w:val="003359D4"/>
    <w:rsid w:val="00335A1C"/>
    <w:rsid w:val="00335A8A"/>
    <w:rsid w:val="00335B61"/>
    <w:rsid w:val="00335BC8"/>
    <w:rsid w:val="00335C07"/>
    <w:rsid w:val="00335C95"/>
    <w:rsid w:val="00335CA6"/>
    <w:rsid w:val="00335CAD"/>
    <w:rsid w:val="00335D0F"/>
    <w:rsid w:val="00335D8F"/>
    <w:rsid w:val="00335DE8"/>
    <w:rsid w:val="00335E00"/>
    <w:rsid w:val="00335EA0"/>
    <w:rsid w:val="00335F12"/>
    <w:rsid w:val="00335F2D"/>
    <w:rsid w:val="00335F42"/>
    <w:rsid w:val="00335FBF"/>
    <w:rsid w:val="00335FDE"/>
    <w:rsid w:val="00336038"/>
    <w:rsid w:val="00336121"/>
    <w:rsid w:val="00336177"/>
    <w:rsid w:val="00336342"/>
    <w:rsid w:val="0033636C"/>
    <w:rsid w:val="003364C6"/>
    <w:rsid w:val="0033651D"/>
    <w:rsid w:val="00336587"/>
    <w:rsid w:val="003365B2"/>
    <w:rsid w:val="00336605"/>
    <w:rsid w:val="0033660B"/>
    <w:rsid w:val="00336869"/>
    <w:rsid w:val="00336874"/>
    <w:rsid w:val="00336A0C"/>
    <w:rsid w:val="00336A1D"/>
    <w:rsid w:val="00336A2A"/>
    <w:rsid w:val="00336C17"/>
    <w:rsid w:val="00336C76"/>
    <w:rsid w:val="00336C87"/>
    <w:rsid w:val="00336DFE"/>
    <w:rsid w:val="00336E4F"/>
    <w:rsid w:val="00336E6F"/>
    <w:rsid w:val="00336E7C"/>
    <w:rsid w:val="0033708E"/>
    <w:rsid w:val="003370E4"/>
    <w:rsid w:val="00337152"/>
    <w:rsid w:val="0033722A"/>
    <w:rsid w:val="00337267"/>
    <w:rsid w:val="003374E1"/>
    <w:rsid w:val="00337543"/>
    <w:rsid w:val="00337595"/>
    <w:rsid w:val="0033763A"/>
    <w:rsid w:val="003376CF"/>
    <w:rsid w:val="0033775D"/>
    <w:rsid w:val="0033780C"/>
    <w:rsid w:val="00337872"/>
    <w:rsid w:val="00337888"/>
    <w:rsid w:val="00337A99"/>
    <w:rsid w:val="00337AAA"/>
    <w:rsid w:val="00337ADC"/>
    <w:rsid w:val="00337B68"/>
    <w:rsid w:val="00337B6E"/>
    <w:rsid w:val="00337DD3"/>
    <w:rsid w:val="00337E26"/>
    <w:rsid w:val="00337EC2"/>
    <w:rsid w:val="00337FC9"/>
    <w:rsid w:val="00340098"/>
    <w:rsid w:val="003400C2"/>
    <w:rsid w:val="003401B8"/>
    <w:rsid w:val="00340213"/>
    <w:rsid w:val="00340236"/>
    <w:rsid w:val="00340257"/>
    <w:rsid w:val="00340265"/>
    <w:rsid w:val="0034027A"/>
    <w:rsid w:val="003402D2"/>
    <w:rsid w:val="003402ED"/>
    <w:rsid w:val="00340374"/>
    <w:rsid w:val="00340423"/>
    <w:rsid w:val="003407AE"/>
    <w:rsid w:val="00340828"/>
    <w:rsid w:val="0034086D"/>
    <w:rsid w:val="00340A28"/>
    <w:rsid w:val="00340AAB"/>
    <w:rsid w:val="00340DCC"/>
    <w:rsid w:val="00340E52"/>
    <w:rsid w:val="00340F2F"/>
    <w:rsid w:val="003410CE"/>
    <w:rsid w:val="0034111D"/>
    <w:rsid w:val="0034114F"/>
    <w:rsid w:val="00341189"/>
    <w:rsid w:val="003412E4"/>
    <w:rsid w:val="00341456"/>
    <w:rsid w:val="00341521"/>
    <w:rsid w:val="003416F0"/>
    <w:rsid w:val="0034171A"/>
    <w:rsid w:val="0034172F"/>
    <w:rsid w:val="0034178E"/>
    <w:rsid w:val="00341845"/>
    <w:rsid w:val="003418BD"/>
    <w:rsid w:val="0034190B"/>
    <w:rsid w:val="00341975"/>
    <w:rsid w:val="00341A11"/>
    <w:rsid w:val="00341B09"/>
    <w:rsid w:val="00341B0D"/>
    <w:rsid w:val="00341C45"/>
    <w:rsid w:val="00341DF3"/>
    <w:rsid w:val="00341E09"/>
    <w:rsid w:val="00341E1A"/>
    <w:rsid w:val="00341E57"/>
    <w:rsid w:val="00341F20"/>
    <w:rsid w:val="00341FA6"/>
    <w:rsid w:val="00341FAA"/>
    <w:rsid w:val="00341FF5"/>
    <w:rsid w:val="0034218B"/>
    <w:rsid w:val="003421A5"/>
    <w:rsid w:val="003421C0"/>
    <w:rsid w:val="00342226"/>
    <w:rsid w:val="00342357"/>
    <w:rsid w:val="003423E6"/>
    <w:rsid w:val="00342536"/>
    <w:rsid w:val="00342621"/>
    <w:rsid w:val="003426DD"/>
    <w:rsid w:val="003428D4"/>
    <w:rsid w:val="00342AF6"/>
    <w:rsid w:val="00342AFA"/>
    <w:rsid w:val="00342B11"/>
    <w:rsid w:val="00342B1F"/>
    <w:rsid w:val="00342BAB"/>
    <w:rsid w:val="00342CC7"/>
    <w:rsid w:val="00342CE3"/>
    <w:rsid w:val="00342DD1"/>
    <w:rsid w:val="00342EA0"/>
    <w:rsid w:val="00342EC0"/>
    <w:rsid w:val="0034300B"/>
    <w:rsid w:val="00343048"/>
    <w:rsid w:val="00343067"/>
    <w:rsid w:val="00343089"/>
    <w:rsid w:val="0034310C"/>
    <w:rsid w:val="003431E5"/>
    <w:rsid w:val="00343207"/>
    <w:rsid w:val="00343471"/>
    <w:rsid w:val="0034373D"/>
    <w:rsid w:val="00343772"/>
    <w:rsid w:val="003437BA"/>
    <w:rsid w:val="003437BD"/>
    <w:rsid w:val="003438B7"/>
    <w:rsid w:val="003438C3"/>
    <w:rsid w:val="0034390D"/>
    <w:rsid w:val="003439D3"/>
    <w:rsid w:val="00343A3B"/>
    <w:rsid w:val="00343B24"/>
    <w:rsid w:val="00343D15"/>
    <w:rsid w:val="00343D38"/>
    <w:rsid w:val="00343D67"/>
    <w:rsid w:val="00343DB7"/>
    <w:rsid w:val="00343E03"/>
    <w:rsid w:val="0034404D"/>
    <w:rsid w:val="00344059"/>
    <w:rsid w:val="00344078"/>
    <w:rsid w:val="0034413F"/>
    <w:rsid w:val="003442DA"/>
    <w:rsid w:val="00344351"/>
    <w:rsid w:val="00344574"/>
    <w:rsid w:val="003445B2"/>
    <w:rsid w:val="003445BC"/>
    <w:rsid w:val="00344619"/>
    <w:rsid w:val="0034462D"/>
    <w:rsid w:val="003446F5"/>
    <w:rsid w:val="003446FC"/>
    <w:rsid w:val="003448EB"/>
    <w:rsid w:val="003449CA"/>
    <w:rsid w:val="00344AC3"/>
    <w:rsid w:val="00344AC4"/>
    <w:rsid w:val="00344B37"/>
    <w:rsid w:val="00344D46"/>
    <w:rsid w:val="00344DAE"/>
    <w:rsid w:val="00344E95"/>
    <w:rsid w:val="00344EB3"/>
    <w:rsid w:val="00344F93"/>
    <w:rsid w:val="00344FEC"/>
    <w:rsid w:val="0034501C"/>
    <w:rsid w:val="003450FB"/>
    <w:rsid w:val="00345169"/>
    <w:rsid w:val="00345186"/>
    <w:rsid w:val="0034525A"/>
    <w:rsid w:val="003453A6"/>
    <w:rsid w:val="003453B0"/>
    <w:rsid w:val="003453F7"/>
    <w:rsid w:val="00345545"/>
    <w:rsid w:val="00345583"/>
    <w:rsid w:val="003455A2"/>
    <w:rsid w:val="003455A5"/>
    <w:rsid w:val="00345643"/>
    <w:rsid w:val="003456B2"/>
    <w:rsid w:val="0034572B"/>
    <w:rsid w:val="0034572C"/>
    <w:rsid w:val="00345770"/>
    <w:rsid w:val="003457D6"/>
    <w:rsid w:val="0034580C"/>
    <w:rsid w:val="0034581B"/>
    <w:rsid w:val="0034583F"/>
    <w:rsid w:val="00345929"/>
    <w:rsid w:val="00345A25"/>
    <w:rsid w:val="00345AB1"/>
    <w:rsid w:val="00345C40"/>
    <w:rsid w:val="00345C46"/>
    <w:rsid w:val="00345C86"/>
    <w:rsid w:val="00345D06"/>
    <w:rsid w:val="00345D54"/>
    <w:rsid w:val="00345D99"/>
    <w:rsid w:val="00345EBF"/>
    <w:rsid w:val="00345EF3"/>
    <w:rsid w:val="00345F20"/>
    <w:rsid w:val="0034601B"/>
    <w:rsid w:val="00346024"/>
    <w:rsid w:val="00346045"/>
    <w:rsid w:val="00346109"/>
    <w:rsid w:val="00346145"/>
    <w:rsid w:val="003461D4"/>
    <w:rsid w:val="003461F2"/>
    <w:rsid w:val="00346271"/>
    <w:rsid w:val="003463F2"/>
    <w:rsid w:val="0034658B"/>
    <w:rsid w:val="0034675A"/>
    <w:rsid w:val="00346773"/>
    <w:rsid w:val="00346853"/>
    <w:rsid w:val="0034686C"/>
    <w:rsid w:val="00346928"/>
    <w:rsid w:val="00346993"/>
    <w:rsid w:val="003469BA"/>
    <w:rsid w:val="003469D5"/>
    <w:rsid w:val="00346A16"/>
    <w:rsid w:val="00346AA4"/>
    <w:rsid w:val="00346ABD"/>
    <w:rsid w:val="00346B54"/>
    <w:rsid w:val="00346B62"/>
    <w:rsid w:val="00346BD4"/>
    <w:rsid w:val="00346C05"/>
    <w:rsid w:val="00346EB6"/>
    <w:rsid w:val="00346FC6"/>
    <w:rsid w:val="00347046"/>
    <w:rsid w:val="00347048"/>
    <w:rsid w:val="003470E1"/>
    <w:rsid w:val="003470F2"/>
    <w:rsid w:val="0034710F"/>
    <w:rsid w:val="00347613"/>
    <w:rsid w:val="00347650"/>
    <w:rsid w:val="003476E2"/>
    <w:rsid w:val="0034772C"/>
    <w:rsid w:val="003478B1"/>
    <w:rsid w:val="003478CF"/>
    <w:rsid w:val="003479C7"/>
    <w:rsid w:val="00347A97"/>
    <w:rsid w:val="00347AFD"/>
    <w:rsid w:val="00347C86"/>
    <w:rsid w:val="00347EE6"/>
    <w:rsid w:val="00347F66"/>
    <w:rsid w:val="00347F68"/>
    <w:rsid w:val="00347F82"/>
    <w:rsid w:val="00347F95"/>
    <w:rsid w:val="0035000A"/>
    <w:rsid w:val="00350053"/>
    <w:rsid w:val="0035015F"/>
    <w:rsid w:val="00350195"/>
    <w:rsid w:val="00350275"/>
    <w:rsid w:val="003502DF"/>
    <w:rsid w:val="00350359"/>
    <w:rsid w:val="0035043D"/>
    <w:rsid w:val="0035046D"/>
    <w:rsid w:val="003504C5"/>
    <w:rsid w:val="0035078D"/>
    <w:rsid w:val="003509AB"/>
    <w:rsid w:val="00350A3D"/>
    <w:rsid w:val="00350BD0"/>
    <w:rsid w:val="00350C47"/>
    <w:rsid w:val="00350D9C"/>
    <w:rsid w:val="00350E76"/>
    <w:rsid w:val="00350E8B"/>
    <w:rsid w:val="00350E98"/>
    <w:rsid w:val="00350EE5"/>
    <w:rsid w:val="00350FC8"/>
    <w:rsid w:val="003510D0"/>
    <w:rsid w:val="00351144"/>
    <w:rsid w:val="003511F7"/>
    <w:rsid w:val="003511F8"/>
    <w:rsid w:val="00351255"/>
    <w:rsid w:val="003512EA"/>
    <w:rsid w:val="00351634"/>
    <w:rsid w:val="00351655"/>
    <w:rsid w:val="00351680"/>
    <w:rsid w:val="003516F1"/>
    <w:rsid w:val="00351708"/>
    <w:rsid w:val="0035172A"/>
    <w:rsid w:val="003517AA"/>
    <w:rsid w:val="00351991"/>
    <w:rsid w:val="003519AC"/>
    <w:rsid w:val="00351A5D"/>
    <w:rsid w:val="00351B85"/>
    <w:rsid w:val="00351C82"/>
    <w:rsid w:val="00351CF5"/>
    <w:rsid w:val="00351DF3"/>
    <w:rsid w:val="00351EE2"/>
    <w:rsid w:val="00351EF8"/>
    <w:rsid w:val="00351F98"/>
    <w:rsid w:val="003520AD"/>
    <w:rsid w:val="003520C9"/>
    <w:rsid w:val="00352288"/>
    <w:rsid w:val="003522D2"/>
    <w:rsid w:val="00352363"/>
    <w:rsid w:val="00352395"/>
    <w:rsid w:val="00352559"/>
    <w:rsid w:val="0035256E"/>
    <w:rsid w:val="003525E9"/>
    <w:rsid w:val="00352646"/>
    <w:rsid w:val="003526B5"/>
    <w:rsid w:val="00352768"/>
    <w:rsid w:val="00352813"/>
    <w:rsid w:val="0035283B"/>
    <w:rsid w:val="003528A5"/>
    <w:rsid w:val="003529DA"/>
    <w:rsid w:val="00352A0A"/>
    <w:rsid w:val="00352A22"/>
    <w:rsid w:val="00352A4F"/>
    <w:rsid w:val="00352C57"/>
    <w:rsid w:val="00352DCC"/>
    <w:rsid w:val="00352E15"/>
    <w:rsid w:val="00352EA5"/>
    <w:rsid w:val="00352F3F"/>
    <w:rsid w:val="00353033"/>
    <w:rsid w:val="003530E3"/>
    <w:rsid w:val="0035317E"/>
    <w:rsid w:val="0035318C"/>
    <w:rsid w:val="003531E2"/>
    <w:rsid w:val="003532A3"/>
    <w:rsid w:val="003532C1"/>
    <w:rsid w:val="00353406"/>
    <w:rsid w:val="0035346D"/>
    <w:rsid w:val="00353485"/>
    <w:rsid w:val="003535D2"/>
    <w:rsid w:val="00353720"/>
    <w:rsid w:val="00353740"/>
    <w:rsid w:val="00353754"/>
    <w:rsid w:val="00353871"/>
    <w:rsid w:val="003538FF"/>
    <w:rsid w:val="00353993"/>
    <w:rsid w:val="00353A4E"/>
    <w:rsid w:val="00353A87"/>
    <w:rsid w:val="00353AF1"/>
    <w:rsid w:val="00353C93"/>
    <w:rsid w:val="00353E7D"/>
    <w:rsid w:val="00353EC3"/>
    <w:rsid w:val="00354012"/>
    <w:rsid w:val="0035431E"/>
    <w:rsid w:val="00354454"/>
    <w:rsid w:val="0035453D"/>
    <w:rsid w:val="00354799"/>
    <w:rsid w:val="003547DA"/>
    <w:rsid w:val="003547E9"/>
    <w:rsid w:val="00354A4C"/>
    <w:rsid w:val="00354ADC"/>
    <w:rsid w:val="00354AE3"/>
    <w:rsid w:val="00354C07"/>
    <w:rsid w:val="00354CA1"/>
    <w:rsid w:val="00354CCD"/>
    <w:rsid w:val="00354DBC"/>
    <w:rsid w:val="00354E34"/>
    <w:rsid w:val="00354E8A"/>
    <w:rsid w:val="00354F22"/>
    <w:rsid w:val="00354F51"/>
    <w:rsid w:val="00354FBD"/>
    <w:rsid w:val="00354FDD"/>
    <w:rsid w:val="00354FEA"/>
    <w:rsid w:val="00355022"/>
    <w:rsid w:val="00355069"/>
    <w:rsid w:val="003550A4"/>
    <w:rsid w:val="00355160"/>
    <w:rsid w:val="003552CF"/>
    <w:rsid w:val="00355371"/>
    <w:rsid w:val="003553C8"/>
    <w:rsid w:val="003553F4"/>
    <w:rsid w:val="003555B1"/>
    <w:rsid w:val="0035572C"/>
    <w:rsid w:val="00355829"/>
    <w:rsid w:val="00355AAD"/>
    <w:rsid w:val="00355B62"/>
    <w:rsid w:val="00355C01"/>
    <w:rsid w:val="00355C67"/>
    <w:rsid w:val="00355C7D"/>
    <w:rsid w:val="00355DC5"/>
    <w:rsid w:val="00355FEC"/>
    <w:rsid w:val="00355FF8"/>
    <w:rsid w:val="00356189"/>
    <w:rsid w:val="0035622C"/>
    <w:rsid w:val="00356231"/>
    <w:rsid w:val="0035628B"/>
    <w:rsid w:val="0035636A"/>
    <w:rsid w:val="0035640F"/>
    <w:rsid w:val="0035655D"/>
    <w:rsid w:val="00356623"/>
    <w:rsid w:val="003566F7"/>
    <w:rsid w:val="00356733"/>
    <w:rsid w:val="003567D4"/>
    <w:rsid w:val="00356847"/>
    <w:rsid w:val="00356857"/>
    <w:rsid w:val="00356948"/>
    <w:rsid w:val="00356982"/>
    <w:rsid w:val="003569D4"/>
    <w:rsid w:val="00356AE8"/>
    <w:rsid w:val="00356AEB"/>
    <w:rsid w:val="00356AFB"/>
    <w:rsid w:val="00356B9A"/>
    <w:rsid w:val="00356BA8"/>
    <w:rsid w:val="00356C87"/>
    <w:rsid w:val="00356C9A"/>
    <w:rsid w:val="00356D52"/>
    <w:rsid w:val="00356DA9"/>
    <w:rsid w:val="00356DB2"/>
    <w:rsid w:val="00356DD6"/>
    <w:rsid w:val="00356F7B"/>
    <w:rsid w:val="003570F0"/>
    <w:rsid w:val="0035715A"/>
    <w:rsid w:val="003571EA"/>
    <w:rsid w:val="00357284"/>
    <w:rsid w:val="00357494"/>
    <w:rsid w:val="003574DB"/>
    <w:rsid w:val="00357512"/>
    <w:rsid w:val="00357577"/>
    <w:rsid w:val="00357590"/>
    <w:rsid w:val="003576DC"/>
    <w:rsid w:val="00357727"/>
    <w:rsid w:val="00357759"/>
    <w:rsid w:val="003577FE"/>
    <w:rsid w:val="00357925"/>
    <w:rsid w:val="00357991"/>
    <w:rsid w:val="00357C4E"/>
    <w:rsid w:val="00357CBC"/>
    <w:rsid w:val="00357D75"/>
    <w:rsid w:val="00357DED"/>
    <w:rsid w:val="00357E46"/>
    <w:rsid w:val="00357F4E"/>
    <w:rsid w:val="00357F76"/>
    <w:rsid w:val="00357F7A"/>
    <w:rsid w:val="00357FFD"/>
    <w:rsid w:val="003601F3"/>
    <w:rsid w:val="00360224"/>
    <w:rsid w:val="0036029C"/>
    <w:rsid w:val="00360351"/>
    <w:rsid w:val="0036036F"/>
    <w:rsid w:val="003603E1"/>
    <w:rsid w:val="003604AE"/>
    <w:rsid w:val="0036058D"/>
    <w:rsid w:val="003605A2"/>
    <w:rsid w:val="0036069B"/>
    <w:rsid w:val="003606D3"/>
    <w:rsid w:val="00360714"/>
    <w:rsid w:val="0036072E"/>
    <w:rsid w:val="0036075F"/>
    <w:rsid w:val="003607F4"/>
    <w:rsid w:val="00360854"/>
    <w:rsid w:val="0036086A"/>
    <w:rsid w:val="00360871"/>
    <w:rsid w:val="0036088E"/>
    <w:rsid w:val="003608E7"/>
    <w:rsid w:val="00360998"/>
    <w:rsid w:val="003609C5"/>
    <w:rsid w:val="00360AA1"/>
    <w:rsid w:val="00360B5F"/>
    <w:rsid w:val="00360E88"/>
    <w:rsid w:val="00360F1D"/>
    <w:rsid w:val="00361184"/>
    <w:rsid w:val="003611A0"/>
    <w:rsid w:val="003612EF"/>
    <w:rsid w:val="0036157B"/>
    <w:rsid w:val="003616B2"/>
    <w:rsid w:val="00361872"/>
    <w:rsid w:val="00361997"/>
    <w:rsid w:val="00361A51"/>
    <w:rsid w:val="00361A8C"/>
    <w:rsid w:val="00361B89"/>
    <w:rsid w:val="00361C36"/>
    <w:rsid w:val="00361E54"/>
    <w:rsid w:val="00361EC5"/>
    <w:rsid w:val="00361EEF"/>
    <w:rsid w:val="00362198"/>
    <w:rsid w:val="00362336"/>
    <w:rsid w:val="0036238B"/>
    <w:rsid w:val="0036239E"/>
    <w:rsid w:val="00362515"/>
    <w:rsid w:val="00362599"/>
    <w:rsid w:val="00362610"/>
    <w:rsid w:val="0036267D"/>
    <w:rsid w:val="003626B9"/>
    <w:rsid w:val="00362712"/>
    <w:rsid w:val="0036271C"/>
    <w:rsid w:val="003627BE"/>
    <w:rsid w:val="00362824"/>
    <w:rsid w:val="003628F1"/>
    <w:rsid w:val="00362979"/>
    <w:rsid w:val="00362A28"/>
    <w:rsid w:val="00362A3A"/>
    <w:rsid w:val="00362A56"/>
    <w:rsid w:val="00362B06"/>
    <w:rsid w:val="00362B9D"/>
    <w:rsid w:val="00362C2B"/>
    <w:rsid w:val="00362C80"/>
    <w:rsid w:val="00362D33"/>
    <w:rsid w:val="00362DE6"/>
    <w:rsid w:val="00362E87"/>
    <w:rsid w:val="00362F31"/>
    <w:rsid w:val="00362F49"/>
    <w:rsid w:val="00363009"/>
    <w:rsid w:val="00363070"/>
    <w:rsid w:val="0036312A"/>
    <w:rsid w:val="0036312B"/>
    <w:rsid w:val="003631F8"/>
    <w:rsid w:val="00363230"/>
    <w:rsid w:val="00363340"/>
    <w:rsid w:val="0036368C"/>
    <w:rsid w:val="003636C6"/>
    <w:rsid w:val="00363748"/>
    <w:rsid w:val="00363797"/>
    <w:rsid w:val="0036390D"/>
    <w:rsid w:val="00363AAA"/>
    <w:rsid w:val="00363C93"/>
    <w:rsid w:val="00363D14"/>
    <w:rsid w:val="00363DC8"/>
    <w:rsid w:val="00363DFF"/>
    <w:rsid w:val="00363E09"/>
    <w:rsid w:val="00363ED8"/>
    <w:rsid w:val="00363F98"/>
    <w:rsid w:val="0036408C"/>
    <w:rsid w:val="0036429D"/>
    <w:rsid w:val="003644DC"/>
    <w:rsid w:val="003644E5"/>
    <w:rsid w:val="003644FC"/>
    <w:rsid w:val="0036459D"/>
    <w:rsid w:val="003645D6"/>
    <w:rsid w:val="00364772"/>
    <w:rsid w:val="00364841"/>
    <w:rsid w:val="003649D1"/>
    <w:rsid w:val="00364A89"/>
    <w:rsid w:val="00364B67"/>
    <w:rsid w:val="00364BEA"/>
    <w:rsid w:val="00364CBF"/>
    <w:rsid w:val="00364D50"/>
    <w:rsid w:val="00364DA3"/>
    <w:rsid w:val="00364E0A"/>
    <w:rsid w:val="00364E6F"/>
    <w:rsid w:val="0036500A"/>
    <w:rsid w:val="00365051"/>
    <w:rsid w:val="00365070"/>
    <w:rsid w:val="003651DD"/>
    <w:rsid w:val="0036535D"/>
    <w:rsid w:val="003653B2"/>
    <w:rsid w:val="003653C9"/>
    <w:rsid w:val="003653D5"/>
    <w:rsid w:val="003653EA"/>
    <w:rsid w:val="003653F2"/>
    <w:rsid w:val="00365466"/>
    <w:rsid w:val="0036548E"/>
    <w:rsid w:val="0036551D"/>
    <w:rsid w:val="00365539"/>
    <w:rsid w:val="00365612"/>
    <w:rsid w:val="00365662"/>
    <w:rsid w:val="0036568C"/>
    <w:rsid w:val="003656BB"/>
    <w:rsid w:val="003656DC"/>
    <w:rsid w:val="00365707"/>
    <w:rsid w:val="00365883"/>
    <w:rsid w:val="00365888"/>
    <w:rsid w:val="00365AAC"/>
    <w:rsid w:val="00365B40"/>
    <w:rsid w:val="00365DBC"/>
    <w:rsid w:val="00365E13"/>
    <w:rsid w:val="00365F29"/>
    <w:rsid w:val="0036600C"/>
    <w:rsid w:val="003660F8"/>
    <w:rsid w:val="00366189"/>
    <w:rsid w:val="0036638C"/>
    <w:rsid w:val="0036644D"/>
    <w:rsid w:val="003664A8"/>
    <w:rsid w:val="003664C6"/>
    <w:rsid w:val="00366587"/>
    <w:rsid w:val="00366599"/>
    <w:rsid w:val="0036659A"/>
    <w:rsid w:val="00366602"/>
    <w:rsid w:val="00366673"/>
    <w:rsid w:val="00366820"/>
    <w:rsid w:val="0036686E"/>
    <w:rsid w:val="003668DC"/>
    <w:rsid w:val="003669CD"/>
    <w:rsid w:val="00366A51"/>
    <w:rsid w:val="00366BC2"/>
    <w:rsid w:val="00366BC5"/>
    <w:rsid w:val="00366C6D"/>
    <w:rsid w:val="00366C8D"/>
    <w:rsid w:val="00366CC6"/>
    <w:rsid w:val="00366DC9"/>
    <w:rsid w:val="00366E57"/>
    <w:rsid w:val="00366F07"/>
    <w:rsid w:val="00366F47"/>
    <w:rsid w:val="00366F75"/>
    <w:rsid w:val="00366FC8"/>
    <w:rsid w:val="0036707B"/>
    <w:rsid w:val="00367139"/>
    <w:rsid w:val="003671B7"/>
    <w:rsid w:val="00367209"/>
    <w:rsid w:val="00367496"/>
    <w:rsid w:val="003674CC"/>
    <w:rsid w:val="003674D1"/>
    <w:rsid w:val="003675B0"/>
    <w:rsid w:val="00367774"/>
    <w:rsid w:val="003677DB"/>
    <w:rsid w:val="00367816"/>
    <w:rsid w:val="0036793E"/>
    <w:rsid w:val="00367972"/>
    <w:rsid w:val="00367A92"/>
    <w:rsid w:val="00367AA4"/>
    <w:rsid w:val="00367AE2"/>
    <w:rsid w:val="00367BC8"/>
    <w:rsid w:val="00367C55"/>
    <w:rsid w:val="00367CCE"/>
    <w:rsid w:val="00367CFF"/>
    <w:rsid w:val="00367D6E"/>
    <w:rsid w:val="00367D85"/>
    <w:rsid w:val="00367DB5"/>
    <w:rsid w:val="00367EB7"/>
    <w:rsid w:val="0037025B"/>
    <w:rsid w:val="003703BF"/>
    <w:rsid w:val="003704D1"/>
    <w:rsid w:val="003704EF"/>
    <w:rsid w:val="003705BF"/>
    <w:rsid w:val="003706CD"/>
    <w:rsid w:val="0037082C"/>
    <w:rsid w:val="00370918"/>
    <w:rsid w:val="00370B2A"/>
    <w:rsid w:val="00370BB1"/>
    <w:rsid w:val="00370C30"/>
    <w:rsid w:val="00370C66"/>
    <w:rsid w:val="00370DEE"/>
    <w:rsid w:val="00370EAE"/>
    <w:rsid w:val="00370F19"/>
    <w:rsid w:val="00370F79"/>
    <w:rsid w:val="00370FAD"/>
    <w:rsid w:val="0037106B"/>
    <w:rsid w:val="00371114"/>
    <w:rsid w:val="00371223"/>
    <w:rsid w:val="003712B5"/>
    <w:rsid w:val="003712FD"/>
    <w:rsid w:val="003713EA"/>
    <w:rsid w:val="00371484"/>
    <w:rsid w:val="00371502"/>
    <w:rsid w:val="00371506"/>
    <w:rsid w:val="00371641"/>
    <w:rsid w:val="00371656"/>
    <w:rsid w:val="00371673"/>
    <w:rsid w:val="003717E2"/>
    <w:rsid w:val="00371876"/>
    <w:rsid w:val="003718D4"/>
    <w:rsid w:val="003719E3"/>
    <w:rsid w:val="00371A00"/>
    <w:rsid w:val="00371A61"/>
    <w:rsid w:val="00371B71"/>
    <w:rsid w:val="00371BDA"/>
    <w:rsid w:val="00371D02"/>
    <w:rsid w:val="00371DD8"/>
    <w:rsid w:val="00371E18"/>
    <w:rsid w:val="00371E54"/>
    <w:rsid w:val="00372039"/>
    <w:rsid w:val="0037206F"/>
    <w:rsid w:val="003723A6"/>
    <w:rsid w:val="003723E4"/>
    <w:rsid w:val="0037245D"/>
    <w:rsid w:val="003724A3"/>
    <w:rsid w:val="003725A7"/>
    <w:rsid w:val="00372675"/>
    <w:rsid w:val="0037275C"/>
    <w:rsid w:val="003727A3"/>
    <w:rsid w:val="0037295F"/>
    <w:rsid w:val="003729F6"/>
    <w:rsid w:val="00372A0C"/>
    <w:rsid w:val="00372A21"/>
    <w:rsid w:val="00372AE9"/>
    <w:rsid w:val="00372C40"/>
    <w:rsid w:val="00372E23"/>
    <w:rsid w:val="00372F0F"/>
    <w:rsid w:val="00372F51"/>
    <w:rsid w:val="00372FA7"/>
    <w:rsid w:val="00372FF5"/>
    <w:rsid w:val="00373028"/>
    <w:rsid w:val="00373135"/>
    <w:rsid w:val="003731EF"/>
    <w:rsid w:val="00373213"/>
    <w:rsid w:val="0037333E"/>
    <w:rsid w:val="003733BA"/>
    <w:rsid w:val="003735BB"/>
    <w:rsid w:val="00373733"/>
    <w:rsid w:val="00373787"/>
    <w:rsid w:val="003737D9"/>
    <w:rsid w:val="00373848"/>
    <w:rsid w:val="0037399F"/>
    <w:rsid w:val="003739A5"/>
    <w:rsid w:val="003739C3"/>
    <w:rsid w:val="00373A5A"/>
    <w:rsid w:val="00373AEF"/>
    <w:rsid w:val="00373C56"/>
    <w:rsid w:val="00373D26"/>
    <w:rsid w:val="00373D74"/>
    <w:rsid w:val="00373DA4"/>
    <w:rsid w:val="00373E36"/>
    <w:rsid w:val="00373EB8"/>
    <w:rsid w:val="00373FB1"/>
    <w:rsid w:val="00373FC9"/>
    <w:rsid w:val="003740AB"/>
    <w:rsid w:val="00374284"/>
    <w:rsid w:val="00374409"/>
    <w:rsid w:val="00374423"/>
    <w:rsid w:val="00374454"/>
    <w:rsid w:val="003744D9"/>
    <w:rsid w:val="003744EB"/>
    <w:rsid w:val="00374532"/>
    <w:rsid w:val="0037460C"/>
    <w:rsid w:val="003746C5"/>
    <w:rsid w:val="003747B2"/>
    <w:rsid w:val="003747B5"/>
    <w:rsid w:val="00374804"/>
    <w:rsid w:val="00374868"/>
    <w:rsid w:val="00374890"/>
    <w:rsid w:val="00374A08"/>
    <w:rsid w:val="00374AE0"/>
    <w:rsid w:val="00374B8D"/>
    <w:rsid w:val="00374C26"/>
    <w:rsid w:val="00374C4F"/>
    <w:rsid w:val="00374CDB"/>
    <w:rsid w:val="00374D97"/>
    <w:rsid w:val="00374EA7"/>
    <w:rsid w:val="00375028"/>
    <w:rsid w:val="00375090"/>
    <w:rsid w:val="0037519D"/>
    <w:rsid w:val="00375205"/>
    <w:rsid w:val="00375265"/>
    <w:rsid w:val="0037528C"/>
    <w:rsid w:val="003752EE"/>
    <w:rsid w:val="0037537B"/>
    <w:rsid w:val="003753A4"/>
    <w:rsid w:val="003753EA"/>
    <w:rsid w:val="00375475"/>
    <w:rsid w:val="003755E9"/>
    <w:rsid w:val="003756A8"/>
    <w:rsid w:val="003757F1"/>
    <w:rsid w:val="003758A3"/>
    <w:rsid w:val="00375914"/>
    <w:rsid w:val="0037591C"/>
    <w:rsid w:val="00375BF6"/>
    <w:rsid w:val="00375DF4"/>
    <w:rsid w:val="00375EA7"/>
    <w:rsid w:val="00375F3D"/>
    <w:rsid w:val="00375F47"/>
    <w:rsid w:val="003760A1"/>
    <w:rsid w:val="003760DB"/>
    <w:rsid w:val="00376124"/>
    <w:rsid w:val="0037613B"/>
    <w:rsid w:val="00376145"/>
    <w:rsid w:val="003761E1"/>
    <w:rsid w:val="00376222"/>
    <w:rsid w:val="00376313"/>
    <w:rsid w:val="00376371"/>
    <w:rsid w:val="003763AF"/>
    <w:rsid w:val="003764C3"/>
    <w:rsid w:val="003764E9"/>
    <w:rsid w:val="00376589"/>
    <w:rsid w:val="003765F7"/>
    <w:rsid w:val="0037669A"/>
    <w:rsid w:val="0037671A"/>
    <w:rsid w:val="003767AE"/>
    <w:rsid w:val="003767D2"/>
    <w:rsid w:val="00376862"/>
    <w:rsid w:val="00376993"/>
    <w:rsid w:val="003769D7"/>
    <w:rsid w:val="00376A45"/>
    <w:rsid w:val="00376ABC"/>
    <w:rsid w:val="00376BE6"/>
    <w:rsid w:val="00376DB2"/>
    <w:rsid w:val="00376DDB"/>
    <w:rsid w:val="00376E73"/>
    <w:rsid w:val="00376FBD"/>
    <w:rsid w:val="00376FCC"/>
    <w:rsid w:val="00376FEA"/>
    <w:rsid w:val="00377044"/>
    <w:rsid w:val="00377066"/>
    <w:rsid w:val="00377077"/>
    <w:rsid w:val="00377113"/>
    <w:rsid w:val="00377205"/>
    <w:rsid w:val="003772D7"/>
    <w:rsid w:val="003773A5"/>
    <w:rsid w:val="0037742B"/>
    <w:rsid w:val="00377452"/>
    <w:rsid w:val="00377588"/>
    <w:rsid w:val="0037765B"/>
    <w:rsid w:val="00377726"/>
    <w:rsid w:val="00377816"/>
    <w:rsid w:val="003779CB"/>
    <w:rsid w:val="00377ABE"/>
    <w:rsid w:val="00377AE8"/>
    <w:rsid w:val="00377B15"/>
    <w:rsid w:val="00377B94"/>
    <w:rsid w:val="00377DCE"/>
    <w:rsid w:val="00377E37"/>
    <w:rsid w:val="00377E99"/>
    <w:rsid w:val="00377EF4"/>
    <w:rsid w:val="00377FA7"/>
    <w:rsid w:val="0038013C"/>
    <w:rsid w:val="00380275"/>
    <w:rsid w:val="0038027B"/>
    <w:rsid w:val="003802B1"/>
    <w:rsid w:val="003802EF"/>
    <w:rsid w:val="003804E2"/>
    <w:rsid w:val="0038051E"/>
    <w:rsid w:val="0038055E"/>
    <w:rsid w:val="0038057C"/>
    <w:rsid w:val="0038068D"/>
    <w:rsid w:val="003807DB"/>
    <w:rsid w:val="00380808"/>
    <w:rsid w:val="003808E6"/>
    <w:rsid w:val="00380AC2"/>
    <w:rsid w:val="00380B70"/>
    <w:rsid w:val="00380B73"/>
    <w:rsid w:val="00380B94"/>
    <w:rsid w:val="00380B9F"/>
    <w:rsid w:val="00380E0E"/>
    <w:rsid w:val="00380E79"/>
    <w:rsid w:val="00380EC4"/>
    <w:rsid w:val="00381044"/>
    <w:rsid w:val="0038117B"/>
    <w:rsid w:val="00381268"/>
    <w:rsid w:val="00381322"/>
    <w:rsid w:val="00381353"/>
    <w:rsid w:val="00381374"/>
    <w:rsid w:val="00381394"/>
    <w:rsid w:val="003813FC"/>
    <w:rsid w:val="00381520"/>
    <w:rsid w:val="003815B7"/>
    <w:rsid w:val="00381607"/>
    <w:rsid w:val="00381619"/>
    <w:rsid w:val="003816D5"/>
    <w:rsid w:val="0038189D"/>
    <w:rsid w:val="003819C8"/>
    <w:rsid w:val="00381A7C"/>
    <w:rsid w:val="00381A85"/>
    <w:rsid w:val="00381C9A"/>
    <w:rsid w:val="00381D0A"/>
    <w:rsid w:val="00381E03"/>
    <w:rsid w:val="00381E13"/>
    <w:rsid w:val="00381F56"/>
    <w:rsid w:val="00382041"/>
    <w:rsid w:val="0038224C"/>
    <w:rsid w:val="00382252"/>
    <w:rsid w:val="0038226D"/>
    <w:rsid w:val="0038246A"/>
    <w:rsid w:val="0038247A"/>
    <w:rsid w:val="003824B4"/>
    <w:rsid w:val="00382511"/>
    <w:rsid w:val="0038259A"/>
    <w:rsid w:val="00382765"/>
    <w:rsid w:val="00382798"/>
    <w:rsid w:val="00382A87"/>
    <w:rsid w:val="00382BB3"/>
    <w:rsid w:val="00382C4F"/>
    <w:rsid w:val="00382CA1"/>
    <w:rsid w:val="00382CEC"/>
    <w:rsid w:val="00382D87"/>
    <w:rsid w:val="00382E09"/>
    <w:rsid w:val="00382F0F"/>
    <w:rsid w:val="00382F35"/>
    <w:rsid w:val="00382F65"/>
    <w:rsid w:val="00382F7B"/>
    <w:rsid w:val="00383004"/>
    <w:rsid w:val="0038302D"/>
    <w:rsid w:val="003830CE"/>
    <w:rsid w:val="00383114"/>
    <w:rsid w:val="0038321F"/>
    <w:rsid w:val="00383286"/>
    <w:rsid w:val="0038336B"/>
    <w:rsid w:val="003833A8"/>
    <w:rsid w:val="003834CD"/>
    <w:rsid w:val="0038350F"/>
    <w:rsid w:val="00383528"/>
    <w:rsid w:val="0038352B"/>
    <w:rsid w:val="0038361F"/>
    <w:rsid w:val="00383985"/>
    <w:rsid w:val="0038399E"/>
    <w:rsid w:val="00383B35"/>
    <w:rsid w:val="00383B44"/>
    <w:rsid w:val="00383BE3"/>
    <w:rsid w:val="00383C23"/>
    <w:rsid w:val="00383CAE"/>
    <w:rsid w:val="00383DFF"/>
    <w:rsid w:val="00383E48"/>
    <w:rsid w:val="00383E99"/>
    <w:rsid w:val="00383ED5"/>
    <w:rsid w:val="00383FEC"/>
    <w:rsid w:val="0038407C"/>
    <w:rsid w:val="00384304"/>
    <w:rsid w:val="0038430C"/>
    <w:rsid w:val="0038434F"/>
    <w:rsid w:val="003843F8"/>
    <w:rsid w:val="00384533"/>
    <w:rsid w:val="00384738"/>
    <w:rsid w:val="003847E0"/>
    <w:rsid w:val="00384983"/>
    <w:rsid w:val="00384A50"/>
    <w:rsid w:val="00384A9D"/>
    <w:rsid w:val="00384AFB"/>
    <w:rsid w:val="00384B16"/>
    <w:rsid w:val="00384D06"/>
    <w:rsid w:val="00384DD6"/>
    <w:rsid w:val="00384E83"/>
    <w:rsid w:val="00384EE5"/>
    <w:rsid w:val="00384F42"/>
    <w:rsid w:val="00385009"/>
    <w:rsid w:val="0038505F"/>
    <w:rsid w:val="0038507F"/>
    <w:rsid w:val="0038515A"/>
    <w:rsid w:val="003851EB"/>
    <w:rsid w:val="0038524A"/>
    <w:rsid w:val="00385358"/>
    <w:rsid w:val="00385398"/>
    <w:rsid w:val="0038539C"/>
    <w:rsid w:val="0038542D"/>
    <w:rsid w:val="00385531"/>
    <w:rsid w:val="00385554"/>
    <w:rsid w:val="0038564C"/>
    <w:rsid w:val="0038568A"/>
    <w:rsid w:val="00385698"/>
    <w:rsid w:val="00385793"/>
    <w:rsid w:val="003857F3"/>
    <w:rsid w:val="0038585E"/>
    <w:rsid w:val="00385860"/>
    <w:rsid w:val="00385910"/>
    <w:rsid w:val="00385958"/>
    <w:rsid w:val="00385A17"/>
    <w:rsid w:val="00385A32"/>
    <w:rsid w:val="00385A77"/>
    <w:rsid w:val="00385A82"/>
    <w:rsid w:val="00385C6D"/>
    <w:rsid w:val="00385CFC"/>
    <w:rsid w:val="00385DE1"/>
    <w:rsid w:val="00385E2D"/>
    <w:rsid w:val="00385EB6"/>
    <w:rsid w:val="00385EBD"/>
    <w:rsid w:val="003860A5"/>
    <w:rsid w:val="00386163"/>
    <w:rsid w:val="00386180"/>
    <w:rsid w:val="003861C5"/>
    <w:rsid w:val="00386204"/>
    <w:rsid w:val="003862A2"/>
    <w:rsid w:val="003862CD"/>
    <w:rsid w:val="003862DC"/>
    <w:rsid w:val="00386369"/>
    <w:rsid w:val="003863AE"/>
    <w:rsid w:val="0038647D"/>
    <w:rsid w:val="0038648C"/>
    <w:rsid w:val="0038655A"/>
    <w:rsid w:val="003865C8"/>
    <w:rsid w:val="0038667D"/>
    <w:rsid w:val="00386721"/>
    <w:rsid w:val="00386738"/>
    <w:rsid w:val="0038677A"/>
    <w:rsid w:val="0038692D"/>
    <w:rsid w:val="00386C0F"/>
    <w:rsid w:val="00386F01"/>
    <w:rsid w:val="00386FAA"/>
    <w:rsid w:val="00387034"/>
    <w:rsid w:val="00387058"/>
    <w:rsid w:val="003870AF"/>
    <w:rsid w:val="003870BD"/>
    <w:rsid w:val="003871D4"/>
    <w:rsid w:val="003872A7"/>
    <w:rsid w:val="003874C2"/>
    <w:rsid w:val="00387568"/>
    <w:rsid w:val="0038781A"/>
    <w:rsid w:val="0038782E"/>
    <w:rsid w:val="00387910"/>
    <w:rsid w:val="00387AEC"/>
    <w:rsid w:val="00387B62"/>
    <w:rsid w:val="00387C13"/>
    <w:rsid w:val="00387C1F"/>
    <w:rsid w:val="00387C89"/>
    <w:rsid w:val="00387D77"/>
    <w:rsid w:val="00387DBE"/>
    <w:rsid w:val="003902B0"/>
    <w:rsid w:val="003902CF"/>
    <w:rsid w:val="003903A2"/>
    <w:rsid w:val="0039050F"/>
    <w:rsid w:val="0039052D"/>
    <w:rsid w:val="00390601"/>
    <w:rsid w:val="00390623"/>
    <w:rsid w:val="003907DC"/>
    <w:rsid w:val="00390821"/>
    <w:rsid w:val="003908BD"/>
    <w:rsid w:val="003908E0"/>
    <w:rsid w:val="00390912"/>
    <w:rsid w:val="003909D2"/>
    <w:rsid w:val="00390A3C"/>
    <w:rsid w:val="00390B74"/>
    <w:rsid w:val="00390BDD"/>
    <w:rsid w:val="00390CAF"/>
    <w:rsid w:val="00390D47"/>
    <w:rsid w:val="00390E91"/>
    <w:rsid w:val="00390ECF"/>
    <w:rsid w:val="00390F0C"/>
    <w:rsid w:val="0039103C"/>
    <w:rsid w:val="003910BB"/>
    <w:rsid w:val="003910DB"/>
    <w:rsid w:val="0039113A"/>
    <w:rsid w:val="003911A2"/>
    <w:rsid w:val="0039122D"/>
    <w:rsid w:val="003912AC"/>
    <w:rsid w:val="003912DB"/>
    <w:rsid w:val="00391422"/>
    <w:rsid w:val="00391673"/>
    <w:rsid w:val="003916B4"/>
    <w:rsid w:val="0039174E"/>
    <w:rsid w:val="0039179F"/>
    <w:rsid w:val="00391842"/>
    <w:rsid w:val="0039184C"/>
    <w:rsid w:val="0039194F"/>
    <w:rsid w:val="0039196F"/>
    <w:rsid w:val="00391A43"/>
    <w:rsid w:val="00391B34"/>
    <w:rsid w:val="00391BE1"/>
    <w:rsid w:val="00391D8B"/>
    <w:rsid w:val="00391DEB"/>
    <w:rsid w:val="00391EA9"/>
    <w:rsid w:val="00391ED5"/>
    <w:rsid w:val="00391EFF"/>
    <w:rsid w:val="00391FEE"/>
    <w:rsid w:val="00392010"/>
    <w:rsid w:val="0039205D"/>
    <w:rsid w:val="003920C8"/>
    <w:rsid w:val="00392109"/>
    <w:rsid w:val="0039216C"/>
    <w:rsid w:val="0039217F"/>
    <w:rsid w:val="003922A8"/>
    <w:rsid w:val="00392346"/>
    <w:rsid w:val="003923C2"/>
    <w:rsid w:val="00392519"/>
    <w:rsid w:val="0039251A"/>
    <w:rsid w:val="00392537"/>
    <w:rsid w:val="0039262E"/>
    <w:rsid w:val="00392729"/>
    <w:rsid w:val="0039282F"/>
    <w:rsid w:val="003929C9"/>
    <w:rsid w:val="00392BEF"/>
    <w:rsid w:val="00392C35"/>
    <w:rsid w:val="00392CF2"/>
    <w:rsid w:val="00392E34"/>
    <w:rsid w:val="00392E53"/>
    <w:rsid w:val="00392EDE"/>
    <w:rsid w:val="00392F01"/>
    <w:rsid w:val="00392FBB"/>
    <w:rsid w:val="0039302D"/>
    <w:rsid w:val="00393067"/>
    <w:rsid w:val="00393222"/>
    <w:rsid w:val="0039326D"/>
    <w:rsid w:val="0039339B"/>
    <w:rsid w:val="003933BF"/>
    <w:rsid w:val="0039341D"/>
    <w:rsid w:val="0039344B"/>
    <w:rsid w:val="00393468"/>
    <w:rsid w:val="003934B7"/>
    <w:rsid w:val="0039360D"/>
    <w:rsid w:val="003937EF"/>
    <w:rsid w:val="003937F3"/>
    <w:rsid w:val="0039381C"/>
    <w:rsid w:val="00393823"/>
    <w:rsid w:val="00393875"/>
    <w:rsid w:val="00393A57"/>
    <w:rsid w:val="00393A95"/>
    <w:rsid w:val="00393ADE"/>
    <w:rsid w:val="00393B0F"/>
    <w:rsid w:val="00393B30"/>
    <w:rsid w:val="00393BE0"/>
    <w:rsid w:val="00393CCC"/>
    <w:rsid w:val="00393D2F"/>
    <w:rsid w:val="00393E5A"/>
    <w:rsid w:val="00393EF5"/>
    <w:rsid w:val="00393FF1"/>
    <w:rsid w:val="00393FF6"/>
    <w:rsid w:val="00394089"/>
    <w:rsid w:val="0039409D"/>
    <w:rsid w:val="0039410C"/>
    <w:rsid w:val="00394112"/>
    <w:rsid w:val="00394185"/>
    <w:rsid w:val="00394193"/>
    <w:rsid w:val="003941FD"/>
    <w:rsid w:val="00394248"/>
    <w:rsid w:val="0039424D"/>
    <w:rsid w:val="0039425B"/>
    <w:rsid w:val="0039428D"/>
    <w:rsid w:val="003942AD"/>
    <w:rsid w:val="003942D1"/>
    <w:rsid w:val="00394382"/>
    <w:rsid w:val="003943D4"/>
    <w:rsid w:val="00394485"/>
    <w:rsid w:val="003944CD"/>
    <w:rsid w:val="003944E8"/>
    <w:rsid w:val="00394500"/>
    <w:rsid w:val="003945CB"/>
    <w:rsid w:val="00394684"/>
    <w:rsid w:val="00394715"/>
    <w:rsid w:val="00394729"/>
    <w:rsid w:val="00394766"/>
    <w:rsid w:val="0039486D"/>
    <w:rsid w:val="003948E4"/>
    <w:rsid w:val="0039494A"/>
    <w:rsid w:val="00394962"/>
    <w:rsid w:val="00394971"/>
    <w:rsid w:val="003949EC"/>
    <w:rsid w:val="00394ABA"/>
    <w:rsid w:val="00394C32"/>
    <w:rsid w:val="00394D8D"/>
    <w:rsid w:val="00394E43"/>
    <w:rsid w:val="00394E4C"/>
    <w:rsid w:val="00394F9E"/>
    <w:rsid w:val="0039503F"/>
    <w:rsid w:val="0039505D"/>
    <w:rsid w:val="0039512E"/>
    <w:rsid w:val="0039523E"/>
    <w:rsid w:val="0039529E"/>
    <w:rsid w:val="003953BA"/>
    <w:rsid w:val="0039552B"/>
    <w:rsid w:val="0039555A"/>
    <w:rsid w:val="003955BD"/>
    <w:rsid w:val="003955F3"/>
    <w:rsid w:val="00395600"/>
    <w:rsid w:val="0039566F"/>
    <w:rsid w:val="003958AE"/>
    <w:rsid w:val="003958D5"/>
    <w:rsid w:val="00395923"/>
    <w:rsid w:val="0039593A"/>
    <w:rsid w:val="003959B9"/>
    <w:rsid w:val="003959DA"/>
    <w:rsid w:val="00395B43"/>
    <w:rsid w:val="00395B8F"/>
    <w:rsid w:val="00395C76"/>
    <w:rsid w:val="00395CDA"/>
    <w:rsid w:val="00395CF8"/>
    <w:rsid w:val="0039608A"/>
    <w:rsid w:val="003960F8"/>
    <w:rsid w:val="0039614C"/>
    <w:rsid w:val="0039622D"/>
    <w:rsid w:val="003962C8"/>
    <w:rsid w:val="00396358"/>
    <w:rsid w:val="003963A5"/>
    <w:rsid w:val="003965AA"/>
    <w:rsid w:val="00396678"/>
    <w:rsid w:val="0039667A"/>
    <w:rsid w:val="00396725"/>
    <w:rsid w:val="003967D1"/>
    <w:rsid w:val="003967DF"/>
    <w:rsid w:val="0039693C"/>
    <w:rsid w:val="00396A05"/>
    <w:rsid w:val="00396A1A"/>
    <w:rsid w:val="00396A5C"/>
    <w:rsid w:val="00396AA6"/>
    <w:rsid w:val="00396BD7"/>
    <w:rsid w:val="00396C92"/>
    <w:rsid w:val="00396D4E"/>
    <w:rsid w:val="00396DF2"/>
    <w:rsid w:val="00396E0A"/>
    <w:rsid w:val="00396E54"/>
    <w:rsid w:val="00396FF0"/>
    <w:rsid w:val="00397216"/>
    <w:rsid w:val="00397222"/>
    <w:rsid w:val="0039728D"/>
    <w:rsid w:val="003972F1"/>
    <w:rsid w:val="0039730C"/>
    <w:rsid w:val="00397358"/>
    <w:rsid w:val="003973B8"/>
    <w:rsid w:val="003974F9"/>
    <w:rsid w:val="003976C8"/>
    <w:rsid w:val="003976FD"/>
    <w:rsid w:val="0039791D"/>
    <w:rsid w:val="0039794E"/>
    <w:rsid w:val="0039798C"/>
    <w:rsid w:val="003979D8"/>
    <w:rsid w:val="00397BC6"/>
    <w:rsid w:val="00397C03"/>
    <w:rsid w:val="00397C0B"/>
    <w:rsid w:val="00397D3F"/>
    <w:rsid w:val="00397E57"/>
    <w:rsid w:val="00397E97"/>
    <w:rsid w:val="00397F56"/>
    <w:rsid w:val="003A009E"/>
    <w:rsid w:val="003A0102"/>
    <w:rsid w:val="003A0113"/>
    <w:rsid w:val="003A01C2"/>
    <w:rsid w:val="003A036F"/>
    <w:rsid w:val="003A0471"/>
    <w:rsid w:val="003A04CB"/>
    <w:rsid w:val="003A0528"/>
    <w:rsid w:val="003A0536"/>
    <w:rsid w:val="003A0538"/>
    <w:rsid w:val="003A05B3"/>
    <w:rsid w:val="003A085D"/>
    <w:rsid w:val="003A0882"/>
    <w:rsid w:val="003A0AE0"/>
    <w:rsid w:val="003A0B06"/>
    <w:rsid w:val="003A0BF3"/>
    <w:rsid w:val="003A0FB7"/>
    <w:rsid w:val="003A1091"/>
    <w:rsid w:val="003A114A"/>
    <w:rsid w:val="003A1169"/>
    <w:rsid w:val="003A11CA"/>
    <w:rsid w:val="003A1375"/>
    <w:rsid w:val="003A13CB"/>
    <w:rsid w:val="003A13F5"/>
    <w:rsid w:val="003A1457"/>
    <w:rsid w:val="003A157E"/>
    <w:rsid w:val="003A15D6"/>
    <w:rsid w:val="003A166F"/>
    <w:rsid w:val="003A16A1"/>
    <w:rsid w:val="003A16B6"/>
    <w:rsid w:val="003A177D"/>
    <w:rsid w:val="003A17C1"/>
    <w:rsid w:val="003A190C"/>
    <w:rsid w:val="003A1C9B"/>
    <w:rsid w:val="003A1D37"/>
    <w:rsid w:val="003A1DE9"/>
    <w:rsid w:val="003A1EF1"/>
    <w:rsid w:val="003A1F7B"/>
    <w:rsid w:val="003A1F86"/>
    <w:rsid w:val="003A1FA2"/>
    <w:rsid w:val="003A20D4"/>
    <w:rsid w:val="003A22CA"/>
    <w:rsid w:val="003A2302"/>
    <w:rsid w:val="003A24A9"/>
    <w:rsid w:val="003A24BE"/>
    <w:rsid w:val="003A256F"/>
    <w:rsid w:val="003A2736"/>
    <w:rsid w:val="003A27E4"/>
    <w:rsid w:val="003A27F2"/>
    <w:rsid w:val="003A282F"/>
    <w:rsid w:val="003A28A4"/>
    <w:rsid w:val="003A2919"/>
    <w:rsid w:val="003A2922"/>
    <w:rsid w:val="003A2941"/>
    <w:rsid w:val="003A2A34"/>
    <w:rsid w:val="003A2AB2"/>
    <w:rsid w:val="003A2AD0"/>
    <w:rsid w:val="003A2B3E"/>
    <w:rsid w:val="003A2CD6"/>
    <w:rsid w:val="003A2CED"/>
    <w:rsid w:val="003A2CEE"/>
    <w:rsid w:val="003A2D27"/>
    <w:rsid w:val="003A2E39"/>
    <w:rsid w:val="003A2F8B"/>
    <w:rsid w:val="003A2F97"/>
    <w:rsid w:val="003A2FA5"/>
    <w:rsid w:val="003A2FC9"/>
    <w:rsid w:val="003A3007"/>
    <w:rsid w:val="003A3052"/>
    <w:rsid w:val="003A3123"/>
    <w:rsid w:val="003A357F"/>
    <w:rsid w:val="003A359E"/>
    <w:rsid w:val="003A3824"/>
    <w:rsid w:val="003A3843"/>
    <w:rsid w:val="003A3887"/>
    <w:rsid w:val="003A3A2E"/>
    <w:rsid w:val="003A3AAA"/>
    <w:rsid w:val="003A3BAE"/>
    <w:rsid w:val="003A3BB0"/>
    <w:rsid w:val="003A3C06"/>
    <w:rsid w:val="003A3C80"/>
    <w:rsid w:val="003A3CC7"/>
    <w:rsid w:val="003A3DC1"/>
    <w:rsid w:val="003A3E43"/>
    <w:rsid w:val="003A415E"/>
    <w:rsid w:val="003A424F"/>
    <w:rsid w:val="003A4314"/>
    <w:rsid w:val="003A434D"/>
    <w:rsid w:val="003A43D0"/>
    <w:rsid w:val="003A464C"/>
    <w:rsid w:val="003A4712"/>
    <w:rsid w:val="003A4715"/>
    <w:rsid w:val="003A489C"/>
    <w:rsid w:val="003A4922"/>
    <w:rsid w:val="003A49C6"/>
    <w:rsid w:val="003A4C55"/>
    <w:rsid w:val="003A4C69"/>
    <w:rsid w:val="003A4CD9"/>
    <w:rsid w:val="003A4D86"/>
    <w:rsid w:val="003A4F79"/>
    <w:rsid w:val="003A4F7E"/>
    <w:rsid w:val="003A4FC0"/>
    <w:rsid w:val="003A5044"/>
    <w:rsid w:val="003A50CB"/>
    <w:rsid w:val="003A50F3"/>
    <w:rsid w:val="003A5108"/>
    <w:rsid w:val="003A5145"/>
    <w:rsid w:val="003A51F5"/>
    <w:rsid w:val="003A5262"/>
    <w:rsid w:val="003A5458"/>
    <w:rsid w:val="003A55B7"/>
    <w:rsid w:val="003A5722"/>
    <w:rsid w:val="003A5779"/>
    <w:rsid w:val="003A5AAE"/>
    <w:rsid w:val="003A5B80"/>
    <w:rsid w:val="003A5C09"/>
    <w:rsid w:val="003A5C0D"/>
    <w:rsid w:val="003A5D04"/>
    <w:rsid w:val="003A5DB9"/>
    <w:rsid w:val="003A5E0B"/>
    <w:rsid w:val="003A5E67"/>
    <w:rsid w:val="003A5E95"/>
    <w:rsid w:val="003A5F0C"/>
    <w:rsid w:val="003A5F27"/>
    <w:rsid w:val="003A5F70"/>
    <w:rsid w:val="003A5F7F"/>
    <w:rsid w:val="003A6051"/>
    <w:rsid w:val="003A607C"/>
    <w:rsid w:val="003A60EC"/>
    <w:rsid w:val="003A61F4"/>
    <w:rsid w:val="003A6239"/>
    <w:rsid w:val="003A628D"/>
    <w:rsid w:val="003A6513"/>
    <w:rsid w:val="003A651C"/>
    <w:rsid w:val="003A651D"/>
    <w:rsid w:val="003A6664"/>
    <w:rsid w:val="003A66C5"/>
    <w:rsid w:val="003A67DE"/>
    <w:rsid w:val="003A699D"/>
    <w:rsid w:val="003A6A21"/>
    <w:rsid w:val="003A6A55"/>
    <w:rsid w:val="003A6AC2"/>
    <w:rsid w:val="003A6B68"/>
    <w:rsid w:val="003A6BB9"/>
    <w:rsid w:val="003A6C30"/>
    <w:rsid w:val="003A6C53"/>
    <w:rsid w:val="003A6D8E"/>
    <w:rsid w:val="003A6E41"/>
    <w:rsid w:val="003A6E4D"/>
    <w:rsid w:val="003A6EC6"/>
    <w:rsid w:val="003A6EF8"/>
    <w:rsid w:val="003A6F1E"/>
    <w:rsid w:val="003A6FA3"/>
    <w:rsid w:val="003A6FD9"/>
    <w:rsid w:val="003A6FF0"/>
    <w:rsid w:val="003A701F"/>
    <w:rsid w:val="003A70EF"/>
    <w:rsid w:val="003A7133"/>
    <w:rsid w:val="003A7283"/>
    <w:rsid w:val="003A7413"/>
    <w:rsid w:val="003A747B"/>
    <w:rsid w:val="003A751D"/>
    <w:rsid w:val="003A75D9"/>
    <w:rsid w:val="003A76A3"/>
    <w:rsid w:val="003A77A7"/>
    <w:rsid w:val="003A789F"/>
    <w:rsid w:val="003A78DE"/>
    <w:rsid w:val="003A79D1"/>
    <w:rsid w:val="003A79D7"/>
    <w:rsid w:val="003A7C22"/>
    <w:rsid w:val="003A7C28"/>
    <w:rsid w:val="003A7DAD"/>
    <w:rsid w:val="003A7DD2"/>
    <w:rsid w:val="003A7E15"/>
    <w:rsid w:val="003A7E89"/>
    <w:rsid w:val="003B009B"/>
    <w:rsid w:val="003B00D1"/>
    <w:rsid w:val="003B00EC"/>
    <w:rsid w:val="003B0115"/>
    <w:rsid w:val="003B0159"/>
    <w:rsid w:val="003B0204"/>
    <w:rsid w:val="003B0298"/>
    <w:rsid w:val="003B04E9"/>
    <w:rsid w:val="003B0545"/>
    <w:rsid w:val="003B0556"/>
    <w:rsid w:val="003B05BB"/>
    <w:rsid w:val="003B05BF"/>
    <w:rsid w:val="003B0619"/>
    <w:rsid w:val="003B06B4"/>
    <w:rsid w:val="003B06BE"/>
    <w:rsid w:val="003B092C"/>
    <w:rsid w:val="003B094F"/>
    <w:rsid w:val="003B099E"/>
    <w:rsid w:val="003B0A27"/>
    <w:rsid w:val="003B0A52"/>
    <w:rsid w:val="003B0B79"/>
    <w:rsid w:val="003B0C22"/>
    <w:rsid w:val="003B0CF8"/>
    <w:rsid w:val="003B0DD2"/>
    <w:rsid w:val="003B0DED"/>
    <w:rsid w:val="003B0E28"/>
    <w:rsid w:val="003B0E7C"/>
    <w:rsid w:val="003B0EEE"/>
    <w:rsid w:val="003B0FD0"/>
    <w:rsid w:val="003B111E"/>
    <w:rsid w:val="003B114B"/>
    <w:rsid w:val="003B12B2"/>
    <w:rsid w:val="003B138C"/>
    <w:rsid w:val="003B13CC"/>
    <w:rsid w:val="003B1453"/>
    <w:rsid w:val="003B1457"/>
    <w:rsid w:val="003B1492"/>
    <w:rsid w:val="003B156B"/>
    <w:rsid w:val="003B15B5"/>
    <w:rsid w:val="003B15BA"/>
    <w:rsid w:val="003B17B7"/>
    <w:rsid w:val="003B1888"/>
    <w:rsid w:val="003B1966"/>
    <w:rsid w:val="003B196F"/>
    <w:rsid w:val="003B1BA7"/>
    <w:rsid w:val="003B1C10"/>
    <w:rsid w:val="003B1D9A"/>
    <w:rsid w:val="003B1DA3"/>
    <w:rsid w:val="003B1DF8"/>
    <w:rsid w:val="003B1E62"/>
    <w:rsid w:val="003B2163"/>
    <w:rsid w:val="003B2360"/>
    <w:rsid w:val="003B2395"/>
    <w:rsid w:val="003B23DD"/>
    <w:rsid w:val="003B2445"/>
    <w:rsid w:val="003B252B"/>
    <w:rsid w:val="003B2616"/>
    <w:rsid w:val="003B2787"/>
    <w:rsid w:val="003B2814"/>
    <w:rsid w:val="003B287C"/>
    <w:rsid w:val="003B28D3"/>
    <w:rsid w:val="003B2A0A"/>
    <w:rsid w:val="003B2A95"/>
    <w:rsid w:val="003B2AA4"/>
    <w:rsid w:val="003B2BF8"/>
    <w:rsid w:val="003B2C58"/>
    <w:rsid w:val="003B2C8E"/>
    <w:rsid w:val="003B2CBD"/>
    <w:rsid w:val="003B2EE0"/>
    <w:rsid w:val="003B3179"/>
    <w:rsid w:val="003B325E"/>
    <w:rsid w:val="003B3264"/>
    <w:rsid w:val="003B32F8"/>
    <w:rsid w:val="003B3367"/>
    <w:rsid w:val="003B3384"/>
    <w:rsid w:val="003B348C"/>
    <w:rsid w:val="003B34A4"/>
    <w:rsid w:val="003B353E"/>
    <w:rsid w:val="003B3601"/>
    <w:rsid w:val="003B3696"/>
    <w:rsid w:val="003B37E3"/>
    <w:rsid w:val="003B39CB"/>
    <w:rsid w:val="003B3AE7"/>
    <w:rsid w:val="003B3B17"/>
    <w:rsid w:val="003B3B5F"/>
    <w:rsid w:val="003B3BD5"/>
    <w:rsid w:val="003B3CD0"/>
    <w:rsid w:val="003B3D61"/>
    <w:rsid w:val="003B3ED4"/>
    <w:rsid w:val="003B3F28"/>
    <w:rsid w:val="003B3F8A"/>
    <w:rsid w:val="003B406F"/>
    <w:rsid w:val="003B411E"/>
    <w:rsid w:val="003B41A7"/>
    <w:rsid w:val="003B41BC"/>
    <w:rsid w:val="003B432A"/>
    <w:rsid w:val="003B4406"/>
    <w:rsid w:val="003B4460"/>
    <w:rsid w:val="003B4523"/>
    <w:rsid w:val="003B4532"/>
    <w:rsid w:val="003B4557"/>
    <w:rsid w:val="003B4567"/>
    <w:rsid w:val="003B45BE"/>
    <w:rsid w:val="003B463D"/>
    <w:rsid w:val="003B46AA"/>
    <w:rsid w:val="003B4746"/>
    <w:rsid w:val="003B485F"/>
    <w:rsid w:val="003B492B"/>
    <w:rsid w:val="003B4972"/>
    <w:rsid w:val="003B49DB"/>
    <w:rsid w:val="003B4A26"/>
    <w:rsid w:val="003B4A5A"/>
    <w:rsid w:val="003B4B99"/>
    <w:rsid w:val="003B4BAF"/>
    <w:rsid w:val="003B4C2B"/>
    <w:rsid w:val="003B4D97"/>
    <w:rsid w:val="003B4E2A"/>
    <w:rsid w:val="003B4E2E"/>
    <w:rsid w:val="003B4E7E"/>
    <w:rsid w:val="003B516A"/>
    <w:rsid w:val="003B5173"/>
    <w:rsid w:val="003B544E"/>
    <w:rsid w:val="003B5484"/>
    <w:rsid w:val="003B5494"/>
    <w:rsid w:val="003B5526"/>
    <w:rsid w:val="003B5534"/>
    <w:rsid w:val="003B55F1"/>
    <w:rsid w:val="003B57BB"/>
    <w:rsid w:val="003B5AF7"/>
    <w:rsid w:val="003B5C06"/>
    <w:rsid w:val="003B5D94"/>
    <w:rsid w:val="003B5E1B"/>
    <w:rsid w:val="003B5EA9"/>
    <w:rsid w:val="003B5F32"/>
    <w:rsid w:val="003B6102"/>
    <w:rsid w:val="003B624D"/>
    <w:rsid w:val="003B63B2"/>
    <w:rsid w:val="003B63F1"/>
    <w:rsid w:val="003B6430"/>
    <w:rsid w:val="003B666B"/>
    <w:rsid w:val="003B6695"/>
    <w:rsid w:val="003B6705"/>
    <w:rsid w:val="003B6717"/>
    <w:rsid w:val="003B6887"/>
    <w:rsid w:val="003B68CF"/>
    <w:rsid w:val="003B69AA"/>
    <w:rsid w:val="003B69EA"/>
    <w:rsid w:val="003B6A5F"/>
    <w:rsid w:val="003B6A79"/>
    <w:rsid w:val="003B6B44"/>
    <w:rsid w:val="003B6C8E"/>
    <w:rsid w:val="003B6CA1"/>
    <w:rsid w:val="003B6CA5"/>
    <w:rsid w:val="003B6CB1"/>
    <w:rsid w:val="003B6D9B"/>
    <w:rsid w:val="003B6DCA"/>
    <w:rsid w:val="003B6E09"/>
    <w:rsid w:val="003B6E1B"/>
    <w:rsid w:val="003B6EAF"/>
    <w:rsid w:val="003B6F1D"/>
    <w:rsid w:val="003B7213"/>
    <w:rsid w:val="003B7340"/>
    <w:rsid w:val="003B73A2"/>
    <w:rsid w:val="003B73C5"/>
    <w:rsid w:val="003B746D"/>
    <w:rsid w:val="003B753C"/>
    <w:rsid w:val="003B7604"/>
    <w:rsid w:val="003B7653"/>
    <w:rsid w:val="003B766A"/>
    <w:rsid w:val="003B7865"/>
    <w:rsid w:val="003B791B"/>
    <w:rsid w:val="003B7A57"/>
    <w:rsid w:val="003B7C50"/>
    <w:rsid w:val="003B7C68"/>
    <w:rsid w:val="003B7CC8"/>
    <w:rsid w:val="003B7CDD"/>
    <w:rsid w:val="003B7E9A"/>
    <w:rsid w:val="003B7EC7"/>
    <w:rsid w:val="003B7EE5"/>
    <w:rsid w:val="003B7F05"/>
    <w:rsid w:val="003C014D"/>
    <w:rsid w:val="003C0192"/>
    <w:rsid w:val="003C0223"/>
    <w:rsid w:val="003C0243"/>
    <w:rsid w:val="003C028D"/>
    <w:rsid w:val="003C031C"/>
    <w:rsid w:val="003C0479"/>
    <w:rsid w:val="003C04DD"/>
    <w:rsid w:val="003C0505"/>
    <w:rsid w:val="003C0551"/>
    <w:rsid w:val="003C07E5"/>
    <w:rsid w:val="003C07ED"/>
    <w:rsid w:val="003C0825"/>
    <w:rsid w:val="003C0849"/>
    <w:rsid w:val="003C09CB"/>
    <w:rsid w:val="003C0AB9"/>
    <w:rsid w:val="003C0B59"/>
    <w:rsid w:val="003C0BE9"/>
    <w:rsid w:val="003C0C99"/>
    <w:rsid w:val="003C0CD2"/>
    <w:rsid w:val="003C0CE9"/>
    <w:rsid w:val="003C0CF6"/>
    <w:rsid w:val="003C0D4B"/>
    <w:rsid w:val="003C0DD5"/>
    <w:rsid w:val="003C0F86"/>
    <w:rsid w:val="003C0F9F"/>
    <w:rsid w:val="003C1024"/>
    <w:rsid w:val="003C1200"/>
    <w:rsid w:val="003C12AA"/>
    <w:rsid w:val="003C146C"/>
    <w:rsid w:val="003C1494"/>
    <w:rsid w:val="003C150A"/>
    <w:rsid w:val="003C1595"/>
    <w:rsid w:val="003C1598"/>
    <w:rsid w:val="003C15E3"/>
    <w:rsid w:val="003C166A"/>
    <w:rsid w:val="003C1679"/>
    <w:rsid w:val="003C1693"/>
    <w:rsid w:val="003C1694"/>
    <w:rsid w:val="003C1760"/>
    <w:rsid w:val="003C179A"/>
    <w:rsid w:val="003C182E"/>
    <w:rsid w:val="003C18D6"/>
    <w:rsid w:val="003C1A4A"/>
    <w:rsid w:val="003C1B07"/>
    <w:rsid w:val="003C1B8B"/>
    <w:rsid w:val="003C1C42"/>
    <w:rsid w:val="003C1D48"/>
    <w:rsid w:val="003C1E75"/>
    <w:rsid w:val="003C1E99"/>
    <w:rsid w:val="003C1EB9"/>
    <w:rsid w:val="003C1F68"/>
    <w:rsid w:val="003C209D"/>
    <w:rsid w:val="003C20EE"/>
    <w:rsid w:val="003C211D"/>
    <w:rsid w:val="003C2169"/>
    <w:rsid w:val="003C2178"/>
    <w:rsid w:val="003C2299"/>
    <w:rsid w:val="003C22A3"/>
    <w:rsid w:val="003C22D2"/>
    <w:rsid w:val="003C236C"/>
    <w:rsid w:val="003C23B6"/>
    <w:rsid w:val="003C23D2"/>
    <w:rsid w:val="003C23E0"/>
    <w:rsid w:val="003C247B"/>
    <w:rsid w:val="003C2897"/>
    <w:rsid w:val="003C28E9"/>
    <w:rsid w:val="003C29CA"/>
    <w:rsid w:val="003C2A1C"/>
    <w:rsid w:val="003C2A3C"/>
    <w:rsid w:val="003C2AB8"/>
    <w:rsid w:val="003C2BD9"/>
    <w:rsid w:val="003C2CF2"/>
    <w:rsid w:val="003C2DA2"/>
    <w:rsid w:val="003C2DE7"/>
    <w:rsid w:val="003C2EB4"/>
    <w:rsid w:val="003C2F17"/>
    <w:rsid w:val="003C2FC6"/>
    <w:rsid w:val="003C3029"/>
    <w:rsid w:val="003C308D"/>
    <w:rsid w:val="003C3114"/>
    <w:rsid w:val="003C31E6"/>
    <w:rsid w:val="003C34A0"/>
    <w:rsid w:val="003C3803"/>
    <w:rsid w:val="003C386E"/>
    <w:rsid w:val="003C3903"/>
    <w:rsid w:val="003C390A"/>
    <w:rsid w:val="003C3A1E"/>
    <w:rsid w:val="003C3C54"/>
    <w:rsid w:val="003C3C8B"/>
    <w:rsid w:val="003C3CD6"/>
    <w:rsid w:val="003C3CEC"/>
    <w:rsid w:val="003C3D32"/>
    <w:rsid w:val="003C3D52"/>
    <w:rsid w:val="003C3FDE"/>
    <w:rsid w:val="003C4166"/>
    <w:rsid w:val="003C416F"/>
    <w:rsid w:val="003C41FE"/>
    <w:rsid w:val="003C4342"/>
    <w:rsid w:val="003C4414"/>
    <w:rsid w:val="003C44CA"/>
    <w:rsid w:val="003C45C5"/>
    <w:rsid w:val="003C4605"/>
    <w:rsid w:val="003C463A"/>
    <w:rsid w:val="003C46DD"/>
    <w:rsid w:val="003C480A"/>
    <w:rsid w:val="003C48A0"/>
    <w:rsid w:val="003C48DF"/>
    <w:rsid w:val="003C496F"/>
    <w:rsid w:val="003C49B0"/>
    <w:rsid w:val="003C49E8"/>
    <w:rsid w:val="003C4A59"/>
    <w:rsid w:val="003C4A76"/>
    <w:rsid w:val="003C4AC1"/>
    <w:rsid w:val="003C4BC8"/>
    <w:rsid w:val="003C4CD7"/>
    <w:rsid w:val="003C4D3F"/>
    <w:rsid w:val="003C4DB6"/>
    <w:rsid w:val="003C4E9C"/>
    <w:rsid w:val="003C4EB1"/>
    <w:rsid w:val="003C4EC9"/>
    <w:rsid w:val="003C4F6F"/>
    <w:rsid w:val="003C505B"/>
    <w:rsid w:val="003C51F4"/>
    <w:rsid w:val="003C5272"/>
    <w:rsid w:val="003C52B1"/>
    <w:rsid w:val="003C53FD"/>
    <w:rsid w:val="003C5480"/>
    <w:rsid w:val="003C55F2"/>
    <w:rsid w:val="003C5724"/>
    <w:rsid w:val="003C5752"/>
    <w:rsid w:val="003C578B"/>
    <w:rsid w:val="003C57DC"/>
    <w:rsid w:val="003C57EF"/>
    <w:rsid w:val="003C5823"/>
    <w:rsid w:val="003C59E3"/>
    <w:rsid w:val="003C5A50"/>
    <w:rsid w:val="003C5B85"/>
    <w:rsid w:val="003C5C3C"/>
    <w:rsid w:val="003C5CAB"/>
    <w:rsid w:val="003C5D41"/>
    <w:rsid w:val="003C5D60"/>
    <w:rsid w:val="003C5F96"/>
    <w:rsid w:val="003C5FE1"/>
    <w:rsid w:val="003C60A2"/>
    <w:rsid w:val="003C60A3"/>
    <w:rsid w:val="003C60B1"/>
    <w:rsid w:val="003C6377"/>
    <w:rsid w:val="003C64F8"/>
    <w:rsid w:val="003C6569"/>
    <w:rsid w:val="003C66A4"/>
    <w:rsid w:val="003C69E7"/>
    <w:rsid w:val="003C69EF"/>
    <w:rsid w:val="003C6A31"/>
    <w:rsid w:val="003C6A49"/>
    <w:rsid w:val="003C6A50"/>
    <w:rsid w:val="003C6BA9"/>
    <w:rsid w:val="003C6CB4"/>
    <w:rsid w:val="003C6D0D"/>
    <w:rsid w:val="003C6D77"/>
    <w:rsid w:val="003C6D8F"/>
    <w:rsid w:val="003C6DE6"/>
    <w:rsid w:val="003C6DF6"/>
    <w:rsid w:val="003C6E72"/>
    <w:rsid w:val="003C6F0F"/>
    <w:rsid w:val="003C7017"/>
    <w:rsid w:val="003C70A0"/>
    <w:rsid w:val="003C70DE"/>
    <w:rsid w:val="003C7179"/>
    <w:rsid w:val="003C71CF"/>
    <w:rsid w:val="003C7220"/>
    <w:rsid w:val="003C724C"/>
    <w:rsid w:val="003C7519"/>
    <w:rsid w:val="003C7525"/>
    <w:rsid w:val="003C753F"/>
    <w:rsid w:val="003C7582"/>
    <w:rsid w:val="003C7638"/>
    <w:rsid w:val="003C764B"/>
    <w:rsid w:val="003C76C2"/>
    <w:rsid w:val="003C7749"/>
    <w:rsid w:val="003C780D"/>
    <w:rsid w:val="003C789D"/>
    <w:rsid w:val="003C78CE"/>
    <w:rsid w:val="003C78E5"/>
    <w:rsid w:val="003C7A3F"/>
    <w:rsid w:val="003C7A5A"/>
    <w:rsid w:val="003C7A7D"/>
    <w:rsid w:val="003C7B7D"/>
    <w:rsid w:val="003C7BE1"/>
    <w:rsid w:val="003C7CA6"/>
    <w:rsid w:val="003C7CB5"/>
    <w:rsid w:val="003C7DAB"/>
    <w:rsid w:val="003C7ECA"/>
    <w:rsid w:val="003C7F5C"/>
    <w:rsid w:val="003D0084"/>
    <w:rsid w:val="003D00CE"/>
    <w:rsid w:val="003D00E2"/>
    <w:rsid w:val="003D0125"/>
    <w:rsid w:val="003D01C6"/>
    <w:rsid w:val="003D0260"/>
    <w:rsid w:val="003D03A1"/>
    <w:rsid w:val="003D0421"/>
    <w:rsid w:val="003D0537"/>
    <w:rsid w:val="003D059B"/>
    <w:rsid w:val="003D06C3"/>
    <w:rsid w:val="003D08DF"/>
    <w:rsid w:val="003D0A4F"/>
    <w:rsid w:val="003D0A95"/>
    <w:rsid w:val="003D0ABC"/>
    <w:rsid w:val="003D0AE3"/>
    <w:rsid w:val="003D0B9C"/>
    <w:rsid w:val="003D0B9E"/>
    <w:rsid w:val="003D0C31"/>
    <w:rsid w:val="003D0C3B"/>
    <w:rsid w:val="003D0D83"/>
    <w:rsid w:val="003D0E64"/>
    <w:rsid w:val="003D0E98"/>
    <w:rsid w:val="003D0EC1"/>
    <w:rsid w:val="003D0F35"/>
    <w:rsid w:val="003D0FCD"/>
    <w:rsid w:val="003D0FD7"/>
    <w:rsid w:val="003D1047"/>
    <w:rsid w:val="003D1192"/>
    <w:rsid w:val="003D131F"/>
    <w:rsid w:val="003D1578"/>
    <w:rsid w:val="003D1690"/>
    <w:rsid w:val="003D1845"/>
    <w:rsid w:val="003D1876"/>
    <w:rsid w:val="003D18A3"/>
    <w:rsid w:val="003D192F"/>
    <w:rsid w:val="003D1A6E"/>
    <w:rsid w:val="003D1C49"/>
    <w:rsid w:val="003D1CD3"/>
    <w:rsid w:val="003D1CDB"/>
    <w:rsid w:val="003D1CF6"/>
    <w:rsid w:val="003D1EFE"/>
    <w:rsid w:val="003D2022"/>
    <w:rsid w:val="003D2083"/>
    <w:rsid w:val="003D20C4"/>
    <w:rsid w:val="003D2130"/>
    <w:rsid w:val="003D2376"/>
    <w:rsid w:val="003D244E"/>
    <w:rsid w:val="003D257D"/>
    <w:rsid w:val="003D25C5"/>
    <w:rsid w:val="003D273A"/>
    <w:rsid w:val="003D284E"/>
    <w:rsid w:val="003D28AE"/>
    <w:rsid w:val="003D2921"/>
    <w:rsid w:val="003D2C1D"/>
    <w:rsid w:val="003D2DCD"/>
    <w:rsid w:val="003D2E68"/>
    <w:rsid w:val="003D2F0A"/>
    <w:rsid w:val="003D2F3A"/>
    <w:rsid w:val="003D2FA5"/>
    <w:rsid w:val="003D2FCE"/>
    <w:rsid w:val="003D30A4"/>
    <w:rsid w:val="003D3111"/>
    <w:rsid w:val="003D324D"/>
    <w:rsid w:val="003D32DA"/>
    <w:rsid w:val="003D3341"/>
    <w:rsid w:val="003D341E"/>
    <w:rsid w:val="003D347B"/>
    <w:rsid w:val="003D34B0"/>
    <w:rsid w:val="003D34D1"/>
    <w:rsid w:val="003D35E9"/>
    <w:rsid w:val="003D372B"/>
    <w:rsid w:val="003D37F5"/>
    <w:rsid w:val="003D3851"/>
    <w:rsid w:val="003D3869"/>
    <w:rsid w:val="003D3924"/>
    <w:rsid w:val="003D39B4"/>
    <w:rsid w:val="003D3A58"/>
    <w:rsid w:val="003D3B01"/>
    <w:rsid w:val="003D3B4A"/>
    <w:rsid w:val="003D3C83"/>
    <w:rsid w:val="003D3C9A"/>
    <w:rsid w:val="003D3DBD"/>
    <w:rsid w:val="003D3E3B"/>
    <w:rsid w:val="003D3E82"/>
    <w:rsid w:val="003D3F45"/>
    <w:rsid w:val="003D3F92"/>
    <w:rsid w:val="003D3FA3"/>
    <w:rsid w:val="003D400B"/>
    <w:rsid w:val="003D402D"/>
    <w:rsid w:val="003D40E9"/>
    <w:rsid w:val="003D4248"/>
    <w:rsid w:val="003D428F"/>
    <w:rsid w:val="003D42AA"/>
    <w:rsid w:val="003D437B"/>
    <w:rsid w:val="003D43C4"/>
    <w:rsid w:val="003D443D"/>
    <w:rsid w:val="003D4460"/>
    <w:rsid w:val="003D4496"/>
    <w:rsid w:val="003D44F3"/>
    <w:rsid w:val="003D45A7"/>
    <w:rsid w:val="003D4636"/>
    <w:rsid w:val="003D4912"/>
    <w:rsid w:val="003D4A56"/>
    <w:rsid w:val="003D4B07"/>
    <w:rsid w:val="003D4C16"/>
    <w:rsid w:val="003D4DA5"/>
    <w:rsid w:val="003D4F9C"/>
    <w:rsid w:val="003D526C"/>
    <w:rsid w:val="003D54EB"/>
    <w:rsid w:val="003D55C9"/>
    <w:rsid w:val="003D55F2"/>
    <w:rsid w:val="003D560D"/>
    <w:rsid w:val="003D5650"/>
    <w:rsid w:val="003D56A8"/>
    <w:rsid w:val="003D5772"/>
    <w:rsid w:val="003D5789"/>
    <w:rsid w:val="003D57B2"/>
    <w:rsid w:val="003D5821"/>
    <w:rsid w:val="003D5827"/>
    <w:rsid w:val="003D58DE"/>
    <w:rsid w:val="003D58E0"/>
    <w:rsid w:val="003D59E3"/>
    <w:rsid w:val="003D5DBC"/>
    <w:rsid w:val="003D5DF9"/>
    <w:rsid w:val="003D5F60"/>
    <w:rsid w:val="003D6063"/>
    <w:rsid w:val="003D609F"/>
    <w:rsid w:val="003D60BB"/>
    <w:rsid w:val="003D61DF"/>
    <w:rsid w:val="003D61E2"/>
    <w:rsid w:val="003D62AC"/>
    <w:rsid w:val="003D6502"/>
    <w:rsid w:val="003D6552"/>
    <w:rsid w:val="003D658F"/>
    <w:rsid w:val="003D659A"/>
    <w:rsid w:val="003D6628"/>
    <w:rsid w:val="003D672B"/>
    <w:rsid w:val="003D6831"/>
    <w:rsid w:val="003D6928"/>
    <w:rsid w:val="003D6A01"/>
    <w:rsid w:val="003D6A24"/>
    <w:rsid w:val="003D6A3B"/>
    <w:rsid w:val="003D6A3E"/>
    <w:rsid w:val="003D6C11"/>
    <w:rsid w:val="003D6CB8"/>
    <w:rsid w:val="003D6D4E"/>
    <w:rsid w:val="003D6DB8"/>
    <w:rsid w:val="003D6DCE"/>
    <w:rsid w:val="003D6F44"/>
    <w:rsid w:val="003D6F99"/>
    <w:rsid w:val="003D7014"/>
    <w:rsid w:val="003D70E3"/>
    <w:rsid w:val="003D7344"/>
    <w:rsid w:val="003D7388"/>
    <w:rsid w:val="003D73BD"/>
    <w:rsid w:val="003D740B"/>
    <w:rsid w:val="003D744E"/>
    <w:rsid w:val="003D747B"/>
    <w:rsid w:val="003D7554"/>
    <w:rsid w:val="003D7572"/>
    <w:rsid w:val="003D763C"/>
    <w:rsid w:val="003D768E"/>
    <w:rsid w:val="003D76EB"/>
    <w:rsid w:val="003D7720"/>
    <w:rsid w:val="003D77F0"/>
    <w:rsid w:val="003D78D4"/>
    <w:rsid w:val="003D7A6D"/>
    <w:rsid w:val="003D7A80"/>
    <w:rsid w:val="003D7AC2"/>
    <w:rsid w:val="003D7B2C"/>
    <w:rsid w:val="003D7B48"/>
    <w:rsid w:val="003D7C7A"/>
    <w:rsid w:val="003D7C80"/>
    <w:rsid w:val="003D7CDF"/>
    <w:rsid w:val="003D7D31"/>
    <w:rsid w:val="003D7D91"/>
    <w:rsid w:val="003D7D9E"/>
    <w:rsid w:val="003D7E17"/>
    <w:rsid w:val="003D7E45"/>
    <w:rsid w:val="003E0080"/>
    <w:rsid w:val="003E00C7"/>
    <w:rsid w:val="003E0361"/>
    <w:rsid w:val="003E03D5"/>
    <w:rsid w:val="003E0410"/>
    <w:rsid w:val="003E0591"/>
    <w:rsid w:val="003E05E2"/>
    <w:rsid w:val="003E0754"/>
    <w:rsid w:val="003E07A1"/>
    <w:rsid w:val="003E0893"/>
    <w:rsid w:val="003E0951"/>
    <w:rsid w:val="003E0993"/>
    <w:rsid w:val="003E0A04"/>
    <w:rsid w:val="003E0BA1"/>
    <w:rsid w:val="003E0CD0"/>
    <w:rsid w:val="003E0D54"/>
    <w:rsid w:val="003E0E02"/>
    <w:rsid w:val="003E0EEB"/>
    <w:rsid w:val="003E0F1A"/>
    <w:rsid w:val="003E0F95"/>
    <w:rsid w:val="003E0FD7"/>
    <w:rsid w:val="003E105B"/>
    <w:rsid w:val="003E13F8"/>
    <w:rsid w:val="003E142C"/>
    <w:rsid w:val="003E14AF"/>
    <w:rsid w:val="003E15D6"/>
    <w:rsid w:val="003E1726"/>
    <w:rsid w:val="003E1763"/>
    <w:rsid w:val="003E17A8"/>
    <w:rsid w:val="003E180A"/>
    <w:rsid w:val="003E1847"/>
    <w:rsid w:val="003E18D9"/>
    <w:rsid w:val="003E1917"/>
    <w:rsid w:val="003E1B08"/>
    <w:rsid w:val="003E1BC8"/>
    <w:rsid w:val="003E1C0D"/>
    <w:rsid w:val="003E1C58"/>
    <w:rsid w:val="003E1C7D"/>
    <w:rsid w:val="003E1C81"/>
    <w:rsid w:val="003E1CD2"/>
    <w:rsid w:val="003E1DA1"/>
    <w:rsid w:val="003E1F06"/>
    <w:rsid w:val="003E2132"/>
    <w:rsid w:val="003E21F7"/>
    <w:rsid w:val="003E226C"/>
    <w:rsid w:val="003E2284"/>
    <w:rsid w:val="003E2302"/>
    <w:rsid w:val="003E2335"/>
    <w:rsid w:val="003E2370"/>
    <w:rsid w:val="003E240D"/>
    <w:rsid w:val="003E259A"/>
    <w:rsid w:val="003E25E2"/>
    <w:rsid w:val="003E266D"/>
    <w:rsid w:val="003E267F"/>
    <w:rsid w:val="003E287E"/>
    <w:rsid w:val="003E28EE"/>
    <w:rsid w:val="003E2913"/>
    <w:rsid w:val="003E2966"/>
    <w:rsid w:val="003E298E"/>
    <w:rsid w:val="003E2A5E"/>
    <w:rsid w:val="003E2B98"/>
    <w:rsid w:val="003E2BF6"/>
    <w:rsid w:val="003E2D1E"/>
    <w:rsid w:val="003E2D52"/>
    <w:rsid w:val="003E2E06"/>
    <w:rsid w:val="003E2F39"/>
    <w:rsid w:val="003E31BB"/>
    <w:rsid w:val="003E329D"/>
    <w:rsid w:val="003E338F"/>
    <w:rsid w:val="003E3460"/>
    <w:rsid w:val="003E348E"/>
    <w:rsid w:val="003E34E5"/>
    <w:rsid w:val="003E35F0"/>
    <w:rsid w:val="003E36FB"/>
    <w:rsid w:val="003E3751"/>
    <w:rsid w:val="003E38D6"/>
    <w:rsid w:val="003E38EF"/>
    <w:rsid w:val="003E3A03"/>
    <w:rsid w:val="003E3A21"/>
    <w:rsid w:val="003E3A49"/>
    <w:rsid w:val="003E3A61"/>
    <w:rsid w:val="003E3BA0"/>
    <w:rsid w:val="003E3BA1"/>
    <w:rsid w:val="003E3C00"/>
    <w:rsid w:val="003E3C0C"/>
    <w:rsid w:val="003E3C5B"/>
    <w:rsid w:val="003E3D51"/>
    <w:rsid w:val="003E3F10"/>
    <w:rsid w:val="003E4092"/>
    <w:rsid w:val="003E40E6"/>
    <w:rsid w:val="003E4132"/>
    <w:rsid w:val="003E4253"/>
    <w:rsid w:val="003E42D0"/>
    <w:rsid w:val="003E44BD"/>
    <w:rsid w:val="003E4594"/>
    <w:rsid w:val="003E4638"/>
    <w:rsid w:val="003E463D"/>
    <w:rsid w:val="003E466E"/>
    <w:rsid w:val="003E469B"/>
    <w:rsid w:val="003E4734"/>
    <w:rsid w:val="003E47E5"/>
    <w:rsid w:val="003E48C9"/>
    <w:rsid w:val="003E48E1"/>
    <w:rsid w:val="003E49BA"/>
    <w:rsid w:val="003E49E8"/>
    <w:rsid w:val="003E4B99"/>
    <w:rsid w:val="003E4BB5"/>
    <w:rsid w:val="003E4C0A"/>
    <w:rsid w:val="003E4CAD"/>
    <w:rsid w:val="003E4CCA"/>
    <w:rsid w:val="003E4E59"/>
    <w:rsid w:val="003E4ECE"/>
    <w:rsid w:val="003E5112"/>
    <w:rsid w:val="003E513D"/>
    <w:rsid w:val="003E5155"/>
    <w:rsid w:val="003E5165"/>
    <w:rsid w:val="003E5211"/>
    <w:rsid w:val="003E5215"/>
    <w:rsid w:val="003E5240"/>
    <w:rsid w:val="003E52CC"/>
    <w:rsid w:val="003E5317"/>
    <w:rsid w:val="003E5358"/>
    <w:rsid w:val="003E535E"/>
    <w:rsid w:val="003E5443"/>
    <w:rsid w:val="003E5637"/>
    <w:rsid w:val="003E5638"/>
    <w:rsid w:val="003E5760"/>
    <w:rsid w:val="003E5843"/>
    <w:rsid w:val="003E585C"/>
    <w:rsid w:val="003E5893"/>
    <w:rsid w:val="003E5982"/>
    <w:rsid w:val="003E59E1"/>
    <w:rsid w:val="003E5B45"/>
    <w:rsid w:val="003E5C01"/>
    <w:rsid w:val="003E5C8E"/>
    <w:rsid w:val="003E5CAF"/>
    <w:rsid w:val="003E5D08"/>
    <w:rsid w:val="003E5E1C"/>
    <w:rsid w:val="003E5EA4"/>
    <w:rsid w:val="003E5F3B"/>
    <w:rsid w:val="003E5FFB"/>
    <w:rsid w:val="003E5FFE"/>
    <w:rsid w:val="003E61A0"/>
    <w:rsid w:val="003E627D"/>
    <w:rsid w:val="003E639C"/>
    <w:rsid w:val="003E639D"/>
    <w:rsid w:val="003E6430"/>
    <w:rsid w:val="003E6463"/>
    <w:rsid w:val="003E64F6"/>
    <w:rsid w:val="003E65BB"/>
    <w:rsid w:val="003E65F7"/>
    <w:rsid w:val="003E6698"/>
    <w:rsid w:val="003E66BA"/>
    <w:rsid w:val="003E66FB"/>
    <w:rsid w:val="003E67E4"/>
    <w:rsid w:val="003E683D"/>
    <w:rsid w:val="003E6941"/>
    <w:rsid w:val="003E69D7"/>
    <w:rsid w:val="003E6A41"/>
    <w:rsid w:val="003E6A5E"/>
    <w:rsid w:val="003E6B54"/>
    <w:rsid w:val="003E6BD2"/>
    <w:rsid w:val="003E6CF5"/>
    <w:rsid w:val="003E6E24"/>
    <w:rsid w:val="003E6E6A"/>
    <w:rsid w:val="003E6E95"/>
    <w:rsid w:val="003E6ED2"/>
    <w:rsid w:val="003E6F15"/>
    <w:rsid w:val="003E701E"/>
    <w:rsid w:val="003E706A"/>
    <w:rsid w:val="003E7080"/>
    <w:rsid w:val="003E70F4"/>
    <w:rsid w:val="003E7118"/>
    <w:rsid w:val="003E713E"/>
    <w:rsid w:val="003E7220"/>
    <w:rsid w:val="003E724A"/>
    <w:rsid w:val="003E7341"/>
    <w:rsid w:val="003E75D6"/>
    <w:rsid w:val="003E76A0"/>
    <w:rsid w:val="003E76B2"/>
    <w:rsid w:val="003E78D3"/>
    <w:rsid w:val="003E7903"/>
    <w:rsid w:val="003E7931"/>
    <w:rsid w:val="003E7A68"/>
    <w:rsid w:val="003E7AB0"/>
    <w:rsid w:val="003E7AD9"/>
    <w:rsid w:val="003E7CD6"/>
    <w:rsid w:val="003E7D88"/>
    <w:rsid w:val="003E7EC3"/>
    <w:rsid w:val="003E7EDF"/>
    <w:rsid w:val="003E7EE8"/>
    <w:rsid w:val="003E7F49"/>
    <w:rsid w:val="003F001C"/>
    <w:rsid w:val="003F00DD"/>
    <w:rsid w:val="003F0130"/>
    <w:rsid w:val="003F026B"/>
    <w:rsid w:val="003F02F1"/>
    <w:rsid w:val="003F0341"/>
    <w:rsid w:val="003F04EB"/>
    <w:rsid w:val="003F0689"/>
    <w:rsid w:val="003F06CB"/>
    <w:rsid w:val="003F0763"/>
    <w:rsid w:val="003F089D"/>
    <w:rsid w:val="003F08C0"/>
    <w:rsid w:val="003F0959"/>
    <w:rsid w:val="003F0A0E"/>
    <w:rsid w:val="003F0B35"/>
    <w:rsid w:val="003F0B91"/>
    <w:rsid w:val="003F0BCD"/>
    <w:rsid w:val="003F0C6F"/>
    <w:rsid w:val="003F0C7B"/>
    <w:rsid w:val="003F0D13"/>
    <w:rsid w:val="003F0E03"/>
    <w:rsid w:val="003F0ED6"/>
    <w:rsid w:val="003F0F5E"/>
    <w:rsid w:val="003F0FC8"/>
    <w:rsid w:val="003F101B"/>
    <w:rsid w:val="003F10A9"/>
    <w:rsid w:val="003F11CD"/>
    <w:rsid w:val="003F11D4"/>
    <w:rsid w:val="003F122F"/>
    <w:rsid w:val="003F1282"/>
    <w:rsid w:val="003F1322"/>
    <w:rsid w:val="003F13BA"/>
    <w:rsid w:val="003F14AF"/>
    <w:rsid w:val="003F18B4"/>
    <w:rsid w:val="003F18DE"/>
    <w:rsid w:val="003F19C2"/>
    <w:rsid w:val="003F19FE"/>
    <w:rsid w:val="003F1B12"/>
    <w:rsid w:val="003F1D3B"/>
    <w:rsid w:val="003F1D48"/>
    <w:rsid w:val="003F1E12"/>
    <w:rsid w:val="003F1E9B"/>
    <w:rsid w:val="003F1F06"/>
    <w:rsid w:val="003F1F3E"/>
    <w:rsid w:val="003F1FD2"/>
    <w:rsid w:val="003F2074"/>
    <w:rsid w:val="003F2195"/>
    <w:rsid w:val="003F21A3"/>
    <w:rsid w:val="003F220D"/>
    <w:rsid w:val="003F2487"/>
    <w:rsid w:val="003F24F3"/>
    <w:rsid w:val="003F25AC"/>
    <w:rsid w:val="003F276C"/>
    <w:rsid w:val="003F2797"/>
    <w:rsid w:val="003F27AD"/>
    <w:rsid w:val="003F27D5"/>
    <w:rsid w:val="003F2976"/>
    <w:rsid w:val="003F29C7"/>
    <w:rsid w:val="003F2A58"/>
    <w:rsid w:val="003F2A8C"/>
    <w:rsid w:val="003F2B1D"/>
    <w:rsid w:val="003F2BD4"/>
    <w:rsid w:val="003F2C33"/>
    <w:rsid w:val="003F2DF4"/>
    <w:rsid w:val="003F2DFE"/>
    <w:rsid w:val="003F2E51"/>
    <w:rsid w:val="003F3081"/>
    <w:rsid w:val="003F30A4"/>
    <w:rsid w:val="003F312C"/>
    <w:rsid w:val="003F3188"/>
    <w:rsid w:val="003F31D2"/>
    <w:rsid w:val="003F3440"/>
    <w:rsid w:val="003F3554"/>
    <w:rsid w:val="003F35A0"/>
    <w:rsid w:val="003F35B5"/>
    <w:rsid w:val="003F3682"/>
    <w:rsid w:val="003F3714"/>
    <w:rsid w:val="003F3716"/>
    <w:rsid w:val="003F393F"/>
    <w:rsid w:val="003F3954"/>
    <w:rsid w:val="003F3A0C"/>
    <w:rsid w:val="003F3B20"/>
    <w:rsid w:val="003F3B2D"/>
    <w:rsid w:val="003F3C8B"/>
    <w:rsid w:val="003F3DC0"/>
    <w:rsid w:val="003F3E37"/>
    <w:rsid w:val="003F3E44"/>
    <w:rsid w:val="003F3E4A"/>
    <w:rsid w:val="003F3E5D"/>
    <w:rsid w:val="003F3F0E"/>
    <w:rsid w:val="003F3FB3"/>
    <w:rsid w:val="003F4088"/>
    <w:rsid w:val="003F40CB"/>
    <w:rsid w:val="003F435A"/>
    <w:rsid w:val="003F4362"/>
    <w:rsid w:val="003F4499"/>
    <w:rsid w:val="003F44CB"/>
    <w:rsid w:val="003F45E4"/>
    <w:rsid w:val="003F461B"/>
    <w:rsid w:val="003F468E"/>
    <w:rsid w:val="003F46BD"/>
    <w:rsid w:val="003F474F"/>
    <w:rsid w:val="003F4762"/>
    <w:rsid w:val="003F4781"/>
    <w:rsid w:val="003F4845"/>
    <w:rsid w:val="003F48CC"/>
    <w:rsid w:val="003F4A1D"/>
    <w:rsid w:val="003F4A3C"/>
    <w:rsid w:val="003F4B13"/>
    <w:rsid w:val="003F4B3D"/>
    <w:rsid w:val="003F4B6C"/>
    <w:rsid w:val="003F4B9C"/>
    <w:rsid w:val="003F4D8C"/>
    <w:rsid w:val="003F4D99"/>
    <w:rsid w:val="003F4DBE"/>
    <w:rsid w:val="003F4EEA"/>
    <w:rsid w:val="003F4F45"/>
    <w:rsid w:val="003F4F98"/>
    <w:rsid w:val="003F502B"/>
    <w:rsid w:val="003F50A2"/>
    <w:rsid w:val="003F5138"/>
    <w:rsid w:val="003F524E"/>
    <w:rsid w:val="003F5546"/>
    <w:rsid w:val="003F557E"/>
    <w:rsid w:val="003F5590"/>
    <w:rsid w:val="003F5655"/>
    <w:rsid w:val="003F583D"/>
    <w:rsid w:val="003F5958"/>
    <w:rsid w:val="003F59DE"/>
    <w:rsid w:val="003F5A13"/>
    <w:rsid w:val="003F5A84"/>
    <w:rsid w:val="003F5AB3"/>
    <w:rsid w:val="003F5ACA"/>
    <w:rsid w:val="003F5BFF"/>
    <w:rsid w:val="003F5C06"/>
    <w:rsid w:val="003F5C81"/>
    <w:rsid w:val="003F5CEB"/>
    <w:rsid w:val="003F5D6C"/>
    <w:rsid w:val="003F5EFA"/>
    <w:rsid w:val="003F5F8B"/>
    <w:rsid w:val="003F5F93"/>
    <w:rsid w:val="003F5FDC"/>
    <w:rsid w:val="003F5FEC"/>
    <w:rsid w:val="003F60DB"/>
    <w:rsid w:val="003F6101"/>
    <w:rsid w:val="003F622E"/>
    <w:rsid w:val="003F62D6"/>
    <w:rsid w:val="003F6387"/>
    <w:rsid w:val="003F6429"/>
    <w:rsid w:val="003F64F7"/>
    <w:rsid w:val="003F6698"/>
    <w:rsid w:val="003F6766"/>
    <w:rsid w:val="003F677F"/>
    <w:rsid w:val="003F67AB"/>
    <w:rsid w:val="003F684F"/>
    <w:rsid w:val="003F6869"/>
    <w:rsid w:val="003F6878"/>
    <w:rsid w:val="003F68D1"/>
    <w:rsid w:val="003F68E8"/>
    <w:rsid w:val="003F6938"/>
    <w:rsid w:val="003F6953"/>
    <w:rsid w:val="003F6A37"/>
    <w:rsid w:val="003F6B3A"/>
    <w:rsid w:val="003F6B95"/>
    <w:rsid w:val="003F6BF4"/>
    <w:rsid w:val="003F6C49"/>
    <w:rsid w:val="003F6DFF"/>
    <w:rsid w:val="003F6EC0"/>
    <w:rsid w:val="003F6F2D"/>
    <w:rsid w:val="003F6F7D"/>
    <w:rsid w:val="003F6FBB"/>
    <w:rsid w:val="003F7152"/>
    <w:rsid w:val="003F71ED"/>
    <w:rsid w:val="003F727A"/>
    <w:rsid w:val="003F72B6"/>
    <w:rsid w:val="003F72C5"/>
    <w:rsid w:val="003F7325"/>
    <w:rsid w:val="003F737B"/>
    <w:rsid w:val="003F737C"/>
    <w:rsid w:val="003F7432"/>
    <w:rsid w:val="003F74A2"/>
    <w:rsid w:val="003F75C0"/>
    <w:rsid w:val="003F7806"/>
    <w:rsid w:val="003F7851"/>
    <w:rsid w:val="003F7937"/>
    <w:rsid w:val="003F79C8"/>
    <w:rsid w:val="003F7A27"/>
    <w:rsid w:val="003F7BDD"/>
    <w:rsid w:val="003F7CC5"/>
    <w:rsid w:val="003F7D53"/>
    <w:rsid w:val="003F7EF1"/>
    <w:rsid w:val="00400257"/>
    <w:rsid w:val="0040047D"/>
    <w:rsid w:val="00400535"/>
    <w:rsid w:val="0040056E"/>
    <w:rsid w:val="004005EE"/>
    <w:rsid w:val="00400615"/>
    <w:rsid w:val="0040067C"/>
    <w:rsid w:val="004007DE"/>
    <w:rsid w:val="00400827"/>
    <w:rsid w:val="00400886"/>
    <w:rsid w:val="00400974"/>
    <w:rsid w:val="004009DC"/>
    <w:rsid w:val="00400A39"/>
    <w:rsid w:val="00400BDA"/>
    <w:rsid w:val="00400D47"/>
    <w:rsid w:val="00400D68"/>
    <w:rsid w:val="00400E3F"/>
    <w:rsid w:val="00400EDA"/>
    <w:rsid w:val="00400F17"/>
    <w:rsid w:val="00400FAC"/>
    <w:rsid w:val="0040118C"/>
    <w:rsid w:val="00401261"/>
    <w:rsid w:val="00401265"/>
    <w:rsid w:val="00401282"/>
    <w:rsid w:val="004013FC"/>
    <w:rsid w:val="00401456"/>
    <w:rsid w:val="00401520"/>
    <w:rsid w:val="0040152F"/>
    <w:rsid w:val="004015EB"/>
    <w:rsid w:val="0040171C"/>
    <w:rsid w:val="0040173F"/>
    <w:rsid w:val="00401810"/>
    <w:rsid w:val="00401878"/>
    <w:rsid w:val="00401928"/>
    <w:rsid w:val="00401A15"/>
    <w:rsid w:val="00401A1F"/>
    <w:rsid w:val="00401A63"/>
    <w:rsid w:val="00401B23"/>
    <w:rsid w:val="00401CCE"/>
    <w:rsid w:val="00401CF1"/>
    <w:rsid w:val="00401E93"/>
    <w:rsid w:val="00401ECA"/>
    <w:rsid w:val="00401ED0"/>
    <w:rsid w:val="00401EDB"/>
    <w:rsid w:val="00401F23"/>
    <w:rsid w:val="00401FC9"/>
    <w:rsid w:val="00401FF3"/>
    <w:rsid w:val="00402012"/>
    <w:rsid w:val="00402048"/>
    <w:rsid w:val="0040213A"/>
    <w:rsid w:val="004022D7"/>
    <w:rsid w:val="004023AE"/>
    <w:rsid w:val="004023DB"/>
    <w:rsid w:val="00402470"/>
    <w:rsid w:val="00402476"/>
    <w:rsid w:val="004024B8"/>
    <w:rsid w:val="004024C6"/>
    <w:rsid w:val="004025AD"/>
    <w:rsid w:val="004025E4"/>
    <w:rsid w:val="00402629"/>
    <w:rsid w:val="0040267F"/>
    <w:rsid w:val="004026B7"/>
    <w:rsid w:val="00402780"/>
    <w:rsid w:val="0040286D"/>
    <w:rsid w:val="004028DB"/>
    <w:rsid w:val="00402903"/>
    <w:rsid w:val="004029E1"/>
    <w:rsid w:val="00402A0F"/>
    <w:rsid w:val="00402AB0"/>
    <w:rsid w:val="00402AC9"/>
    <w:rsid w:val="00402BB0"/>
    <w:rsid w:val="00402BCC"/>
    <w:rsid w:val="00402CB0"/>
    <w:rsid w:val="00402D22"/>
    <w:rsid w:val="00402D68"/>
    <w:rsid w:val="00402E21"/>
    <w:rsid w:val="00402EB3"/>
    <w:rsid w:val="00402F0E"/>
    <w:rsid w:val="00402F49"/>
    <w:rsid w:val="00402FB8"/>
    <w:rsid w:val="00403024"/>
    <w:rsid w:val="0040305C"/>
    <w:rsid w:val="004030F7"/>
    <w:rsid w:val="004030FA"/>
    <w:rsid w:val="004031FB"/>
    <w:rsid w:val="004031FE"/>
    <w:rsid w:val="00403229"/>
    <w:rsid w:val="00403231"/>
    <w:rsid w:val="0040326B"/>
    <w:rsid w:val="004032DE"/>
    <w:rsid w:val="004032FD"/>
    <w:rsid w:val="004033C7"/>
    <w:rsid w:val="00403420"/>
    <w:rsid w:val="00403488"/>
    <w:rsid w:val="004034A1"/>
    <w:rsid w:val="004034EF"/>
    <w:rsid w:val="00403574"/>
    <w:rsid w:val="004035D3"/>
    <w:rsid w:val="00403651"/>
    <w:rsid w:val="00403692"/>
    <w:rsid w:val="004038A2"/>
    <w:rsid w:val="00403915"/>
    <w:rsid w:val="00403956"/>
    <w:rsid w:val="004039B9"/>
    <w:rsid w:val="00403AD0"/>
    <w:rsid w:val="00403B65"/>
    <w:rsid w:val="00403B8F"/>
    <w:rsid w:val="00403C19"/>
    <w:rsid w:val="00403E49"/>
    <w:rsid w:val="00403E4B"/>
    <w:rsid w:val="00403E6B"/>
    <w:rsid w:val="00403EB0"/>
    <w:rsid w:val="00403FAF"/>
    <w:rsid w:val="00404122"/>
    <w:rsid w:val="004041B4"/>
    <w:rsid w:val="004041D8"/>
    <w:rsid w:val="004043BB"/>
    <w:rsid w:val="004043D1"/>
    <w:rsid w:val="00404431"/>
    <w:rsid w:val="00404446"/>
    <w:rsid w:val="00404453"/>
    <w:rsid w:val="00404455"/>
    <w:rsid w:val="0040450E"/>
    <w:rsid w:val="0040465F"/>
    <w:rsid w:val="0040497F"/>
    <w:rsid w:val="004049A8"/>
    <w:rsid w:val="004049F8"/>
    <w:rsid w:val="00404ACA"/>
    <w:rsid w:val="00404ADD"/>
    <w:rsid w:val="00404BC9"/>
    <w:rsid w:val="00404C15"/>
    <w:rsid w:val="00404C57"/>
    <w:rsid w:val="00404C78"/>
    <w:rsid w:val="00404CF0"/>
    <w:rsid w:val="00404DB0"/>
    <w:rsid w:val="00404E2C"/>
    <w:rsid w:val="00405031"/>
    <w:rsid w:val="00405098"/>
    <w:rsid w:val="004051AE"/>
    <w:rsid w:val="00405202"/>
    <w:rsid w:val="004053BD"/>
    <w:rsid w:val="00405428"/>
    <w:rsid w:val="004054D4"/>
    <w:rsid w:val="004054F7"/>
    <w:rsid w:val="0040554B"/>
    <w:rsid w:val="00405764"/>
    <w:rsid w:val="004058FA"/>
    <w:rsid w:val="0040594A"/>
    <w:rsid w:val="00405A0A"/>
    <w:rsid w:val="00405B0F"/>
    <w:rsid w:val="00405BB6"/>
    <w:rsid w:val="00405CC5"/>
    <w:rsid w:val="00405D2C"/>
    <w:rsid w:val="00405DBD"/>
    <w:rsid w:val="00405DF2"/>
    <w:rsid w:val="00406091"/>
    <w:rsid w:val="004060F5"/>
    <w:rsid w:val="00406139"/>
    <w:rsid w:val="004063F0"/>
    <w:rsid w:val="004063FC"/>
    <w:rsid w:val="004065C9"/>
    <w:rsid w:val="004065EE"/>
    <w:rsid w:val="00406630"/>
    <w:rsid w:val="004066D5"/>
    <w:rsid w:val="004067AD"/>
    <w:rsid w:val="00406909"/>
    <w:rsid w:val="00406A59"/>
    <w:rsid w:val="00406A93"/>
    <w:rsid w:val="00406A9A"/>
    <w:rsid w:val="00406B43"/>
    <w:rsid w:val="00406E07"/>
    <w:rsid w:val="00406E13"/>
    <w:rsid w:val="00406F34"/>
    <w:rsid w:val="00406F5B"/>
    <w:rsid w:val="00406F66"/>
    <w:rsid w:val="00406FFA"/>
    <w:rsid w:val="00407079"/>
    <w:rsid w:val="004070A2"/>
    <w:rsid w:val="004070ED"/>
    <w:rsid w:val="00407107"/>
    <w:rsid w:val="004071AC"/>
    <w:rsid w:val="004071B5"/>
    <w:rsid w:val="004073D5"/>
    <w:rsid w:val="004073EC"/>
    <w:rsid w:val="0040740D"/>
    <w:rsid w:val="0040758A"/>
    <w:rsid w:val="004076D2"/>
    <w:rsid w:val="00407876"/>
    <w:rsid w:val="004078A8"/>
    <w:rsid w:val="004078BB"/>
    <w:rsid w:val="0040793C"/>
    <w:rsid w:val="00407AA1"/>
    <w:rsid w:val="00407AB8"/>
    <w:rsid w:val="00407ACB"/>
    <w:rsid w:val="00407B2D"/>
    <w:rsid w:val="00407C8C"/>
    <w:rsid w:val="00407C9A"/>
    <w:rsid w:val="00407CAF"/>
    <w:rsid w:val="00407EB0"/>
    <w:rsid w:val="00407EDD"/>
    <w:rsid w:val="00407EE0"/>
    <w:rsid w:val="00407F38"/>
    <w:rsid w:val="00410027"/>
    <w:rsid w:val="00410070"/>
    <w:rsid w:val="004100D0"/>
    <w:rsid w:val="00410105"/>
    <w:rsid w:val="0041014A"/>
    <w:rsid w:val="0041014D"/>
    <w:rsid w:val="00410152"/>
    <w:rsid w:val="004101CC"/>
    <w:rsid w:val="00410297"/>
    <w:rsid w:val="00410377"/>
    <w:rsid w:val="00410395"/>
    <w:rsid w:val="0041049A"/>
    <w:rsid w:val="00410529"/>
    <w:rsid w:val="0041052E"/>
    <w:rsid w:val="0041063D"/>
    <w:rsid w:val="00410692"/>
    <w:rsid w:val="0041071A"/>
    <w:rsid w:val="004108EA"/>
    <w:rsid w:val="004109AB"/>
    <w:rsid w:val="00410B63"/>
    <w:rsid w:val="00410B9B"/>
    <w:rsid w:val="00410BAB"/>
    <w:rsid w:val="00410BB9"/>
    <w:rsid w:val="00410D14"/>
    <w:rsid w:val="00410DB1"/>
    <w:rsid w:val="00410EA4"/>
    <w:rsid w:val="00410EFD"/>
    <w:rsid w:val="00410F19"/>
    <w:rsid w:val="00410F49"/>
    <w:rsid w:val="0041104F"/>
    <w:rsid w:val="0041106B"/>
    <w:rsid w:val="00411084"/>
    <w:rsid w:val="004111AC"/>
    <w:rsid w:val="00411200"/>
    <w:rsid w:val="004112AE"/>
    <w:rsid w:val="004112F5"/>
    <w:rsid w:val="0041142A"/>
    <w:rsid w:val="004114A4"/>
    <w:rsid w:val="00411685"/>
    <w:rsid w:val="00411694"/>
    <w:rsid w:val="004116BA"/>
    <w:rsid w:val="004116FD"/>
    <w:rsid w:val="00411786"/>
    <w:rsid w:val="004117C1"/>
    <w:rsid w:val="004117F7"/>
    <w:rsid w:val="0041186A"/>
    <w:rsid w:val="004118A7"/>
    <w:rsid w:val="00411917"/>
    <w:rsid w:val="00411946"/>
    <w:rsid w:val="00411A01"/>
    <w:rsid w:val="00411A15"/>
    <w:rsid w:val="00411A9F"/>
    <w:rsid w:val="00411B92"/>
    <w:rsid w:val="00411CD5"/>
    <w:rsid w:val="00411E35"/>
    <w:rsid w:val="00411F4C"/>
    <w:rsid w:val="00411F8C"/>
    <w:rsid w:val="00412030"/>
    <w:rsid w:val="0041209A"/>
    <w:rsid w:val="0041209D"/>
    <w:rsid w:val="004121D8"/>
    <w:rsid w:val="00412289"/>
    <w:rsid w:val="004122D3"/>
    <w:rsid w:val="0041239E"/>
    <w:rsid w:val="00412593"/>
    <w:rsid w:val="0041264D"/>
    <w:rsid w:val="004126AD"/>
    <w:rsid w:val="004126DE"/>
    <w:rsid w:val="004127FC"/>
    <w:rsid w:val="004129D0"/>
    <w:rsid w:val="00412BA0"/>
    <w:rsid w:val="00412BAF"/>
    <w:rsid w:val="00412BD2"/>
    <w:rsid w:val="00412C1C"/>
    <w:rsid w:val="00412C1D"/>
    <w:rsid w:val="00412C57"/>
    <w:rsid w:val="00412C71"/>
    <w:rsid w:val="00412CD7"/>
    <w:rsid w:val="00412D3B"/>
    <w:rsid w:val="00412E78"/>
    <w:rsid w:val="00412EEE"/>
    <w:rsid w:val="00413050"/>
    <w:rsid w:val="004130CC"/>
    <w:rsid w:val="00413287"/>
    <w:rsid w:val="00413288"/>
    <w:rsid w:val="004132A6"/>
    <w:rsid w:val="00413317"/>
    <w:rsid w:val="0041342C"/>
    <w:rsid w:val="00413486"/>
    <w:rsid w:val="0041355E"/>
    <w:rsid w:val="004135A3"/>
    <w:rsid w:val="0041361C"/>
    <w:rsid w:val="00413663"/>
    <w:rsid w:val="00413666"/>
    <w:rsid w:val="004136C9"/>
    <w:rsid w:val="004136D6"/>
    <w:rsid w:val="0041378A"/>
    <w:rsid w:val="004138C4"/>
    <w:rsid w:val="0041391F"/>
    <w:rsid w:val="0041394B"/>
    <w:rsid w:val="004139A2"/>
    <w:rsid w:val="00413B79"/>
    <w:rsid w:val="00413B7F"/>
    <w:rsid w:val="00413BCA"/>
    <w:rsid w:val="00413C13"/>
    <w:rsid w:val="00413C2C"/>
    <w:rsid w:val="00413C54"/>
    <w:rsid w:val="00413C67"/>
    <w:rsid w:val="00413CB8"/>
    <w:rsid w:val="00413D64"/>
    <w:rsid w:val="00413D93"/>
    <w:rsid w:val="00413DF1"/>
    <w:rsid w:val="00413F56"/>
    <w:rsid w:val="00413F7A"/>
    <w:rsid w:val="00414039"/>
    <w:rsid w:val="004140AE"/>
    <w:rsid w:val="004141DA"/>
    <w:rsid w:val="00414255"/>
    <w:rsid w:val="0041429F"/>
    <w:rsid w:val="00414334"/>
    <w:rsid w:val="00414381"/>
    <w:rsid w:val="00414395"/>
    <w:rsid w:val="0041447C"/>
    <w:rsid w:val="004144C2"/>
    <w:rsid w:val="00414641"/>
    <w:rsid w:val="0041465C"/>
    <w:rsid w:val="004147C5"/>
    <w:rsid w:val="004147F9"/>
    <w:rsid w:val="00414806"/>
    <w:rsid w:val="0041483B"/>
    <w:rsid w:val="00414880"/>
    <w:rsid w:val="004149FE"/>
    <w:rsid w:val="00414BC7"/>
    <w:rsid w:val="00414CA0"/>
    <w:rsid w:val="00414EAF"/>
    <w:rsid w:val="00414FFB"/>
    <w:rsid w:val="00415070"/>
    <w:rsid w:val="00415226"/>
    <w:rsid w:val="0041532E"/>
    <w:rsid w:val="0041534F"/>
    <w:rsid w:val="0041540D"/>
    <w:rsid w:val="00415614"/>
    <w:rsid w:val="004156EE"/>
    <w:rsid w:val="004157AE"/>
    <w:rsid w:val="004157BF"/>
    <w:rsid w:val="004158B3"/>
    <w:rsid w:val="004159BC"/>
    <w:rsid w:val="004159C3"/>
    <w:rsid w:val="00415A10"/>
    <w:rsid w:val="00415D0E"/>
    <w:rsid w:val="00415D35"/>
    <w:rsid w:val="00415D72"/>
    <w:rsid w:val="00415E63"/>
    <w:rsid w:val="00416017"/>
    <w:rsid w:val="00416045"/>
    <w:rsid w:val="00416103"/>
    <w:rsid w:val="00416324"/>
    <w:rsid w:val="0041634D"/>
    <w:rsid w:val="004163EA"/>
    <w:rsid w:val="0041647D"/>
    <w:rsid w:val="004164AB"/>
    <w:rsid w:val="004164B1"/>
    <w:rsid w:val="004165A7"/>
    <w:rsid w:val="00416698"/>
    <w:rsid w:val="0041679A"/>
    <w:rsid w:val="004167C8"/>
    <w:rsid w:val="00416867"/>
    <w:rsid w:val="004168D2"/>
    <w:rsid w:val="004168DE"/>
    <w:rsid w:val="0041691F"/>
    <w:rsid w:val="00416989"/>
    <w:rsid w:val="004169B3"/>
    <w:rsid w:val="00416A4A"/>
    <w:rsid w:val="00416B47"/>
    <w:rsid w:val="00416B4B"/>
    <w:rsid w:val="00416C0C"/>
    <w:rsid w:val="00416C1D"/>
    <w:rsid w:val="00416D4C"/>
    <w:rsid w:val="00416E19"/>
    <w:rsid w:val="00416E38"/>
    <w:rsid w:val="00416EBF"/>
    <w:rsid w:val="00416F29"/>
    <w:rsid w:val="00416F86"/>
    <w:rsid w:val="00417151"/>
    <w:rsid w:val="004171AD"/>
    <w:rsid w:val="0041730C"/>
    <w:rsid w:val="0041731C"/>
    <w:rsid w:val="00417357"/>
    <w:rsid w:val="004173D4"/>
    <w:rsid w:val="0041745C"/>
    <w:rsid w:val="00417468"/>
    <w:rsid w:val="0041747D"/>
    <w:rsid w:val="00417499"/>
    <w:rsid w:val="00417719"/>
    <w:rsid w:val="0041778F"/>
    <w:rsid w:val="0041779B"/>
    <w:rsid w:val="004178A6"/>
    <w:rsid w:val="004178DB"/>
    <w:rsid w:val="0041794E"/>
    <w:rsid w:val="00417957"/>
    <w:rsid w:val="004179D8"/>
    <w:rsid w:val="00417A89"/>
    <w:rsid w:val="00417AA6"/>
    <w:rsid w:val="00417AAC"/>
    <w:rsid w:val="00417AE3"/>
    <w:rsid w:val="00417C26"/>
    <w:rsid w:val="00417C71"/>
    <w:rsid w:val="00417CD1"/>
    <w:rsid w:val="00417DDA"/>
    <w:rsid w:val="00417EB1"/>
    <w:rsid w:val="00417EC4"/>
    <w:rsid w:val="00417EFD"/>
    <w:rsid w:val="00417F0B"/>
    <w:rsid w:val="00417F30"/>
    <w:rsid w:val="00417FDD"/>
    <w:rsid w:val="004201A8"/>
    <w:rsid w:val="00420427"/>
    <w:rsid w:val="00420697"/>
    <w:rsid w:val="0042078B"/>
    <w:rsid w:val="004207ED"/>
    <w:rsid w:val="0042082D"/>
    <w:rsid w:val="00420835"/>
    <w:rsid w:val="00420843"/>
    <w:rsid w:val="00420848"/>
    <w:rsid w:val="00420850"/>
    <w:rsid w:val="004208FB"/>
    <w:rsid w:val="00420999"/>
    <w:rsid w:val="004209EE"/>
    <w:rsid w:val="004209F5"/>
    <w:rsid w:val="00420B92"/>
    <w:rsid w:val="00420B95"/>
    <w:rsid w:val="00420BB3"/>
    <w:rsid w:val="00420BF9"/>
    <w:rsid w:val="00420CCC"/>
    <w:rsid w:val="00420E53"/>
    <w:rsid w:val="00420F8A"/>
    <w:rsid w:val="00420F9C"/>
    <w:rsid w:val="0042103B"/>
    <w:rsid w:val="00421109"/>
    <w:rsid w:val="004211C7"/>
    <w:rsid w:val="0042127E"/>
    <w:rsid w:val="004212D3"/>
    <w:rsid w:val="004212E5"/>
    <w:rsid w:val="00421387"/>
    <w:rsid w:val="004213B4"/>
    <w:rsid w:val="00421440"/>
    <w:rsid w:val="00421525"/>
    <w:rsid w:val="0042158E"/>
    <w:rsid w:val="004215A6"/>
    <w:rsid w:val="0042160A"/>
    <w:rsid w:val="004216B8"/>
    <w:rsid w:val="004216BB"/>
    <w:rsid w:val="0042176F"/>
    <w:rsid w:val="004217B7"/>
    <w:rsid w:val="00421837"/>
    <w:rsid w:val="00421863"/>
    <w:rsid w:val="00421954"/>
    <w:rsid w:val="00421A0B"/>
    <w:rsid w:val="00421BEF"/>
    <w:rsid w:val="00421D65"/>
    <w:rsid w:val="00421D86"/>
    <w:rsid w:val="00421E24"/>
    <w:rsid w:val="00421E7A"/>
    <w:rsid w:val="00421F1D"/>
    <w:rsid w:val="00421FCD"/>
    <w:rsid w:val="0042202B"/>
    <w:rsid w:val="0042204D"/>
    <w:rsid w:val="00422054"/>
    <w:rsid w:val="00422063"/>
    <w:rsid w:val="00422091"/>
    <w:rsid w:val="0042218D"/>
    <w:rsid w:val="004221AC"/>
    <w:rsid w:val="0042225A"/>
    <w:rsid w:val="0042227C"/>
    <w:rsid w:val="00422441"/>
    <w:rsid w:val="00422445"/>
    <w:rsid w:val="0042247D"/>
    <w:rsid w:val="0042265F"/>
    <w:rsid w:val="004226BF"/>
    <w:rsid w:val="004226EB"/>
    <w:rsid w:val="004227F8"/>
    <w:rsid w:val="00422970"/>
    <w:rsid w:val="004229E1"/>
    <w:rsid w:val="00422A4A"/>
    <w:rsid w:val="00422AC0"/>
    <w:rsid w:val="00422B7F"/>
    <w:rsid w:val="00422BA4"/>
    <w:rsid w:val="00422BD6"/>
    <w:rsid w:val="00422C43"/>
    <w:rsid w:val="00422D14"/>
    <w:rsid w:val="00422D41"/>
    <w:rsid w:val="00422D43"/>
    <w:rsid w:val="00422E7C"/>
    <w:rsid w:val="00422ED5"/>
    <w:rsid w:val="00422EF3"/>
    <w:rsid w:val="00422F73"/>
    <w:rsid w:val="00423004"/>
    <w:rsid w:val="0042305C"/>
    <w:rsid w:val="004230FD"/>
    <w:rsid w:val="00423222"/>
    <w:rsid w:val="00423254"/>
    <w:rsid w:val="004232A6"/>
    <w:rsid w:val="004232E9"/>
    <w:rsid w:val="0042334C"/>
    <w:rsid w:val="0042347A"/>
    <w:rsid w:val="004234D2"/>
    <w:rsid w:val="004234D6"/>
    <w:rsid w:val="004235AB"/>
    <w:rsid w:val="00423627"/>
    <w:rsid w:val="00423656"/>
    <w:rsid w:val="0042368E"/>
    <w:rsid w:val="004236CB"/>
    <w:rsid w:val="0042377F"/>
    <w:rsid w:val="004238AC"/>
    <w:rsid w:val="00423907"/>
    <w:rsid w:val="00423AE4"/>
    <w:rsid w:val="00423B24"/>
    <w:rsid w:val="00423B48"/>
    <w:rsid w:val="00423C08"/>
    <w:rsid w:val="00423C51"/>
    <w:rsid w:val="00423C77"/>
    <w:rsid w:val="00423C92"/>
    <w:rsid w:val="00423CA9"/>
    <w:rsid w:val="00423D42"/>
    <w:rsid w:val="00423DEC"/>
    <w:rsid w:val="00423E69"/>
    <w:rsid w:val="00424099"/>
    <w:rsid w:val="00424103"/>
    <w:rsid w:val="00424255"/>
    <w:rsid w:val="00424293"/>
    <w:rsid w:val="0042439A"/>
    <w:rsid w:val="0042442B"/>
    <w:rsid w:val="004244D7"/>
    <w:rsid w:val="004244F3"/>
    <w:rsid w:val="004245F9"/>
    <w:rsid w:val="00424621"/>
    <w:rsid w:val="00424770"/>
    <w:rsid w:val="00424800"/>
    <w:rsid w:val="00424932"/>
    <w:rsid w:val="00424939"/>
    <w:rsid w:val="004249A5"/>
    <w:rsid w:val="00424A5D"/>
    <w:rsid w:val="00424AC8"/>
    <w:rsid w:val="00424AE0"/>
    <w:rsid w:val="00424AF5"/>
    <w:rsid w:val="00424B5E"/>
    <w:rsid w:val="00424B78"/>
    <w:rsid w:val="00424E12"/>
    <w:rsid w:val="00424F07"/>
    <w:rsid w:val="00424F62"/>
    <w:rsid w:val="00424FB2"/>
    <w:rsid w:val="0042501C"/>
    <w:rsid w:val="004250E9"/>
    <w:rsid w:val="0042511D"/>
    <w:rsid w:val="0042514F"/>
    <w:rsid w:val="00425153"/>
    <w:rsid w:val="00425175"/>
    <w:rsid w:val="0042519C"/>
    <w:rsid w:val="004252C1"/>
    <w:rsid w:val="00425310"/>
    <w:rsid w:val="0042546C"/>
    <w:rsid w:val="004254C7"/>
    <w:rsid w:val="004254E3"/>
    <w:rsid w:val="00425520"/>
    <w:rsid w:val="0042557A"/>
    <w:rsid w:val="00425667"/>
    <w:rsid w:val="004256EF"/>
    <w:rsid w:val="0042571E"/>
    <w:rsid w:val="0042576F"/>
    <w:rsid w:val="00425837"/>
    <w:rsid w:val="0042585B"/>
    <w:rsid w:val="00425A27"/>
    <w:rsid w:val="00425CBF"/>
    <w:rsid w:val="00425CE0"/>
    <w:rsid w:val="00425D7A"/>
    <w:rsid w:val="00425E20"/>
    <w:rsid w:val="00425EB8"/>
    <w:rsid w:val="00425FA2"/>
    <w:rsid w:val="00425FB8"/>
    <w:rsid w:val="00426034"/>
    <w:rsid w:val="00426078"/>
    <w:rsid w:val="0042607E"/>
    <w:rsid w:val="004260E4"/>
    <w:rsid w:val="00426282"/>
    <w:rsid w:val="0042631A"/>
    <w:rsid w:val="004263AC"/>
    <w:rsid w:val="004263B2"/>
    <w:rsid w:val="004265BF"/>
    <w:rsid w:val="00426676"/>
    <w:rsid w:val="00426782"/>
    <w:rsid w:val="00426833"/>
    <w:rsid w:val="0042688A"/>
    <w:rsid w:val="004268B2"/>
    <w:rsid w:val="004268C9"/>
    <w:rsid w:val="0042693F"/>
    <w:rsid w:val="00426949"/>
    <w:rsid w:val="004269A8"/>
    <w:rsid w:val="00426A3D"/>
    <w:rsid w:val="00426A49"/>
    <w:rsid w:val="00426AE6"/>
    <w:rsid w:val="00426AF7"/>
    <w:rsid w:val="00426B97"/>
    <w:rsid w:val="00426BB6"/>
    <w:rsid w:val="00426BEA"/>
    <w:rsid w:val="00426C3F"/>
    <w:rsid w:val="00426CB6"/>
    <w:rsid w:val="00426D36"/>
    <w:rsid w:val="00426D7E"/>
    <w:rsid w:val="00426D89"/>
    <w:rsid w:val="00426E3C"/>
    <w:rsid w:val="00426F84"/>
    <w:rsid w:val="004270B7"/>
    <w:rsid w:val="004271F0"/>
    <w:rsid w:val="0042722F"/>
    <w:rsid w:val="004272A4"/>
    <w:rsid w:val="00427352"/>
    <w:rsid w:val="004273E4"/>
    <w:rsid w:val="0042744D"/>
    <w:rsid w:val="00427472"/>
    <w:rsid w:val="0042751F"/>
    <w:rsid w:val="00427581"/>
    <w:rsid w:val="0042758B"/>
    <w:rsid w:val="004275EF"/>
    <w:rsid w:val="00427615"/>
    <w:rsid w:val="00427689"/>
    <w:rsid w:val="0042768A"/>
    <w:rsid w:val="00427716"/>
    <w:rsid w:val="004277E9"/>
    <w:rsid w:val="00427979"/>
    <w:rsid w:val="00427A1A"/>
    <w:rsid w:val="00427A6C"/>
    <w:rsid w:val="00427ADC"/>
    <w:rsid w:val="00427AE8"/>
    <w:rsid w:val="00427B19"/>
    <w:rsid w:val="00427B70"/>
    <w:rsid w:val="00427D5D"/>
    <w:rsid w:val="00427E54"/>
    <w:rsid w:val="00427F2E"/>
    <w:rsid w:val="00427F45"/>
    <w:rsid w:val="00427FCD"/>
    <w:rsid w:val="00430197"/>
    <w:rsid w:val="0043023B"/>
    <w:rsid w:val="0043023E"/>
    <w:rsid w:val="004302D3"/>
    <w:rsid w:val="00430325"/>
    <w:rsid w:val="00430485"/>
    <w:rsid w:val="004305E3"/>
    <w:rsid w:val="00430655"/>
    <w:rsid w:val="00430716"/>
    <w:rsid w:val="0043074F"/>
    <w:rsid w:val="004308F4"/>
    <w:rsid w:val="004309D5"/>
    <w:rsid w:val="00430A74"/>
    <w:rsid w:val="00430B3E"/>
    <w:rsid w:val="00430B62"/>
    <w:rsid w:val="00430C37"/>
    <w:rsid w:val="00430C47"/>
    <w:rsid w:val="00430D93"/>
    <w:rsid w:val="00430E2F"/>
    <w:rsid w:val="00430E3D"/>
    <w:rsid w:val="00430F3D"/>
    <w:rsid w:val="00430FCA"/>
    <w:rsid w:val="00431030"/>
    <w:rsid w:val="004310F6"/>
    <w:rsid w:val="0043116B"/>
    <w:rsid w:val="0043131A"/>
    <w:rsid w:val="004314F3"/>
    <w:rsid w:val="00431502"/>
    <w:rsid w:val="0043159C"/>
    <w:rsid w:val="004315D9"/>
    <w:rsid w:val="004316C3"/>
    <w:rsid w:val="00431724"/>
    <w:rsid w:val="0043176F"/>
    <w:rsid w:val="0043182A"/>
    <w:rsid w:val="00431854"/>
    <w:rsid w:val="004318CB"/>
    <w:rsid w:val="004318CD"/>
    <w:rsid w:val="004318DD"/>
    <w:rsid w:val="00431924"/>
    <w:rsid w:val="004319AE"/>
    <w:rsid w:val="004319C9"/>
    <w:rsid w:val="00431BB6"/>
    <w:rsid w:val="00431BF4"/>
    <w:rsid w:val="00431C87"/>
    <w:rsid w:val="00431CDB"/>
    <w:rsid w:val="00431DAE"/>
    <w:rsid w:val="00431DF0"/>
    <w:rsid w:val="00431E77"/>
    <w:rsid w:val="00431EC4"/>
    <w:rsid w:val="00431F6E"/>
    <w:rsid w:val="00432176"/>
    <w:rsid w:val="00432197"/>
    <w:rsid w:val="004321D6"/>
    <w:rsid w:val="00432266"/>
    <w:rsid w:val="00432303"/>
    <w:rsid w:val="00432435"/>
    <w:rsid w:val="00432514"/>
    <w:rsid w:val="0043268A"/>
    <w:rsid w:val="004326AD"/>
    <w:rsid w:val="004328F6"/>
    <w:rsid w:val="00432941"/>
    <w:rsid w:val="004329AC"/>
    <w:rsid w:val="004329B2"/>
    <w:rsid w:val="00432A09"/>
    <w:rsid w:val="00432AAA"/>
    <w:rsid w:val="00432B58"/>
    <w:rsid w:val="00432B7B"/>
    <w:rsid w:val="00432BE0"/>
    <w:rsid w:val="00432BE7"/>
    <w:rsid w:val="00432C4C"/>
    <w:rsid w:val="00432DEE"/>
    <w:rsid w:val="00432E90"/>
    <w:rsid w:val="00432EE2"/>
    <w:rsid w:val="00432F07"/>
    <w:rsid w:val="00432F93"/>
    <w:rsid w:val="00433147"/>
    <w:rsid w:val="00433165"/>
    <w:rsid w:val="004331E0"/>
    <w:rsid w:val="004332C8"/>
    <w:rsid w:val="0043333A"/>
    <w:rsid w:val="0043333D"/>
    <w:rsid w:val="0043334C"/>
    <w:rsid w:val="00433393"/>
    <w:rsid w:val="00433441"/>
    <w:rsid w:val="00433443"/>
    <w:rsid w:val="004335DA"/>
    <w:rsid w:val="004335E8"/>
    <w:rsid w:val="00433650"/>
    <w:rsid w:val="00433670"/>
    <w:rsid w:val="004336EF"/>
    <w:rsid w:val="00433900"/>
    <w:rsid w:val="0043395D"/>
    <w:rsid w:val="004339C8"/>
    <w:rsid w:val="004339CD"/>
    <w:rsid w:val="00433B3A"/>
    <w:rsid w:val="00433B9D"/>
    <w:rsid w:val="00433C32"/>
    <w:rsid w:val="00433C3D"/>
    <w:rsid w:val="00433EAC"/>
    <w:rsid w:val="00433EDF"/>
    <w:rsid w:val="00433EF8"/>
    <w:rsid w:val="00434138"/>
    <w:rsid w:val="0043413D"/>
    <w:rsid w:val="0043418B"/>
    <w:rsid w:val="004341D1"/>
    <w:rsid w:val="00434201"/>
    <w:rsid w:val="004342B2"/>
    <w:rsid w:val="004343BC"/>
    <w:rsid w:val="004343C8"/>
    <w:rsid w:val="00434631"/>
    <w:rsid w:val="0043469B"/>
    <w:rsid w:val="004346B1"/>
    <w:rsid w:val="0043473B"/>
    <w:rsid w:val="00434866"/>
    <w:rsid w:val="004348B0"/>
    <w:rsid w:val="004349A1"/>
    <w:rsid w:val="00434A9D"/>
    <w:rsid w:val="00434AA4"/>
    <w:rsid w:val="00434AAE"/>
    <w:rsid w:val="00434B7E"/>
    <w:rsid w:val="00434BA4"/>
    <w:rsid w:val="00434BD5"/>
    <w:rsid w:val="00434CFC"/>
    <w:rsid w:val="00434E2B"/>
    <w:rsid w:val="00434E75"/>
    <w:rsid w:val="00434F13"/>
    <w:rsid w:val="00434F1F"/>
    <w:rsid w:val="00434F70"/>
    <w:rsid w:val="00434FF9"/>
    <w:rsid w:val="0043505C"/>
    <w:rsid w:val="00435318"/>
    <w:rsid w:val="0043534A"/>
    <w:rsid w:val="00435412"/>
    <w:rsid w:val="00435466"/>
    <w:rsid w:val="00435496"/>
    <w:rsid w:val="004354A6"/>
    <w:rsid w:val="00435505"/>
    <w:rsid w:val="00435540"/>
    <w:rsid w:val="004355B5"/>
    <w:rsid w:val="00435655"/>
    <w:rsid w:val="00435662"/>
    <w:rsid w:val="00435782"/>
    <w:rsid w:val="00435812"/>
    <w:rsid w:val="0043584A"/>
    <w:rsid w:val="00435854"/>
    <w:rsid w:val="00435910"/>
    <w:rsid w:val="00435A5C"/>
    <w:rsid w:val="00435A87"/>
    <w:rsid w:val="00435AB8"/>
    <w:rsid w:val="00435B5A"/>
    <w:rsid w:val="00435B5F"/>
    <w:rsid w:val="00435B99"/>
    <w:rsid w:val="00435B9F"/>
    <w:rsid w:val="00435C67"/>
    <w:rsid w:val="00435CAF"/>
    <w:rsid w:val="00435D50"/>
    <w:rsid w:val="00435DC9"/>
    <w:rsid w:val="00435E33"/>
    <w:rsid w:val="00435E71"/>
    <w:rsid w:val="00435E96"/>
    <w:rsid w:val="004360B2"/>
    <w:rsid w:val="00436120"/>
    <w:rsid w:val="00436176"/>
    <w:rsid w:val="0043621A"/>
    <w:rsid w:val="00436233"/>
    <w:rsid w:val="00436271"/>
    <w:rsid w:val="0043639D"/>
    <w:rsid w:val="004363E5"/>
    <w:rsid w:val="004363FB"/>
    <w:rsid w:val="00436455"/>
    <w:rsid w:val="00436471"/>
    <w:rsid w:val="0043647E"/>
    <w:rsid w:val="00436580"/>
    <w:rsid w:val="004366AD"/>
    <w:rsid w:val="00436707"/>
    <w:rsid w:val="004367B1"/>
    <w:rsid w:val="00436854"/>
    <w:rsid w:val="004368AD"/>
    <w:rsid w:val="00436A15"/>
    <w:rsid w:val="00436A3E"/>
    <w:rsid w:val="00436A4C"/>
    <w:rsid w:val="00436AC2"/>
    <w:rsid w:val="00436ACB"/>
    <w:rsid w:val="00436AD2"/>
    <w:rsid w:val="00436C5F"/>
    <w:rsid w:val="00436CDA"/>
    <w:rsid w:val="00436CDB"/>
    <w:rsid w:val="00436CE2"/>
    <w:rsid w:val="00436E4F"/>
    <w:rsid w:val="00436E5B"/>
    <w:rsid w:val="00436ED6"/>
    <w:rsid w:val="00437079"/>
    <w:rsid w:val="00437091"/>
    <w:rsid w:val="004370CC"/>
    <w:rsid w:val="0043711C"/>
    <w:rsid w:val="00437144"/>
    <w:rsid w:val="00437179"/>
    <w:rsid w:val="004371BF"/>
    <w:rsid w:val="004371C4"/>
    <w:rsid w:val="004371E2"/>
    <w:rsid w:val="004371EA"/>
    <w:rsid w:val="004372CD"/>
    <w:rsid w:val="004372EE"/>
    <w:rsid w:val="004373F1"/>
    <w:rsid w:val="00437435"/>
    <w:rsid w:val="00437471"/>
    <w:rsid w:val="004374C2"/>
    <w:rsid w:val="004374E1"/>
    <w:rsid w:val="00437559"/>
    <w:rsid w:val="004375FD"/>
    <w:rsid w:val="004376DF"/>
    <w:rsid w:val="00437702"/>
    <w:rsid w:val="0043791A"/>
    <w:rsid w:val="00437924"/>
    <w:rsid w:val="0043796F"/>
    <w:rsid w:val="00437A01"/>
    <w:rsid w:val="00437A45"/>
    <w:rsid w:val="00437A83"/>
    <w:rsid w:val="00437BB3"/>
    <w:rsid w:val="00437BCF"/>
    <w:rsid w:val="00437D80"/>
    <w:rsid w:val="00437F43"/>
    <w:rsid w:val="00437F49"/>
    <w:rsid w:val="00437F8F"/>
    <w:rsid w:val="00437F95"/>
    <w:rsid w:val="00440183"/>
    <w:rsid w:val="004401AD"/>
    <w:rsid w:val="004401BD"/>
    <w:rsid w:val="00440215"/>
    <w:rsid w:val="00440273"/>
    <w:rsid w:val="0044042F"/>
    <w:rsid w:val="00440462"/>
    <w:rsid w:val="0044048C"/>
    <w:rsid w:val="004404B6"/>
    <w:rsid w:val="00440529"/>
    <w:rsid w:val="00440597"/>
    <w:rsid w:val="0044067C"/>
    <w:rsid w:val="0044069A"/>
    <w:rsid w:val="004406A6"/>
    <w:rsid w:val="004407B1"/>
    <w:rsid w:val="00440822"/>
    <w:rsid w:val="00440859"/>
    <w:rsid w:val="004408A6"/>
    <w:rsid w:val="0044092F"/>
    <w:rsid w:val="0044094B"/>
    <w:rsid w:val="00440A6E"/>
    <w:rsid w:val="00440AD1"/>
    <w:rsid w:val="00440D78"/>
    <w:rsid w:val="0044107C"/>
    <w:rsid w:val="004410CB"/>
    <w:rsid w:val="0044118F"/>
    <w:rsid w:val="00441229"/>
    <w:rsid w:val="00441433"/>
    <w:rsid w:val="0044144E"/>
    <w:rsid w:val="00441601"/>
    <w:rsid w:val="004416B6"/>
    <w:rsid w:val="00441799"/>
    <w:rsid w:val="0044185F"/>
    <w:rsid w:val="00441968"/>
    <w:rsid w:val="00441A1C"/>
    <w:rsid w:val="00441A2A"/>
    <w:rsid w:val="00441ED1"/>
    <w:rsid w:val="00441F6A"/>
    <w:rsid w:val="00441FE2"/>
    <w:rsid w:val="0044201E"/>
    <w:rsid w:val="00442066"/>
    <w:rsid w:val="00442081"/>
    <w:rsid w:val="004420F6"/>
    <w:rsid w:val="00442158"/>
    <w:rsid w:val="004421DB"/>
    <w:rsid w:val="0044227E"/>
    <w:rsid w:val="004422E3"/>
    <w:rsid w:val="0044234C"/>
    <w:rsid w:val="004424DA"/>
    <w:rsid w:val="00442557"/>
    <w:rsid w:val="004426B4"/>
    <w:rsid w:val="004426D7"/>
    <w:rsid w:val="004426E2"/>
    <w:rsid w:val="004427D5"/>
    <w:rsid w:val="0044292F"/>
    <w:rsid w:val="00442AAF"/>
    <w:rsid w:val="00442B77"/>
    <w:rsid w:val="00442BB5"/>
    <w:rsid w:val="00442BE5"/>
    <w:rsid w:val="00442C74"/>
    <w:rsid w:val="00442C81"/>
    <w:rsid w:val="00442D54"/>
    <w:rsid w:val="00442D8B"/>
    <w:rsid w:val="00442DC4"/>
    <w:rsid w:val="00442E82"/>
    <w:rsid w:val="00442EC0"/>
    <w:rsid w:val="00442F18"/>
    <w:rsid w:val="00442FDE"/>
    <w:rsid w:val="0044304D"/>
    <w:rsid w:val="004430A7"/>
    <w:rsid w:val="004430E9"/>
    <w:rsid w:val="004430F4"/>
    <w:rsid w:val="004433E1"/>
    <w:rsid w:val="00443402"/>
    <w:rsid w:val="0044359A"/>
    <w:rsid w:val="00443627"/>
    <w:rsid w:val="00443646"/>
    <w:rsid w:val="00443682"/>
    <w:rsid w:val="0044369A"/>
    <w:rsid w:val="004436B1"/>
    <w:rsid w:val="0044370C"/>
    <w:rsid w:val="0044371E"/>
    <w:rsid w:val="0044376E"/>
    <w:rsid w:val="00443942"/>
    <w:rsid w:val="00443999"/>
    <w:rsid w:val="00443A59"/>
    <w:rsid w:val="00443B20"/>
    <w:rsid w:val="00443B54"/>
    <w:rsid w:val="00443B83"/>
    <w:rsid w:val="00443C06"/>
    <w:rsid w:val="00443D0A"/>
    <w:rsid w:val="00443E21"/>
    <w:rsid w:val="00443EC2"/>
    <w:rsid w:val="00443F31"/>
    <w:rsid w:val="00443F49"/>
    <w:rsid w:val="00443F56"/>
    <w:rsid w:val="00443F57"/>
    <w:rsid w:val="00443F7F"/>
    <w:rsid w:val="00443F96"/>
    <w:rsid w:val="00444002"/>
    <w:rsid w:val="00444012"/>
    <w:rsid w:val="0044405F"/>
    <w:rsid w:val="00444061"/>
    <w:rsid w:val="00444083"/>
    <w:rsid w:val="00444143"/>
    <w:rsid w:val="00444315"/>
    <w:rsid w:val="004443C0"/>
    <w:rsid w:val="00444425"/>
    <w:rsid w:val="004444D8"/>
    <w:rsid w:val="00444616"/>
    <w:rsid w:val="004446BE"/>
    <w:rsid w:val="0044475A"/>
    <w:rsid w:val="004448AE"/>
    <w:rsid w:val="00444B8F"/>
    <w:rsid w:val="00444BBC"/>
    <w:rsid w:val="00444BE3"/>
    <w:rsid w:val="00444CA1"/>
    <w:rsid w:val="00444D1B"/>
    <w:rsid w:val="00444D68"/>
    <w:rsid w:val="00444DCF"/>
    <w:rsid w:val="00444F65"/>
    <w:rsid w:val="00444F73"/>
    <w:rsid w:val="00444FAE"/>
    <w:rsid w:val="00444FE9"/>
    <w:rsid w:val="004451DC"/>
    <w:rsid w:val="004451F2"/>
    <w:rsid w:val="00445422"/>
    <w:rsid w:val="00445561"/>
    <w:rsid w:val="0044557C"/>
    <w:rsid w:val="00445580"/>
    <w:rsid w:val="00445642"/>
    <w:rsid w:val="0044566E"/>
    <w:rsid w:val="004457CC"/>
    <w:rsid w:val="0044580A"/>
    <w:rsid w:val="004458AC"/>
    <w:rsid w:val="004459AC"/>
    <w:rsid w:val="00445A85"/>
    <w:rsid w:val="00445A87"/>
    <w:rsid w:val="00445B43"/>
    <w:rsid w:val="00445CAB"/>
    <w:rsid w:val="00445E8F"/>
    <w:rsid w:val="00446078"/>
    <w:rsid w:val="00446079"/>
    <w:rsid w:val="0044609B"/>
    <w:rsid w:val="004460BD"/>
    <w:rsid w:val="00446205"/>
    <w:rsid w:val="004462D6"/>
    <w:rsid w:val="0044641E"/>
    <w:rsid w:val="004464A2"/>
    <w:rsid w:val="004464EA"/>
    <w:rsid w:val="004464F2"/>
    <w:rsid w:val="004466CB"/>
    <w:rsid w:val="00446720"/>
    <w:rsid w:val="0044675A"/>
    <w:rsid w:val="0044679E"/>
    <w:rsid w:val="004468A1"/>
    <w:rsid w:val="00446912"/>
    <w:rsid w:val="004469E1"/>
    <w:rsid w:val="00446ACC"/>
    <w:rsid w:val="00446C36"/>
    <w:rsid w:val="00446C58"/>
    <w:rsid w:val="00446CDD"/>
    <w:rsid w:val="00446D3B"/>
    <w:rsid w:val="00446D40"/>
    <w:rsid w:val="00446DA6"/>
    <w:rsid w:val="00446ECD"/>
    <w:rsid w:val="00446EE7"/>
    <w:rsid w:val="00446F06"/>
    <w:rsid w:val="00446F22"/>
    <w:rsid w:val="00446F4F"/>
    <w:rsid w:val="00446FA1"/>
    <w:rsid w:val="00446FC3"/>
    <w:rsid w:val="00447051"/>
    <w:rsid w:val="004470D8"/>
    <w:rsid w:val="004471D6"/>
    <w:rsid w:val="0044722F"/>
    <w:rsid w:val="0044737C"/>
    <w:rsid w:val="0044744A"/>
    <w:rsid w:val="00447501"/>
    <w:rsid w:val="00447586"/>
    <w:rsid w:val="004476C6"/>
    <w:rsid w:val="0044771D"/>
    <w:rsid w:val="00447787"/>
    <w:rsid w:val="0044778A"/>
    <w:rsid w:val="00447797"/>
    <w:rsid w:val="0044785A"/>
    <w:rsid w:val="004478C3"/>
    <w:rsid w:val="004479CC"/>
    <w:rsid w:val="00447A67"/>
    <w:rsid w:val="00447B31"/>
    <w:rsid w:val="00447D18"/>
    <w:rsid w:val="00447DA9"/>
    <w:rsid w:val="00447EE3"/>
    <w:rsid w:val="00447EEE"/>
    <w:rsid w:val="00450222"/>
    <w:rsid w:val="0045023B"/>
    <w:rsid w:val="004502FD"/>
    <w:rsid w:val="00450302"/>
    <w:rsid w:val="004503EB"/>
    <w:rsid w:val="004503F6"/>
    <w:rsid w:val="004504B4"/>
    <w:rsid w:val="004504C9"/>
    <w:rsid w:val="0045054F"/>
    <w:rsid w:val="004506FD"/>
    <w:rsid w:val="0045077F"/>
    <w:rsid w:val="004508AE"/>
    <w:rsid w:val="004508CC"/>
    <w:rsid w:val="004509BF"/>
    <w:rsid w:val="00450A10"/>
    <w:rsid w:val="00450A64"/>
    <w:rsid w:val="00450B1E"/>
    <w:rsid w:val="00450B27"/>
    <w:rsid w:val="00450B4B"/>
    <w:rsid w:val="00450B62"/>
    <w:rsid w:val="00450B96"/>
    <w:rsid w:val="00450C0F"/>
    <w:rsid w:val="00450D43"/>
    <w:rsid w:val="00450DA0"/>
    <w:rsid w:val="00450DB0"/>
    <w:rsid w:val="004510AC"/>
    <w:rsid w:val="004510D9"/>
    <w:rsid w:val="00451245"/>
    <w:rsid w:val="004512A0"/>
    <w:rsid w:val="0045130C"/>
    <w:rsid w:val="0045138F"/>
    <w:rsid w:val="004513AF"/>
    <w:rsid w:val="004513BE"/>
    <w:rsid w:val="004515B6"/>
    <w:rsid w:val="0045170A"/>
    <w:rsid w:val="0045173F"/>
    <w:rsid w:val="004518C9"/>
    <w:rsid w:val="00451932"/>
    <w:rsid w:val="00451A14"/>
    <w:rsid w:val="00451A7F"/>
    <w:rsid w:val="00451A8D"/>
    <w:rsid w:val="00451AE0"/>
    <w:rsid w:val="00451B52"/>
    <w:rsid w:val="00451BF2"/>
    <w:rsid w:val="00451C75"/>
    <w:rsid w:val="00451CF9"/>
    <w:rsid w:val="00451D0D"/>
    <w:rsid w:val="00451D32"/>
    <w:rsid w:val="00451FED"/>
    <w:rsid w:val="00452084"/>
    <w:rsid w:val="00452085"/>
    <w:rsid w:val="004523BC"/>
    <w:rsid w:val="00452436"/>
    <w:rsid w:val="00452555"/>
    <w:rsid w:val="00452582"/>
    <w:rsid w:val="004525FC"/>
    <w:rsid w:val="004526CF"/>
    <w:rsid w:val="00452755"/>
    <w:rsid w:val="004527C7"/>
    <w:rsid w:val="0045282D"/>
    <w:rsid w:val="00452871"/>
    <w:rsid w:val="00452930"/>
    <w:rsid w:val="00452981"/>
    <w:rsid w:val="00452B22"/>
    <w:rsid w:val="00452B28"/>
    <w:rsid w:val="00452B89"/>
    <w:rsid w:val="00452BAB"/>
    <w:rsid w:val="00452C08"/>
    <w:rsid w:val="00452CA2"/>
    <w:rsid w:val="00452CB4"/>
    <w:rsid w:val="00452CC0"/>
    <w:rsid w:val="00452D25"/>
    <w:rsid w:val="00452D27"/>
    <w:rsid w:val="00452DA5"/>
    <w:rsid w:val="00452DE4"/>
    <w:rsid w:val="00452E11"/>
    <w:rsid w:val="00452FF1"/>
    <w:rsid w:val="00453079"/>
    <w:rsid w:val="004530DF"/>
    <w:rsid w:val="0045316B"/>
    <w:rsid w:val="0045325B"/>
    <w:rsid w:val="00453372"/>
    <w:rsid w:val="0045345B"/>
    <w:rsid w:val="00453540"/>
    <w:rsid w:val="0045356E"/>
    <w:rsid w:val="00453578"/>
    <w:rsid w:val="004535DB"/>
    <w:rsid w:val="0045361C"/>
    <w:rsid w:val="004536A9"/>
    <w:rsid w:val="004538FC"/>
    <w:rsid w:val="00453A26"/>
    <w:rsid w:val="00453A68"/>
    <w:rsid w:val="00453A81"/>
    <w:rsid w:val="00453AFF"/>
    <w:rsid w:val="00453B9E"/>
    <w:rsid w:val="00453BD7"/>
    <w:rsid w:val="00453CF6"/>
    <w:rsid w:val="00453D45"/>
    <w:rsid w:val="00453D83"/>
    <w:rsid w:val="00453DE0"/>
    <w:rsid w:val="00453F0F"/>
    <w:rsid w:val="00453FCF"/>
    <w:rsid w:val="004540E5"/>
    <w:rsid w:val="00454177"/>
    <w:rsid w:val="004541DA"/>
    <w:rsid w:val="0045435A"/>
    <w:rsid w:val="0045456A"/>
    <w:rsid w:val="00454687"/>
    <w:rsid w:val="0045488B"/>
    <w:rsid w:val="00454974"/>
    <w:rsid w:val="004549B6"/>
    <w:rsid w:val="00454A58"/>
    <w:rsid w:val="00454ACD"/>
    <w:rsid w:val="00454C23"/>
    <w:rsid w:val="00454D81"/>
    <w:rsid w:val="00454DBC"/>
    <w:rsid w:val="00454EE0"/>
    <w:rsid w:val="00454FBD"/>
    <w:rsid w:val="0045500D"/>
    <w:rsid w:val="004550A9"/>
    <w:rsid w:val="004550AB"/>
    <w:rsid w:val="00455172"/>
    <w:rsid w:val="004551BE"/>
    <w:rsid w:val="004551D0"/>
    <w:rsid w:val="00455214"/>
    <w:rsid w:val="0045524E"/>
    <w:rsid w:val="0045533D"/>
    <w:rsid w:val="00455459"/>
    <w:rsid w:val="00455480"/>
    <w:rsid w:val="004554E1"/>
    <w:rsid w:val="0045555D"/>
    <w:rsid w:val="004555E0"/>
    <w:rsid w:val="00455639"/>
    <w:rsid w:val="004556AA"/>
    <w:rsid w:val="004556BA"/>
    <w:rsid w:val="00455788"/>
    <w:rsid w:val="00455847"/>
    <w:rsid w:val="004558DC"/>
    <w:rsid w:val="00455A4C"/>
    <w:rsid w:val="00455A82"/>
    <w:rsid w:val="00455A88"/>
    <w:rsid w:val="00455AB4"/>
    <w:rsid w:val="00455AF4"/>
    <w:rsid w:val="00455B58"/>
    <w:rsid w:val="00455BC8"/>
    <w:rsid w:val="00455C5F"/>
    <w:rsid w:val="00455CA7"/>
    <w:rsid w:val="00455E06"/>
    <w:rsid w:val="00455E53"/>
    <w:rsid w:val="00455F0D"/>
    <w:rsid w:val="00455F4C"/>
    <w:rsid w:val="00455F88"/>
    <w:rsid w:val="00455FFF"/>
    <w:rsid w:val="00456050"/>
    <w:rsid w:val="004560C0"/>
    <w:rsid w:val="00456136"/>
    <w:rsid w:val="004561BC"/>
    <w:rsid w:val="0045622A"/>
    <w:rsid w:val="0045626D"/>
    <w:rsid w:val="0045627C"/>
    <w:rsid w:val="00456361"/>
    <w:rsid w:val="004564CF"/>
    <w:rsid w:val="004565B7"/>
    <w:rsid w:val="004565D8"/>
    <w:rsid w:val="004567A6"/>
    <w:rsid w:val="00456833"/>
    <w:rsid w:val="00456844"/>
    <w:rsid w:val="0045690B"/>
    <w:rsid w:val="00456A62"/>
    <w:rsid w:val="00456A9B"/>
    <w:rsid w:val="00456AE1"/>
    <w:rsid w:val="00456B0F"/>
    <w:rsid w:val="00456BA0"/>
    <w:rsid w:val="00456C48"/>
    <w:rsid w:val="00456CB2"/>
    <w:rsid w:val="00456D14"/>
    <w:rsid w:val="00456D5A"/>
    <w:rsid w:val="00456D92"/>
    <w:rsid w:val="00456E5D"/>
    <w:rsid w:val="00456E9A"/>
    <w:rsid w:val="00456F28"/>
    <w:rsid w:val="00456FE1"/>
    <w:rsid w:val="004570E2"/>
    <w:rsid w:val="00457207"/>
    <w:rsid w:val="00457246"/>
    <w:rsid w:val="0045727E"/>
    <w:rsid w:val="0045737B"/>
    <w:rsid w:val="00457391"/>
    <w:rsid w:val="004573EB"/>
    <w:rsid w:val="00457408"/>
    <w:rsid w:val="004574B2"/>
    <w:rsid w:val="004574C8"/>
    <w:rsid w:val="0045764F"/>
    <w:rsid w:val="0045771D"/>
    <w:rsid w:val="0045777A"/>
    <w:rsid w:val="0045782E"/>
    <w:rsid w:val="00457A7B"/>
    <w:rsid w:val="00457B32"/>
    <w:rsid w:val="00457B82"/>
    <w:rsid w:val="00457BE2"/>
    <w:rsid w:val="00457C40"/>
    <w:rsid w:val="00457C49"/>
    <w:rsid w:val="00457C65"/>
    <w:rsid w:val="00457C8A"/>
    <w:rsid w:val="00457D0E"/>
    <w:rsid w:val="00457D31"/>
    <w:rsid w:val="00457D58"/>
    <w:rsid w:val="00457DA7"/>
    <w:rsid w:val="00457DBA"/>
    <w:rsid w:val="00457EBF"/>
    <w:rsid w:val="00460369"/>
    <w:rsid w:val="0046037C"/>
    <w:rsid w:val="004604E0"/>
    <w:rsid w:val="00460507"/>
    <w:rsid w:val="00460618"/>
    <w:rsid w:val="004607A6"/>
    <w:rsid w:val="004607BF"/>
    <w:rsid w:val="00460807"/>
    <w:rsid w:val="0046083E"/>
    <w:rsid w:val="00460AA7"/>
    <w:rsid w:val="00460B17"/>
    <w:rsid w:val="00460B1F"/>
    <w:rsid w:val="00460BD9"/>
    <w:rsid w:val="00460C4A"/>
    <w:rsid w:val="00460C67"/>
    <w:rsid w:val="00460D6B"/>
    <w:rsid w:val="00460DD9"/>
    <w:rsid w:val="00460E66"/>
    <w:rsid w:val="00460EA7"/>
    <w:rsid w:val="00460F32"/>
    <w:rsid w:val="004610A4"/>
    <w:rsid w:val="0046133D"/>
    <w:rsid w:val="00461381"/>
    <w:rsid w:val="004613B8"/>
    <w:rsid w:val="00461521"/>
    <w:rsid w:val="00461574"/>
    <w:rsid w:val="0046158A"/>
    <w:rsid w:val="0046179D"/>
    <w:rsid w:val="004619EA"/>
    <w:rsid w:val="00461A5C"/>
    <w:rsid w:val="00461B5F"/>
    <w:rsid w:val="00461B7E"/>
    <w:rsid w:val="00461B99"/>
    <w:rsid w:val="00461BFD"/>
    <w:rsid w:val="00461C5F"/>
    <w:rsid w:val="00461C81"/>
    <w:rsid w:val="00461D6E"/>
    <w:rsid w:val="00461D88"/>
    <w:rsid w:val="00461D8C"/>
    <w:rsid w:val="00461D90"/>
    <w:rsid w:val="00461E58"/>
    <w:rsid w:val="00461E77"/>
    <w:rsid w:val="00461EE0"/>
    <w:rsid w:val="00461FA4"/>
    <w:rsid w:val="004621DF"/>
    <w:rsid w:val="00462227"/>
    <w:rsid w:val="0046231C"/>
    <w:rsid w:val="00462377"/>
    <w:rsid w:val="004623E1"/>
    <w:rsid w:val="0046241E"/>
    <w:rsid w:val="0046265F"/>
    <w:rsid w:val="004626C0"/>
    <w:rsid w:val="004626FC"/>
    <w:rsid w:val="0046278E"/>
    <w:rsid w:val="004627C5"/>
    <w:rsid w:val="0046289D"/>
    <w:rsid w:val="0046291C"/>
    <w:rsid w:val="0046291F"/>
    <w:rsid w:val="00462985"/>
    <w:rsid w:val="00462989"/>
    <w:rsid w:val="00462A40"/>
    <w:rsid w:val="00462A77"/>
    <w:rsid w:val="00462B7D"/>
    <w:rsid w:val="00462D11"/>
    <w:rsid w:val="00462D4F"/>
    <w:rsid w:val="00462D75"/>
    <w:rsid w:val="00462DD9"/>
    <w:rsid w:val="00462DF5"/>
    <w:rsid w:val="00462F44"/>
    <w:rsid w:val="00462F81"/>
    <w:rsid w:val="00462FA1"/>
    <w:rsid w:val="00463034"/>
    <w:rsid w:val="004632D2"/>
    <w:rsid w:val="004632F4"/>
    <w:rsid w:val="00463319"/>
    <w:rsid w:val="004633A3"/>
    <w:rsid w:val="0046341A"/>
    <w:rsid w:val="00463472"/>
    <w:rsid w:val="004634DD"/>
    <w:rsid w:val="004634EA"/>
    <w:rsid w:val="0046364F"/>
    <w:rsid w:val="004636CA"/>
    <w:rsid w:val="004636CC"/>
    <w:rsid w:val="004636EB"/>
    <w:rsid w:val="004638C1"/>
    <w:rsid w:val="00463970"/>
    <w:rsid w:val="0046398B"/>
    <w:rsid w:val="00463A0D"/>
    <w:rsid w:val="00463A2E"/>
    <w:rsid w:val="00463A92"/>
    <w:rsid w:val="00463ABE"/>
    <w:rsid w:val="00463B23"/>
    <w:rsid w:val="00463C48"/>
    <w:rsid w:val="00463DAE"/>
    <w:rsid w:val="00463EAF"/>
    <w:rsid w:val="00463EE2"/>
    <w:rsid w:val="00463F01"/>
    <w:rsid w:val="00464023"/>
    <w:rsid w:val="004640D2"/>
    <w:rsid w:val="004640FC"/>
    <w:rsid w:val="00464312"/>
    <w:rsid w:val="00464328"/>
    <w:rsid w:val="00464362"/>
    <w:rsid w:val="00464429"/>
    <w:rsid w:val="0046450A"/>
    <w:rsid w:val="00464597"/>
    <w:rsid w:val="004645BB"/>
    <w:rsid w:val="00464621"/>
    <w:rsid w:val="0046468F"/>
    <w:rsid w:val="004646B1"/>
    <w:rsid w:val="004646EC"/>
    <w:rsid w:val="00464832"/>
    <w:rsid w:val="00464921"/>
    <w:rsid w:val="00464996"/>
    <w:rsid w:val="00464A69"/>
    <w:rsid w:val="00464AA3"/>
    <w:rsid w:val="00464B14"/>
    <w:rsid w:val="00464B60"/>
    <w:rsid w:val="00464B6E"/>
    <w:rsid w:val="00464C4E"/>
    <w:rsid w:val="00464C71"/>
    <w:rsid w:val="00464CC9"/>
    <w:rsid w:val="00464D39"/>
    <w:rsid w:val="00464DE6"/>
    <w:rsid w:val="00464E0D"/>
    <w:rsid w:val="00464E42"/>
    <w:rsid w:val="00464F39"/>
    <w:rsid w:val="00464F81"/>
    <w:rsid w:val="00465038"/>
    <w:rsid w:val="00465076"/>
    <w:rsid w:val="0046516B"/>
    <w:rsid w:val="0046516E"/>
    <w:rsid w:val="004651BF"/>
    <w:rsid w:val="004651D7"/>
    <w:rsid w:val="004652DF"/>
    <w:rsid w:val="0046538F"/>
    <w:rsid w:val="0046540B"/>
    <w:rsid w:val="00465484"/>
    <w:rsid w:val="0046563F"/>
    <w:rsid w:val="00465759"/>
    <w:rsid w:val="0046577E"/>
    <w:rsid w:val="00465988"/>
    <w:rsid w:val="00465A5F"/>
    <w:rsid w:val="00465B32"/>
    <w:rsid w:val="00465B3D"/>
    <w:rsid w:val="00465B49"/>
    <w:rsid w:val="00465B67"/>
    <w:rsid w:val="00465C65"/>
    <w:rsid w:val="00465CE9"/>
    <w:rsid w:val="00465D52"/>
    <w:rsid w:val="00465DD0"/>
    <w:rsid w:val="00465E50"/>
    <w:rsid w:val="00465E6B"/>
    <w:rsid w:val="00465ECC"/>
    <w:rsid w:val="00465EF2"/>
    <w:rsid w:val="00465F4B"/>
    <w:rsid w:val="00466058"/>
    <w:rsid w:val="00466194"/>
    <w:rsid w:val="004661EB"/>
    <w:rsid w:val="0046621A"/>
    <w:rsid w:val="00466225"/>
    <w:rsid w:val="004662FE"/>
    <w:rsid w:val="00466330"/>
    <w:rsid w:val="004663DA"/>
    <w:rsid w:val="00466482"/>
    <w:rsid w:val="00466594"/>
    <w:rsid w:val="004665B1"/>
    <w:rsid w:val="004667AD"/>
    <w:rsid w:val="004667D7"/>
    <w:rsid w:val="004667FC"/>
    <w:rsid w:val="0046681F"/>
    <w:rsid w:val="00466A1E"/>
    <w:rsid w:val="00466A78"/>
    <w:rsid w:val="00466B06"/>
    <w:rsid w:val="00466B39"/>
    <w:rsid w:val="00466DE7"/>
    <w:rsid w:val="00466E7B"/>
    <w:rsid w:val="00466ED9"/>
    <w:rsid w:val="00466FAE"/>
    <w:rsid w:val="00466FB9"/>
    <w:rsid w:val="0046701C"/>
    <w:rsid w:val="0046703B"/>
    <w:rsid w:val="0046720B"/>
    <w:rsid w:val="0046722E"/>
    <w:rsid w:val="00467390"/>
    <w:rsid w:val="00467442"/>
    <w:rsid w:val="004675BA"/>
    <w:rsid w:val="004676C7"/>
    <w:rsid w:val="00467710"/>
    <w:rsid w:val="00467715"/>
    <w:rsid w:val="00467779"/>
    <w:rsid w:val="0046796B"/>
    <w:rsid w:val="0046798F"/>
    <w:rsid w:val="00467A6C"/>
    <w:rsid w:val="00467ABF"/>
    <w:rsid w:val="00467AC5"/>
    <w:rsid w:val="00467B6A"/>
    <w:rsid w:val="00467BD7"/>
    <w:rsid w:val="00467C48"/>
    <w:rsid w:val="00467DBF"/>
    <w:rsid w:val="00467DD7"/>
    <w:rsid w:val="00467DF6"/>
    <w:rsid w:val="00467E00"/>
    <w:rsid w:val="00467E17"/>
    <w:rsid w:val="00467E5F"/>
    <w:rsid w:val="00467ED6"/>
    <w:rsid w:val="00467F7E"/>
    <w:rsid w:val="00467FA7"/>
    <w:rsid w:val="00470050"/>
    <w:rsid w:val="00470088"/>
    <w:rsid w:val="004701CF"/>
    <w:rsid w:val="0047022C"/>
    <w:rsid w:val="0047032A"/>
    <w:rsid w:val="00470392"/>
    <w:rsid w:val="004703C2"/>
    <w:rsid w:val="004703E0"/>
    <w:rsid w:val="004703E6"/>
    <w:rsid w:val="00470403"/>
    <w:rsid w:val="0047068C"/>
    <w:rsid w:val="004706E2"/>
    <w:rsid w:val="0047071D"/>
    <w:rsid w:val="00470993"/>
    <w:rsid w:val="004709BE"/>
    <w:rsid w:val="004709FD"/>
    <w:rsid w:val="00470B5D"/>
    <w:rsid w:val="00470B70"/>
    <w:rsid w:val="00470C1E"/>
    <w:rsid w:val="00470C81"/>
    <w:rsid w:val="00470D56"/>
    <w:rsid w:val="00470E4B"/>
    <w:rsid w:val="00470FD0"/>
    <w:rsid w:val="0047103F"/>
    <w:rsid w:val="0047104D"/>
    <w:rsid w:val="004712C9"/>
    <w:rsid w:val="00471374"/>
    <w:rsid w:val="0047147B"/>
    <w:rsid w:val="0047149D"/>
    <w:rsid w:val="00471508"/>
    <w:rsid w:val="004715F0"/>
    <w:rsid w:val="0047164E"/>
    <w:rsid w:val="0047180E"/>
    <w:rsid w:val="0047182B"/>
    <w:rsid w:val="004718D0"/>
    <w:rsid w:val="004718E8"/>
    <w:rsid w:val="00471A45"/>
    <w:rsid w:val="00471AC4"/>
    <w:rsid w:val="00471BA2"/>
    <w:rsid w:val="00471BDB"/>
    <w:rsid w:val="00471CB4"/>
    <w:rsid w:val="00471F16"/>
    <w:rsid w:val="00471FE7"/>
    <w:rsid w:val="00472023"/>
    <w:rsid w:val="00472044"/>
    <w:rsid w:val="0047226A"/>
    <w:rsid w:val="00472310"/>
    <w:rsid w:val="00472421"/>
    <w:rsid w:val="00472831"/>
    <w:rsid w:val="00472888"/>
    <w:rsid w:val="0047295A"/>
    <w:rsid w:val="00472992"/>
    <w:rsid w:val="004729B7"/>
    <w:rsid w:val="004729D0"/>
    <w:rsid w:val="00472A12"/>
    <w:rsid w:val="00472A85"/>
    <w:rsid w:val="00472AA9"/>
    <w:rsid w:val="00472C9B"/>
    <w:rsid w:val="00472CC1"/>
    <w:rsid w:val="00472E0C"/>
    <w:rsid w:val="00472F8C"/>
    <w:rsid w:val="00473043"/>
    <w:rsid w:val="00473058"/>
    <w:rsid w:val="00473093"/>
    <w:rsid w:val="004730DC"/>
    <w:rsid w:val="00473106"/>
    <w:rsid w:val="0047311E"/>
    <w:rsid w:val="0047312F"/>
    <w:rsid w:val="0047322A"/>
    <w:rsid w:val="004732DC"/>
    <w:rsid w:val="00473300"/>
    <w:rsid w:val="00473322"/>
    <w:rsid w:val="0047334B"/>
    <w:rsid w:val="004734CE"/>
    <w:rsid w:val="00473615"/>
    <w:rsid w:val="004736D5"/>
    <w:rsid w:val="004736FE"/>
    <w:rsid w:val="00473721"/>
    <w:rsid w:val="00473737"/>
    <w:rsid w:val="004737B6"/>
    <w:rsid w:val="004737DF"/>
    <w:rsid w:val="004737E9"/>
    <w:rsid w:val="004738BC"/>
    <w:rsid w:val="00473955"/>
    <w:rsid w:val="0047395D"/>
    <w:rsid w:val="00473A5E"/>
    <w:rsid w:val="00473B55"/>
    <w:rsid w:val="00473BB4"/>
    <w:rsid w:val="00473C36"/>
    <w:rsid w:val="00473C95"/>
    <w:rsid w:val="00473DE0"/>
    <w:rsid w:val="00473EDC"/>
    <w:rsid w:val="00473FD7"/>
    <w:rsid w:val="004740B1"/>
    <w:rsid w:val="004740C5"/>
    <w:rsid w:val="0047429F"/>
    <w:rsid w:val="00474371"/>
    <w:rsid w:val="004743B8"/>
    <w:rsid w:val="0047448D"/>
    <w:rsid w:val="004744E1"/>
    <w:rsid w:val="00474592"/>
    <w:rsid w:val="004745D9"/>
    <w:rsid w:val="00474627"/>
    <w:rsid w:val="0047466B"/>
    <w:rsid w:val="00474718"/>
    <w:rsid w:val="0047471E"/>
    <w:rsid w:val="0047488A"/>
    <w:rsid w:val="004748CA"/>
    <w:rsid w:val="004748D5"/>
    <w:rsid w:val="00474933"/>
    <w:rsid w:val="00474B5F"/>
    <w:rsid w:val="00474B88"/>
    <w:rsid w:val="00474CC4"/>
    <w:rsid w:val="00474E2F"/>
    <w:rsid w:val="00474E8A"/>
    <w:rsid w:val="00474E99"/>
    <w:rsid w:val="00474EF6"/>
    <w:rsid w:val="00474F6B"/>
    <w:rsid w:val="004750CD"/>
    <w:rsid w:val="0047518F"/>
    <w:rsid w:val="004751E9"/>
    <w:rsid w:val="0047525D"/>
    <w:rsid w:val="004754A9"/>
    <w:rsid w:val="00475534"/>
    <w:rsid w:val="0047555A"/>
    <w:rsid w:val="004756C3"/>
    <w:rsid w:val="0047576D"/>
    <w:rsid w:val="00475777"/>
    <w:rsid w:val="00475851"/>
    <w:rsid w:val="004758A9"/>
    <w:rsid w:val="004759BA"/>
    <w:rsid w:val="00475A29"/>
    <w:rsid w:val="00475A4F"/>
    <w:rsid w:val="00475B99"/>
    <w:rsid w:val="00475BCD"/>
    <w:rsid w:val="00475C1E"/>
    <w:rsid w:val="00475DCF"/>
    <w:rsid w:val="00475DF6"/>
    <w:rsid w:val="00475E61"/>
    <w:rsid w:val="00475FB1"/>
    <w:rsid w:val="00475FD9"/>
    <w:rsid w:val="004760A0"/>
    <w:rsid w:val="004760B3"/>
    <w:rsid w:val="0047617E"/>
    <w:rsid w:val="00476269"/>
    <w:rsid w:val="00476273"/>
    <w:rsid w:val="004762A7"/>
    <w:rsid w:val="00476311"/>
    <w:rsid w:val="00476335"/>
    <w:rsid w:val="00476444"/>
    <w:rsid w:val="00476476"/>
    <w:rsid w:val="004764B2"/>
    <w:rsid w:val="00476522"/>
    <w:rsid w:val="0047675C"/>
    <w:rsid w:val="00476796"/>
    <w:rsid w:val="004767B7"/>
    <w:rsid w:val="0047697F"/>
    <w:rsid w:val="004769F9"/>
    <w:rsid w:val="00476A4D"/>
    <w:rsid w:val="00476A82"/>
    <w:rsid w:val="00476A93"/>
    <w:rsid w:val="00476AE6"/>
    <w:rsid w:val="00476AF7"/>
    <w:rsid w:val="00476B03"/>
    <w:rsid w:val="00476B96"/>
    <w:rsid w:val="00476BB3"/>
    <w:rsid w:val="00476C04"/>
    <w:rsid w:val="00476DEC"/>
    <w:rsid w:val="00476E84"/>
    <w:rsid w:val="00476F22"/>
    <w:rsid w:val="00476F44"/>
    <w:rsid w:val="00476FF2"/>
    <w:rsid w:val="00477043"/>
    <w:rsid w:val="00477399"/>
    <w:rsid w:val="0047749F"/>
    <w:rsid w:val="004774AC"/>
    <w:rsid w:val="004774E8"/>
    <w:rsid w:val="00477587"/>
    <w:rsid w:val="00477594"/>
    <w:rsid w:val="00477597"/>
    <w:rsid w:val="004776A5"/>
    <w:rsid w:val="004776D6"/>
    <w:rsid w:val="004777BC"/>
    <w:rsid w:val="004778DD"/>
    <w:rsid w:val="00477923"/>
    <w:rsid w:val="0047795D"/>
    <w:rsid w:val="004779B5"/>
    <w:rsid w:val="00477AB1"/>
    <w:rsid w:val="00477B5D"/>
    <w:rsid w:val="00477B99"/>
    <w:rsid w:val="00477C10"/>
    <w:rsid w:val="00477CE0"/>
    <w:rsid w:val="00477EC1"/>
    <w:rsid w:val="00477EE1"/>
    <w:rsid w:val="00477F21"/>
    <w:rsid w:val="00477F8B"/>
    <w:rsid w:val="00477FF2"/>
    <w:rsid w:val="00477FFE"/>
    <w:rsid w:val="00480001"/>
    <w:rsid w:val="004800FF"/>
    <w:rsid w:val="00480145"/>
    <w:rsid w:val="00480149"/>
    <w:rsid w:val="004801EE"/>
    <w:rsid w:val="004801F4"/>
    <w:rsid w:val="0048020B"/>
    <w:rsid w:val="004802AE"/>
    <w:rsid w:val="0048031F"/>
    <w:rsid w:val="0048038D"/>
    <w:rsid w:val="0048038E"/>
    <w:rsid w:val="004803A5"/>
    <w:rsid w:val="00480405"/>
    <w:rsid w:val="004805B7"/>
    <w:rsid w:val="004805E7"/>
    <w:rsid w:val="004807E4"/>
    <w:rsid w:val="0048087F"/>
    <w:rsid w:val="0048089F"/>
    <w:rsid w:val="00480A2F"/>
    <w:rsid w:val="00480B57"/>
    <w:rsid w:val="00480D19"/>
    <w:rsid w:val="00480D97"/>
    <w:rsid w:val="00480EF4"/>
    <w:rsid w:val="00480F07"/>
    <w:rsid w:val="00481177"/>
    <w:rsid w:val="0048120B"/>
    <w:rsid w:val="00481333"/>
    <w:rsid w:val="0048150E"/>
    <w:rsid w:val="00481531"/>
    <w:rsid w:val="00481578"/>
    <w:rsid w:val="00481603"/>
    <w:rsid w:val="004817A3"/>
    <w:rsid w:val="0048188F"/>
    <w:rsid w:val="004818F8"/>
    <w:rsid w:val="00481945"/>
    <w:rsid w:val="00481946"/>
    <w:rsid w:val="00481AF4"/>
    <w:rsid w:val="00481B3A"/>
    <w:rsid w:val="00481BEA"/>
    <w:rsid w:val="00481C74"/>
    <w:rsid w:val="00481C80"/>
    <w:rsid w:val="00481D6B"/>
    <w:rsid w:val="00481D79"/>
    <w:rsid w:val="00481E51"/>
    <w:rsid w:val="00481E91"/>
    <w:rsid w:val="00481F1D"/>
    <w:rsid w:val="00481F45"/>
    <w:rsid w:val="00481F83"/>
    <w:rsid w:val="004821E3"/>
    <w:rsid w:val="00482296"/>
    <w:rsid w:val="004822F8"/>
    <w:rsid w:val="0048252C"/>
    <w:rsid w:val="00482606"/>
    <w:rsid w:val="00482622"/>
    <w:rsid w:val="00482707"/>
    <w:rsid w:val="00482767"/>
    <w:rsid w:val="00482871"/>
    <w:rsid w:val="00482897"/>
    <w:rsid w:val="004828C8"/>
    <w:rsid w:val="00482AFE"/>
    <w:rsid w:val="00482C01"/>
    <w:rsid w:val="00482CA4"/>
    <w:rsid w:val="00482D04"/>
    <w:rsid w:val="00482D3C"/>
    <w:rsid w:val="00482F2F"/>
    <w:rsid w:val="00482FA1"/>
    <w:rsid w:val="00482FB2"/>
    <w:rsid w:val="00482FE2"/>
    <w:rsid w:val="004830F0"/>
    <w:rsid w:val="0048313B"/>
    <w:rsid w:val="004831A5"/>
    <w:rsid w:val="004831E6"/>
    <w:rsid w:val="0048325C"/>
    <w:rsid w:val="00483377"/>
    <w:rsid w:val="004833F2"/>
    <w:rsid w:val="0048350F"/>
    <w:rsid w:val="00483512"/>
    <w:rsid w:val="00483526"/>
    <w:rsid w:val="004835F0"/>
    <w:rsid w:val="00483819"/>
    <w:rsid w:val="0048382D"/>
    <w:rsid w:val="00483835"/>
    <w:rsid w:val="0048389B"/>
    <w:rsid w:val="00483991"/>
    <w:rsid w:val="00483AA6"/>
    <w:rsid w:val="00483B6E"/>
    <w:rsid w:val="00483B78"/>
    <w:rsid w:val="00483CCE"/>
    <w:rsid w:val="00483D97"/>
    <w:rsid w:val="00483DEA"/>
    <w:rsid w:val="00483F1E"/>
    <w:rsid w:val="00484083"/>
    <w:rsid w:val="004840B6"/>
    <w:rsid w:val="004840DB"/>
    <w:rsid w:val="004843F2"/>
    <w:rsid w:val="004844B9"/>
    <w:rsid w:val="00484520"/>
    <w:rsid w:val="00484522"/>
    <w:rsid w:val="00484573"/>
    <w:rsid w:val="00484607"/>
    <w:rsid w:val="00484629"/>
    <w:rsid w:val="004846D7"/>
    <w:rsid w:val="00484902"/>
    <w:rsid w:val="00484B5A"/>
    <w:rsid w:val="00484B67"/>
    <w:rsid w:val="00484B95"/>
    <w:rsid w:val="00484C00"/>
    <w:rsid w:val="00484D57"/>
    <w:rsid w:val="00484D7D"/>
    <w:rsid w:val="00484DFB"/>
    <w:rsid w:val="00484EF9"/>
    <w:rsid w:val="00484F13"/>
    <w:rsid w:val="00484F5E"/>
    <w:rsid w:val="00484FF4"/>
    <w:rsid w:val="00485133"/>
    <w:rsid w:val="004852D0"/>
    <w:rsid w:val="004852EB"/>
    <w:rsid w:val="00485391"/>
    <w:rsid w:val="004854A2"/>
    <w:rsid w:val="004854D6"/>
    <w:rsid w:val="004855B7"/>
    <w:rsid w:val="00485600"/>
    <w:rsid w:val="0048574B"/>
    <w:rsid w:val="00485776"/>
    <w:rsid w:val="004859C4"/>
    <w:rsid w:val="004859DE"/>
    <w:rsid w:val="00485A45"/>
    <w:rsid w:val="00485A71"/>
    <w:rsid w:val="00485ACD"/>
    <w:rsid w:val="00485BC1"/>
    <w:rsid w:val="00485C8A"/>
    <w:rsid w:val="00485C91"/>
    <w:rsid w:val="00485CE4"/>
    <w:rsid w:val="00485DD0"/>
    <w:rsid w:val="00485E31"/>
    <w:rsid w:val="00485EE2"/>
    <w:rsid w:val="00485F90"/>
    <w:rsid w:val="00486014"/>
    <w:rsid w:val="004860BB"/>
    <w:rsid w:val="004860BC"/>
    <w:rsid w:val="004860E0"/>
    <w:rsid w:val="00486103"/>
    <w:rsid w:val="0048616D"/>
    <w:rsid w:val="0048619B"/>
    <w:rsid w:val="00486260"/>
    <w:rsid w:val="00486328"/>
    <w:rsid w:val="00486329"/>
    <w:rsid w:val="00486403"/>
    <w:rsid w:val="00486472"/>
    <w:rsid w:val="004864CF"/>
    <w:rsid w:val="004864DA"/>
    <w:rsid w:val="004865CF"/>
    <w:rsid w:val="004866DA"/>
    <w:rsid w:val="00486723"/>
    <w:rsid w:val="004868B6"/>
    <w:rsid w:val="004869AB"/>
    <w:rsid w:val="00486A61"/>
    <w:rsid w:val="00486AF1"/>
    <w:rsid w:val="00486CEA"/>
    <w:rsid w:val="00486E69"/>
    <w:rsid w:val="00486F1E"/>
    <w:rsid w:val="00486F37"/>
    <w:rsid w:val="00486F76"/>
    <w:rsid w:val="00486FCC"/>
    <w:rsid w:val="00487066"/>
    <w:rsid w:val="004870C5"/>
    <w:rsid w:val="004870DA"/>
    <w:rsid w:val="0048717F"/>
    <w:rsid w:val="004872BC"/>
    <w:rsid w:val="004872E7"/>
    <w:rsid w:val="00487336"/>
    <w:rsid w:val="00487361"/>
    <w:rsid w:val="004873A0"/>
    <w:rsid w:val="004873DD"/>
    <w:rsid w:val="00487410"/>
    <w:rsid w:val="004874A4"/>
    <w:rsid w:val="00487532"/>
    <w:rsid w:val="004875AE"/>
    <w:rsid w:val="004876A4"/>
    <w:rsid w:val="004876E4"/>
    <w:rsid w:val="0048770D"/>
    <w:rsid w:val="00487741"/>
    <w:rsid w:val="00487847"/>
    <w:rsid w:val="00487926"/>
    <w:rsid w:val="004879FB"/>
    <w:rsid w:val="00487AFD"/>
    <w:rsid w:val="00487B75"/>
    <w:rsid w:val="00487B7A"/>
    <w:rsid w:val="00487C1C"/>
    <w:rsid w:val="00487C41"/>
    <w:rsid w:val="00487C7B"/>
    <w:rsid w:val="00487C88"/>
    <w:rsid w:val="00487D31"/>
    <w:rsid w:val="00487D56"/>
    <w:rsid w:val="00487DEF"/>
    <w:rsid w:val="00487E7B"/>
    <w:rsid w:val="00487EA3"/>
    <w:rsid w:val="00487EB0"/>
    <w:rsid w:val="00487F2E"/>
    <w:rsid w:val="00487F6C"/>
    <w:rsid w:val="004901A1"/>
    <w:rsid w:val="004901A3"/>
    <w:rsid w:val="00490262"/>
    <w:rsid w:val="00490273"/>
    <w:rsid w:val="00490348"/>
    <w:rsid w:val="00490355"/>
    <w:rsid w:val="004903F9"/>
    <w:rsid w:val="00490414"/>
    <w:rsid w:val="00490709"/>
    <w:rsid w:val="00490758"/>
    <w:rsid w:val="00490762"/>
    <w:rsid w:val="00490789"/>
    <w:rsid w:val="0049090B"/>
    <w:rsid w:val="00490929"/>
    <w:rsid w:val="00490A7D"/>
    <w:rsid w:val="00490A93"/>
    <w:rsid w:val="00490B1A"/>
    <w:rsid w:val="00490BE5"/>
    <w:rsid w:val="00490DA4"/>
    <w:rsid w:val="00490DDC"/>
    <w:rsid w:val="00490E37"/>
    <w:rsid w:val="00490E4D"/>
    <w:rsid w:val="00490FAB"/>
    <w:rsid w:val="0049105A"/>
    <w:rsid w:val="00491135"/>
    <w:rsid w:val="00491147"/>
    <w:rsid w:val="00491175"/>
    <w:rsid w:val="004911F5"/>
    <w:rsid w:val="004912A4"/>
    <w:rsid w:val="004913B6"/>
    <w:rsid w:val="00491464"/>
    <w:rsid w:val="004914AE"/>
    <w:rsid w:val="00491504"/>
    <w:rsid w:val="0049150B"/>
    <w:rsid w:val="00491530"/>
    <w:rsid w:val="004915C6"/>
    <w:rsid w:val="004915FC"/>
    <w:rsid w:val="00491759"/>
    <w:rsid w:val="0049177B"/>
    <w:rsid w:val="00491781"/>
    <w:rsid w:val="004917CA"/>
    <w:rsid w:val="004917F8"/>
    <w:rsid w:val="00491914"/>
    <w:rsid w:val="00491967"/>
    <w:rsid w:val="004919C5"/>
    <w:rsid w:val="00491A2C"/>
    <w:rsid w:val="00491AFD"/>
    <w:rsid w:val="00491C1F"/>
    <w:rsid w:val="00491C4D"/>
    <w:rsid w:val="00491CE8"/>
    <w:rsid w:val="00491DAE"/>
    <w:rsid w:val="00491E5D"/>
    <w:rsid w:val="00491E5E"/>
    <w:rsid w:val="00491ED6"/>
    <w:rsid w:val="00491EF7"/>
    <w:rsid w:val="00491FEF"/>
    <w:rsid w:val="00492143"/>
    <w:rsid w:val="00492170"/>
    <w:rsid w:val="00492219"/>
    <w:rsid w:val="00492297"/>
    <w:rsid w:val="0049229D"/>
    <w:rsid w:val="004922E6"/>
    <w:rsid w:val="0049238F"/>
    <w:rsid w:val="004923DF"/>
    <w:rsid w:val="00492423"/>
    <w:rsid w:val="004924A9"/>
    <w:rsid w:val="004924B6"/>
    <w:rsid w:val="00492552"/>
    <w:rsid w:val="00492939"/>
    <w:rsid w:val="00492943"/>
    <w:rsid w:val="00492984"/>
    <w:rsid w:val="0049299D"/>
    <w:rsid w:val="00492A31"/>
    <w:rsid w:val="00492A35"/>
    <w:rsid w:val="00492A87"/>
    <w:rsid w:val="00492B1D"/>
    <w:rsid w:val="00492B95"/>
    <w:rsid w:val="00492D33"/>
    <w:rsid w:val="00492D57"/>
    <w:rsid w:val="00492DFF"/>
    <w:rsid w:val="00492E2A"/>
    <w:rsid w:val="00492F7D"/>
    <w:rsid w:val="004930D7"/>
    <w:rsid w:val="004931B6"/>
    <w:rsid w:val="004931F4"/>
    <w:rsid w:val="00493301"/>
    <w:rsid w:val="004933FD"/>
    <w:rsid w:val="00493462"/>
    <w:rsid w:val="00493688"/>
    <w:rsid w:val="004936A1"/>
    <w:rsid w:val="004936BA"/>
    <w:rsid w:val="004936E3"/>
    <w:rsid w:val="0049370F"/>
    <w:rsid w:val="00493789"/>
    <w:rsid w:val="00493810"/>
    <w:rsid w:val="0049397E"/>
    <w:rsid w:val="00493989"/>
    <w:rsid w:val="00493A80"/>
    <w:rsid w:val="00493AC9"/>
    <w:rsid w:val="00493B63"/>
    <w:rsid w:val="00493B78"/>
    <w:rsid w:val="00493B79"/>
    <w:rsid w:val="00493E2B"/>
    <w:rsid w:val="00493EA5"/>
    <w:rsid w:val="00493F3A"/>
    <w:rsid w:val="00493FC5"/>
    <w:rsid w:val="0049406A"/>
    <w:rsid w:val="004940F2"/>
    <w:rsid w:val="00494160"/>
    <w:rsid w:val="004941AE"/>
    <w:rsid w:val="0049421F"/>
    <w:rsid w:val="00494355"/>
    <w:rsid w:val="00494388"/>
    <w:rsid w:val="004943DC"/>
    <w:rsid w:val="00494530"/>
    <w:rsid w:val="0049459E"/>
    <w:rsid w:val="00494682"/>
    <w:rsid w:val="004946A0"/>
    <w:rsid w:val="004946BB"/>
    <w:rsid w:val="00494900"/>
    <w:rsid w:val="00494945"/>
    <w:rsid w:val="00494976"/>
    <w:rsid w:val="004949BA"/>
    <w:rsid w:val="00494B03"/>
    <w:rsid w:val="00494C07"/>
    <w:rsid w:val="00494C19"/>
    <w:rsid w:val="00494C64"/>
    <w:rsid w:val="00494CE4"/>
    <w:rsid w:val="00494DA8"/>
    <w:rsid w:val="00494E76"/>
    <w:rsid w:val="00494E83"/>
    <w:rsid w:val="004950B3"/>
    <w:rsid w:val="004951DA"/>
    <w:rsid w:val="004951F7"/>
    <w:rsid w:val="00495228"/>
    <w:rsid w:val="00495374"/>
    <w:rsid w:val="0049537A"/>
    <w:rsid w:val="00495529"/>
    <w:rsid w:val="004957A4"/>
    <w:rsid w:val="004957C6"/>
    <w:rsid w:val="0049584A"/>
    <w:rsid w:val="00495911"/>
    <w:rsid w:val="00495941"/>
    <w:rsid w:val="00495A28"/>
    <w:rsid w:val="00495A4D"/>
    <w:rsid w:val="00495B18"/>
    <w:rsid w:val="00495B72"/>
    <w:rsid w:val="00495D5A"/>
    <w:rsid w:val="00495E07"/>
    <w:rsid w:val="00495E46"/>
    <w:rsid w:val="00495EA8"/>
    <w:rsid w:val="00495F69"/>
    <w:rsid w:val="00495FB8"/>
    <w:rsid w:val="0049603A"/>
    <w:rsid w:val="00496156"/>
    <w:rsid w:val="004961A5"/>
    <w:rsid w:val="004961CB"/>
    <w:rsid w:val="00496250"/>
    <w:rsid w:val="004962EA"/>
    <w:rsid w:val="00496317"/>
    <w:rsid w:val="004964C6"/>
    <w:rsid w:val="00496538"/>
    <w:rsid w:val="00496596"/>
    <w:rsid w:val="0049660D"/>
    <w:rsid w:val="0049667A"/>
    <w:rsid w:val="00496694"/>
    <w:rsid w:val="00496773"/>
    <w:rsid w:val="00496892"/>
    <w:rsid w:val="004968C7"/>
    <w:rsid w:val="004968DB"/>
    <w:rsid w:val="004968E9"/>
    <w:rsid w:val="00496940"/>
    <w:rsid w:val="00496A2B"/>
    <w:rsid w:val="00496A3F"/>
    <w:rsid w:val="00496A9A"/>
    <w:rsid w:val="00496B0C"/>
    <w:rsid w:val="00496C73"/>
    <w:rsid w:val="00496E54"/>
    <w:rsid w:val="00496EF2"/>
    <w:rsid w:val="00496EF5"/>
    <w:rsid w:val="0049708C"/>
    <w:rsid w:val="00497114"/>
    <w:rsid w:val="00497122"/>
    <w:rsid w:val="00497149"/>
    <w:rsid w:val="004971CE"/>
    <w:rsid w:val="00497226"/>
    <w:rsid w:val="004972F7"/>
    <w:rsid w:val="0049732B"/>
    <w:rsid w:val="00497363"/>
    <w:rsid w:val="00497377"/>
    <w:rsid w:val="004973D7"/>
    <w:rsid w:val="00497402"/>
    <w:rsid w:val="004974DE"/>
    <w:rsid w:val="00497676"/>
    <w:rsid w:val="004976C1"/>
    <w:rsid w:val="004977C0"/>
    <w:rsid w:val="00497957"/>
    <w:rsid w:val="00497A70"/>
    <w:rsid w:val="00497B0D"/>
    <w:rsid w:val="00497B29"/>
    <w:rsid w:val="00497B4E"/>
    <w:rsid w:val="00497BA1"/>
    <w:rsid w:val="00497C1B"/>
    <w:rsid w:val="00497CC4"/>
    <w:rsid w:val="00497D47"/>
    <w:rsid w:val="00497D66"/>
    <w:rsid w:val="00497DFE"/>
    <w:rsid w:val="00497E0B"/>
    <w:rsid w:val="00497E88"/>
    <w:rsid w:val="00497EC7"/>
    <w:rsid w:val="00497F70"/>
    <w:rsid w:val="004A003C"/>
    <w:rsid w:val="004A0140"/>
    <w:rsid w:val="004A019D"/>
    <w:rsid w:val="004A019F"/>
    <w:rsid w:val="004A022F"/>
    <w:rsid w:val="004A0309"/>
    <w:rsid w:val="004A03E5"/>
    <w:rsid w:val="004A045B"/>
    <w:rsid w:val="004A047D"/>
    <w:rsid w:val="004A04C2"/>
    <w:rsid w:val="004A061E"/>
    <w:rsid w:val="004A0767"/>
    <w:rsid w:val="004A0779"/>
    <w:rsid w:val="004A081F"/>
    <w:rsid w:val="004A0891"/>
    <w:rsid w:val="004A08EE"/>
    <w:rsid w:val="004A09E9"/>
    <w:rsid w:val="004A0B10"/>
    <w:rsid w:val="004A0BF8"/>
    <w:rsid w:val="004A0D14"/>
    <w:rsid w:val="004A0D63"/>
    <w:rsid w:val="004A0D9A"/>
    <w:rsid w:val="004A0DFD"/>
    <w:rsid w:val="004A0E05"/>
    <w:rsid w:val="004A0E54"/>
    <w:rsid w:val="004A0EED"/>
    <w:rsid w:val="004A0F0E"/>
    <w:rsid w:val="004A0FE7"/>
    <w:rsid w:val="004A0FED"/>
    <w:rsid w:val="004A1066"/>
    <w:rsid w:val="004A107E"/>
    <w:rsid w:val="004A10EA"/>
    <w:rsid w:val="004A1152"/>
    <w:rsid w:val="004A1195"/>
    <w:rsid w:val="004A12CE"/>
    <w:rsid w:val="004A12F9"/>
    <w:rsid w:val="004A1349"/>
    <w:rsid w:val="004A136C"/>
    <w:rsid w:val="004A1420"/>
    <w:rsid w:val="004A15B6"/>
    <w:rsid w:val="004A15EA"/>
    <w:rsid w:val="004A1625"/>
    <w:rsid w:val="004A163F"/>
    <w:rsid w:val="004A17AD"/>
    <w:rsid w:val="004A17CA"/>
    <w:rsid w:val="004A1881"/>
    <w:rsid w:val="004A1928"/>
    <w:rsid w:val="004A1964"/>
    <w:rsid w:val="004A1A32"/>
    <w:rsid w:val="004A1B9F"/>
    <w:rsid w:val="004A1D71"/>
    <w:rsid w:val="004A1DC4"/>
    <w:rsid w:val="004A1DF6"/>
    <w:rsid w:val="004A1FB4"/>
    <w:rsid w:val="004A1FE2"/>
    <w:rsid w:val="004A1FE4"/>
    <w:rsid w:val="004A2089"/>
    <w:rsid w:val="004A20AD"/>
    <w:rsid w:val="004A20B0"/>
    <w:rsid w:val="004A2159"/>
    <w:rsid w:val="004A21F1"/>
    <w:rsid w:val="004A2215"/>
    <w:rsid w:val="004A2277"/>
    <w:rsid w:val="004A2384"/>
    <w:rsid w:val="004A2400"/>
    <w:rsid w:val="004A25BF"/>
    <w:rsid w:val="004A26C4"/>
    <w:rsid w:val="004A27EE"/>
    <w:rsid w:val="004A2888"/>
    <w:rsid w:val="004A28BC"/>
    <w:rsid w:val="004A28CC"/>
    <w:rsid w:val="004A2923"/>
    <w:rsid w:val="004A29AE"/>
    <w:rsid w:val="004A29F7"/>
    <w:rsid w:val="004A2B89"/>
    <w:rsid w:val="004A2C64"/>
    <w:rsid w:val="004A2CCE"/>
    <w:rsid w:val="004A2D5B"/>
    <w:rsid w:val="004A2DA5"/>
    <w:rsid w:val="004A2E47"/>
    <w:rsid w:val="004A2EB3"/>
    <w:rsid w:val="004A2EFC"/>
    <w:rsid w:val="004A2F9A"/>
    <w:rsid w:val="004A32D2"/>
    <w:rsid w:val="004A337A"/>
    <w:rsid w:val="004A33FC"/>
    <w:rsid w:val="004A35C5"/>
    <w:rsid w:val="004A35CB"/>
    <w:rsid w:val="004A35E2"/>
    <w:rsid w:val="004A3661"/>
    <w:rsid w:val="004A3667"/>
    <w:rsid w:val="004A36A4"/>
    <w:rsid w:val="004A3741"/>
    <w:rsid w:val="004A375C"/>
    <w:rsid w:val="004A3A12"/>
    <w:rsid w:val="004A3A1F"/>
    <w:rsid w:val="004A3AAC"/>
    <w:rsid w:val="004A3B68"/>
    <w:rsid w:val="004A3C3C"/>
    <w:rsid w:val="004A3CAA"/>
    <w:rsid w:val="004A3E87"/>
    <w:rsid w:val="004A3EE2"/>
    <w:rsid w:val="004A3F07"/>
    <w:rsid w:val="004A4014"/>
    <w:rsid w:val="004A4078"/>
    <w:rsid w:val="004A4097"/>
    <w:rsid w:val="004A40C6"/>
    <w:rsid w:val="004A40F1"/>
    <w:rsid w:val="004A4139"/>
    <w:rsid w:val="004A41EC"/>
    <w:rsid w:val="004A422E"/>
    <w:rsid w:val="004A4337"/>
    <w:rsid w:val="004A43AE"/>
    <w:rsid w:val="004A43CF"/>
    <w:rsid w:val="004A4607"/>
    <w:rsid w:val="004A4773"/>
    <w:rsid w:val="004A4783"/>
    <w:rsid w:val="004A48BA"/>
    <w:rsid w:val="004A49DA"/>
    <w:rsid w:val="004A4AC7"/>
    <w:rsid w:val="004A4AD4"/>
    <w:rsid w:val="004A4AF9"/>
    <w:rsid w:val="004A4C03"/>
    <w:rsid w:val="004A4D00"/>
    <w:rsid w:val="004A4FC6"/>
    <w:rsid w:val="004A4FD0"/>
    <w:rsid w:val="004A503D"/>
    <w:rsid w:val="004A5105"/>
    <w:rsid w:val="004A5115"/>
    <w:rsid w:val="004A5130"/>
    <w:rsid w:val="004A5302"/>
    <w:rsid w:val="004A535A"/>
    <w:rsid w:val="004A54C6"/>
    <w:rsid w:val="004A5750"/>
    <w:rsid w:val="004A590D"/>
    <w:rsid w:val="004A5927"/>
    <w:rsid w:val="004A59C0"/>
    <w:rsid w:val="004A5A46"/>
    <w:rsid w:val="004A5AD3"/>
    <w:rsid w:val="004A5C7C"/>
    <w:rsid w:val="004A5CC7"/>
    <w:rsid w:val="004A5DE4"/>
    <w:rsid w:val="004A5EB7"/>
    <w:rsid w:val="004A5EF7"/>
    <w:rsid w:val="004A6438"/>
    <w:rsid w:val="004A648F"/>
    <w:rsid w:val="004A66A6"/>
    <w:rsid w:val="004A66DD"/>
    <w:rsid w:val="004A66F8"/>
    <w:rsid w:val="004A671D"/>
    <w:rsid w:val="004A67AF"/>
    <w:rsid w:val="004A6800"/>
    <w:rsid w:val="004A6806"/>
    <w:rsid w:val="004A6845"/>
    <w:rsid w:val="004A6888"/>
    <w:rsid w:val="004A68A2"/>
    <w:rsid w:val="004A68CE"/>
    <w:rsid w:val="004A695E"/>
    <w:rsid w:val="004A6A45"/>
    <w:rsid w:val="004A6B1E"/>
    <w:rsid w:val="004A6B86"/>
    <w:rsid w:val="004A6C5E"/>
    <w:rsid w:val="004A6C99"/>
    <w:rsid w:val="004A6D83"/>
    <w:rsid w:val="004A6EE5"/>
    <w:rsid w:val="004A70EC"/>
    <w:rsid w:val="004A7176"/>
    <w:rsid w:val="004A71C9"/>
    <w:rsid w:val="004A73A6"/>
    <w:rsid w:val="004A7404"/>
    <w:rsid w:val="004A7472"/>
    <w:rsid w:val="004A765D"/>
    <w:rsid w:val="004A78FC"/>
    <w:rsid w:val="004A7941"/>
    <w:rsid w:val="004A795D"/>
    <w:rsid w:val="004A79C2"/>
    <w:rsid w:val="004A7A77"/>
    <w:rsid w:val="004A7B5E"/>
    <w:rsid w:val="004A7B78"/>
    <w:rsid w:val="004A7D39"/>
    <w:rsid w:val="004A7D60"/>
    <w:rsid w:val="004A7DB4"/>
    <w:rsid w:val="004A7E19"/>
    <w:rsid w:val="004A7E3D"/>
    <w:rsid w:val="004A7E92"/>
    <w:rsid w:val="004A7F35"/>
    <w:rsid w:val="004A7FC8"/>
    <w:rsid w:val="004B000D"/>
    <w:rsid w:val="004B0054"/>
    <w:rsid w:val="004B0130"/>
    <w:rsid w:val="004B0186"/>
    <w:rsid w:val="004B01AC"/>
    <w:rsid w:val="004B01C8"/>
    <w:rsid w:val="004B0241"/>
    <w:rsid w:val="004B02BB"/>
    <w:rsid w:val="004B0359"/>
    <w:rsid w:val="004B040C"/>
    <w:rsid w:val="004B041C"/>
    <w:rsid w:val="004B0459"/>
    <w:rsid w:val="004B05A0"/>
    <w:rsid w:val="004B05B4"/>
    <w:rsid w:val="004B0614"/>
    <w:rsid w:val="004B0684"/>
    <w:rsid w:val="004B06C7"/>
    <w:rsid w:val="004B0773"/>
    <w:rsid w:val="004B07EF"/>
    <w:rsid w:val="004B09A4"/>
    <w:rsid w:val="004B09A6"/>
    <w:rsid w:val="004B0A2D"/>
    <w:rsid w:val="004B0A97"/>
    <w:rsid w:val="004B0B27"/>
    <w:rsid w:val="004B0CD1"/>
    <w:rsid w:val="004B0D36"/>
    <w:rsid w:val="004B0DE5"/>
    <w:rsid w:val="004B0E7B"/>
    <w:rsid w:val="004B0EF5"/>
    <w:rsid w:val="004B10C3"/>
    <w:rsid w:val="004B10D5"/>
    <w:rsid w:val="004B11E7"/>
    <w:rsid w:val="004B121F"/>
    <w:rsid w:val="004B1270"/>
    <w:rsid w:val="004B12B3"/>
    <w:rsid w:val="004B141F"/>
    <w:rsid w:val="004B143F"/>
    <w:rsid w:val="004B147F"/>
    <w:rsid w:val="004B14D2"/>
    <w:rsid w:val="004B14E2"/>
    <w:rsid w:val="004B14E9"/>
    <w:rsid w:val="004B1500"/>
    <w:rsid w:val="004B1618"/>
    <w:rsid w:val="004B1628"/>
    <w:rsid w:val="004B1837"/>
    <w:rsid w:val="004B18E1"/>
    <w:rsid w:val="004B1937"/>
    <w:rsid w:val="004B1A74"/>
    <w:rsid w:val="004B1B0A"/>
    <w:rsid w:val="004B1C39"/>
    <w:rsid w:val="004B1E16"/>
    <w:rsid w:val="004B207F"/>
    <w:rsid w:val="004B20BA"/>
    <w:rsid w:val="004B21BE"/>
    <w:rsid w:val="004B2246"/>
    <w:rsid w:val="004B2261"/>
    <w:rsid w:val="004B22AA"/>
    <w:rsid w:val="004B22D2"/>
    <w:rsid w:val="004B22EC"/>
    <w:rsid w:val="004B235C"/>
    <w:rsid w:val="004B2494"/>
    <w:rsid w:val="004B2536"/>
    <w:rsid w:val="004B25A4"/>
    <w:rsid w:val="004B25B3"/>
    <w:rsid w:val="004B25EF"/>
    <w:rsid w:val="004B2649"/>
    <w:rsid w:val="004B26B2"/>
    <w:rsid w:val="004B27F8"/>
    <w:rsid w:val="004B28F7"/>
    <w:rsid w:val="004B2949"/>
    <w:rsid w:val="004B294D"/>
    <w:rsid w:val="004B298D"/>
    <w:rsid w:val="004B2A56"/>
    <w:rsid w:val="004B2A6C"/>
    <w:rsid w:val="004B2A8C"/>
    <w:rsid w:val="004B2AAA"/>
    <w:rsid w:val="004B2C32"/>
    <w:rsid w:val="004B2CB7"/>
    <w:rsid w:val="004B2D8F"/>
    <w:rsid w:val="004B2F63"/>
    <w:rsid w:val="004B2FA0"/>
    <w:rsid w:val="004B306F"/>
    <w:rsid w:val="004B30C0"/>
    <w:rsid w:val="004B323E"/>
    <w:rsid w:val="004B3286"/>
    <w:rsid w:val="004B32F9"/>
    <w:rsid w:val="004B33C2"/>
    <w:rsid w:val="004B33CD"/>
    <w:rsid w:val="004B3457"/>
    <w:rsid w:val="004B3520"/>
    <w:rsid w:val="004B3557"/>
    <w:rsid w:val="004B363D"/>
    <w:rsid w:val="004B3697"/>
    <w:rsid w:val="004B375F"/>
    <w:rsid w:val="004B37A4"/>
    <w:rsid w:val="004B3835"/>
    <w:rsid w:val="004B3BCB"/>
    <w:rsid w:val="004B3CC5"/>
    <w:rsid w:val="004B3D72"/>
    <w:rsid w:val="004B3D9E"/>
    <w:rsid w:val="004B3EAB"/>
    <w:rsid w:val="004B3EF3"/>
    <w:rsid w:val="004B42E0"/>
    <w:rsid w:val="004B4406"/>
    <w:rsid w:val="004B44EF"/>
    <w:rsid w:val="004B45E6"/>
    <w:rsid w:val="004B469C"/>
    <w:rsid w:val="004B4714"/>
    <w:rsid w:val="004B48ED"/>
    <w:rsid w:val="004B4A35"/>
    <w:rsid w:val="004B4A48"/>
    <w:rsid w:val="004B4A8D"/>
    <w:rsid w:val="004B4AF0"/>
    <w:rsid w:val="004B4B16"/>
    <w:rsid w:val="004B4B3A"/>
    <w:rsid w:val="004B4DA8"/>
    <w:rsid w:val="004B4DD3"/>
    <w:rsid w:val="004B4DE2"/>
    <w:rsid w:val="004B4F2F"/>
    <w:rsid w:val="004B502D"/>
    <w:rsid w:val="004B5045"/>
    <w:rsid w:val="004B5094"/>
    <w:rsid w:val="004B50A0"/>
    <w:rsid w:val="004B50E3"/>
    <w:rsid w:val="004B526F"/>
    <w:rsid w:val="004B52F2"/>
    <w:rsid w:val="004B52FF"/>
    <w:rsid w:val="004B533A"/>
    <w:rsid w:val="004B535A"/>
    <w:rsid w:val="004B5397"/>
    <w:rsid w:val="004B53A1"/>
    <w:rsid w:val="004B5551"/>
    <w:rsid w:val="004B55A4"/>
    <w:rsid w:val="004B55C5"/>
    <w:rsid w:val="004B567C"/>
    <w:rsid w:val="004B56DC"/>
    <w:rsid w:val="004B57E6"/>
    <w:rsid w:val="004B5805"/>
    <w:rsid w:val="004B5A12"/>
    <w:rsid w:val="004B5A99"/>
    <w:rsid w:val="004B5B51"/>
    <w:rsid w:val="004B5B97"/>
    <w:rsid w:val="004B5BA4"/>
    <w:rsid w:val="004B5DD5"/>
    <w:rsid w:val="004B5E42"/>
    <w:rsid w:val="004B5EDB"/>
    <w:rsid w:val="004B5F78"/>
    <w:rsid w:val="004B5FA8"/>
    <w:rsid w:val="004B60E7"/>
    <w:rsid w:val="004B614A"/>
    <w:rsid w:val="004B6344"/>
    <w:rsid w:val="004B634A"/>
    <w:rsid w:val="004B646E"/>
    <w:rsid w:val="004B64A5"/>
    <w:rsid w:val="004B64BE"/>
    <w:rsid w:val="004B64D7"/>
    <w:rsid w:val="004B6622"/>
    <w:rsid w:val="004B674F"/>
    <w:rsid w:val="004B67ED"/>
    <w:rsid w:val="004B69AB"/>
    <w:rsid w:val="004B69AC"/>
    <w:rsid w:val="004B6A16"/>
    <w:rsid w:val="004B6AA2"/>
    <w:rsid w:val="004B6AB3"/>
    <w:rsid w:val="004B6B66"/>
    <w:rsid w:val="004B6BD8"/>
    <w:rsid w:val="004B6BDA"/>
    <w:rsid w:val="004B6C2D"/>
    <w:rsid w:val="004B6C3D"/>
    <w:rsid w:val="004B6C42"/>
    <w:rsid w:val="004B6C9D"/>
    <w:rsid w:val="004B6CD5"/>
    <w:rsid w:val="004B6D0E"/>
    <w:rsid w:val="004B6D0F"/>
    <w:rsid w:val="004B6D7D"/>
    <w:rsid w:val="004B6DD5"/>
    <w:rsid w:val="004B6E0B"/>
    <w:rsid w:val="004B6ED8"/>
    <w:rsid w:val="004B6F63"/>
    <w:rsid w:val="004B709C"/>
    <w:rsid w:val="004B7126"/>
    <w:rsid w:val="004B712D"/>
    <w:rsid w:val="004B71F7"/>
    <w:rsid w:val="004B7207"/>
    <w:rsid w:val="004B720E"/>
    <w:rsid w:val="004B7326"/>
    <w:rsid w:val="004B7498"/>
    <w:rsid w:val="004B74A4"/>
    <w:rsid w:val="004B74A6"/>
    <w:rsid w:val="004B755E"/>
    <w:rsid w:val="004B7A93"/>
    <w:rsid w:val="004B7AD0"/>
    <w:rsid w:val="004B7AFD"/>
    <w:rsid w:val="004B7B21"/>
    <w:rsid w:val="004B7B3C"/>
    <w:rsid w:val="004B7B9C"/>
    <w:rsid w:val="004B7BD2"/>
    <w:rsid w:val="004B7BEF"/>
    <w:rsid w:val="004B7C5C"/>
    <w:rsid w:val="004B7D0E"/>
    <w:rsid w:val="004B7D22"/>
    <w:rsid w:val="004B7D7B"/>
    <w:rsid w:val="004B7DC2"/>
    <w:rsid w:val="004B7E00"/>
    <w:rsid w:val="004B7EC3"/>
    <w:rsid w:val="004B7F42"/>
    <w:rsid w:val="004B7F4F"/>
    <w:rsid w:val="004C0012"/>
    <w:rsid w:val="004C0196"/>
    <w:rsid w:val="004C0202"/>
    <w:rsid w:val="004C0271"/>
    <w:rsid w:val="004C04E8"/>
    <w:rsid w:val="004C0675"/>
    <w:rsid w:val="004C068B"/>
    <w:rsid w:val="004C070C"/>
    <w:rsid w:val="004C0790"/>
    <w:rsid w:val="004C0938"/>
    <w:rsid w:val="004C09BB"/>
    <w:rsid w:val="004C09DF"/>
    <w:rsid w:val="004C0A24"/>
    <w:rsid w:val="004C0AB9"/>
    <w:rsid w:val="004C0AE0"/>
    <w:rsid w:val="004C0B21"/>
    <w:rsid w:val="004C0B24"/>
    <w:rsid w:val="004C0B67"/>
    <w:rsid w:val="004C0B9A"/>
    <w:rsid w:val="004C0BF6"/>
    <w:rsid w:val="004C0C17"/>
    <w:rsid w:val="004C0C47"/>
    <w:rsid w:val="004C0C64"/>
    <w:rsid w:val="004C0C77"/>
    <w:rsid w:val="004C0CCD"/>
    <w:rsid w:val="004C0CD8"/>
    <w:rsid w:val="004C0D33"/>
    <w:rsid w:val="004C0D38"/>
    <w:rsid w:val="004C0D4C"/>
    <w:rsid w:val="004C0E28"/>
    <w:rsid w:val="004C0F22"/>
    <w:rsid w:val="004C0F5B"/>
    <w:rsid w:val="004C0FA6"/>
    <w:rsid w:val="004C101F"/>
    <w:rsid w:val="004C1191"/>
    <w:rsid w:val="004C11CD"/>
    <w:rsid w:val="004C1344"/>
    <w:rsid w:val="004C13E9"/>
    <w:rsid w:val="004C1436"/>
    <w:rsid w:val="004C14AB"/>
    <w:rsid w:val="004C14FE"/>
    <w:rsid w:val="004C163C"/>
    <w:rsid w:val="004C1767"/>
    <w:rsid w:val="004C176E"/>
    <w:rsid w:val="004C190E"/>
    <w:rsid w:val="004C1A0C"/>
    <w:rsid w:val="004C1AAA"/>
    <w:rsid w:val="004C1B8C"/>
    <w:rsid w:val="004C1BCB"/>
    <w:rsid w:val="004C1C10"/>
    <w:rsid w:val="004C1C51"/>
    <w:rsid w:val="004C1C70"/>
    <w:rsid w:val="004C1CE9"/>
    <w:rsid w:val="004C1D1E"/>
    <w:rsid w:val="004C1DCC"/>
    <w:rsid w:val="004C1E4F"/>
    <w:rsid w:val="004C1E8E"/>
    <w:rsid w:val="004C1F42"/>
    <w:rsid w:val="004C2054"/>
    <w:rsid w:val="004C2120"/>
    <w:rsid w:val="004C2209"/>
    <w:rsid w:val="004C22EB"/>
    <w:rsid w:val="004C22F3"/>
    <w:rsid w:val="004C2688"/>
    <w:rsid w:val="004C285E"/>
    <w:rsid w:val="004C290F"/>
    <w:rsid w:val="004C2928"/>
    <w:rsid w:val="004C29C8"/>
    <w:rsid w:val="004C2ACB"/>
    <w:rsid w:val="004C2C03"/>
    <w:rsid w:val="004C2C21"/>
    <w:rsid w:val="004C2C7C"/>
    <w:rsid w:val="004C2C92"/>
    <w:rsid w:val="004C2CF7"/>
    <w:rsid w:val="004C2D9A"/>
    <w:rsid w:val="004C2F1E"/>
    <w:rsid w:val="004C2F78"/>
    <w:rsid w:val="004C2FBE"/>
    <w:rsid w:val="004C3023"/>
    <w:rsid w:val="004C30D9"/>
    <w:rsid w:val="004C313C"/>
    <w:rsid w:val="004C313D"/>
    <w:rsid w:val="004C316C"/>
    <w:rsid w:val="004C31C0"/>
    <w:rsid w:val="004C32D9"/>
    <w:rsid w:val="004C3405"/>
    <w:rsid w:val="004C357E"/>
    <w:rsid w:val="004C3608"/>
    <w:rsid w:val="004C3668"/>
    <w:rsid w:val="004C36DD"/>
    <w:rsid w:val="004C3795"/>
    <w:rsid w:val="004C3961"/>
    <w:rsid w:val="004C398A"/>
    <w:rsid w:val="004C3C8F"/>
    <w:rsid w:val="004C3DC6"/>
    <w:rsid w:val="004C3E94"/>
    <w:rsid w:val="004C3FF4"/>
    <w:rsid w:val="004C4037"/>
    <w:rsid w:val="004C4175"/>
    <w:rsid w:val="004C41A5"/>
    <w:rsid w:val="004C41C0"/>
    <w:rsid w:val="004C42FC"/>
    <w:rsid w:val="004C439D"/>
    <w:rsid w:val="004C43F1"/>
    <w:rsid w:val="004C44C0"/>
    <w:rsid w:val="004C4519"/>
    <w:rsid w:val="004C4546"/>
    <w:rsid w:val="004C456B"/>
    <w:rsid w:val="004C4618"/>
    <w:rsid w:val="004C4667"/>
    <w:rsid w:val="004C46AF"/>
    <w:rsid w:val="004C4868"/>
    <w:rsid w:val="004C4910"/>
    <w:rsid w:val="004C491E"/>
    <w:rsid w:val="004C4C95"/>
    <w:rsid w:val="004C4CF7"/>
    <w:rsid w:val="004C4D5F"/>
    <w:rsid w:val="004C4DE8"/>
    <w:rsid w:val="004C4DFD"/>
    <w:rsid w:val="004C4EE6"/>
    <w:rsid w:val="004C4F03"/>
    <w:rsid w:val="004C4F47"/>
    <w:rsid w:val="004C4F52"/>
    <w:rsid w:val="004C4FCB"/>
    <w:rsid w:val="004C501D"/>
    <w:rsid w:val="004C5101"/>
    <w:rsid w:val="004C512C"/>
    <w:rsid w:val="004C5425"/>
    <w:rsid w:val="004C551B"/>
    <w:rsid w:val="004C55ED"/>
    <w:rsid w:val="004C561B"/>
    <w:rsid w:val="004C56DD"/>
    <w:rsid w:val="004C56F9"/>
    <w:rsid w:val="004C57D4"/>
    <w:rsid w:val="004C5870"/>
    <w:rsid w:val="004C59C7"/>
    <w:rsid w:val="004C5ADA"/>
    <w:rsid w:val="004C5B34"/>
    <w:rsid w:val="004C5BE0"/>
    <w:rsid w:val="004C5C08"/>
    <w:rsid w:val="004C5D02"/>
    <w:rsid w:val="004C5D8F"/>
    <w:rsid w:val="004C5EE0"/>
    <w:rsid w:val="004C6089"/>
    <w:rsid w:val="004C6106"/>
    <w:rsid w:val="004C616A"/>
    <w:rsid w:val="004C626D"/>
    <w:rsid w:val="004C6283"/>
    <w:rsid w:val="004C62BB"/>
    <w:rsid w:val="004C6376"/>
    <w:rsid w:val="004C63C2"/>
    <w:rsid w:val="004C64F3"/>
    <w:rsid w:val="004C652F"/>
    <w:rsid w:val="004C65D1"/>
    <w:rsid w:val="004C67F7"/>
    <w:rsid w:val="004C6822"/>
    <w:rsid w:val="004C684B"/>
    <w:rsid w:val="004C6942"/>
    <w:rsid w:val="004C69A5"/>
    <w:rsid w:val="004C6A31"/>
    <w:rsid w:val="004C6A7D"/>
    <w:rsid w:val="004C6B87"/>
    <w:rsid w:val="004C6BAB"/>
    <w:rsid w:val="004C6BD2"/>
    <w:rsid w:val="004C6C09"/>
    <w:rsid w:val="004C6DD4"/>
    <w:rsid w:val="004C6E94"/>
    <w:rsid w:val="004C6EAF"/>
    <w:rsid w:val="004C6EFE"/>
    <w:rsid w:val="004C6F1A"/>
    <w:rsid w:val="004C6F7C"/>
    <w:rsid w:val="004C6FF0"/>
    <w:rsid w:val="004C700D"/>
    <w:rsid w:val="004C70FE"/>
    <w:rsid w:val="004C7162"/>
    <w:rsid w:val="004C733B"/>
    <w:rsid w:val="004C739D"/>
    <w:rsid w:val="004C75D0"/>
    <w:rsid w:val="004C76E1"/>
    <w:rsid w:val="004C775D"/>
    <w:rsid w:val="004C7777"/>
    <w:rsid w:val="004C7844"/>
    <w:rsid w:val="004C786D"/>
    <w:rsid w:val="004C78B9"/>
    <w:rsid w:val="004C78C8"/>
    <w:rsid w:val="004C78E4"/>
    <w:rsid w:val="004C79AD"/>
    <w:rsid w:val="004C7A09"/>
    <w:rsid w:val="004C7AB2"/>
    <w:rsid w:val="004C7B8D"/>
    <w:rsid w:val="004C7C34"/>
    <w:rsid w:val="004C7D77"/>
    <w:rsid w:val="004C7F82"/>
    <w:rsid w:val="004C7F93"/>
    <w:rsid w:val="004C7FF7"/>
    <w:rsid w:val="004D00EE"/>
    <w:rsid w:val="004D017F"/>
    <w:rsid w:val="004D022B"/>
    <w:rsid w:val="004D0280"/>
    <w:rsid w:val="004D03BF"/>
    <w:rsid w:val="004D03E6"/>
    <w:rsid w:val="004D0401"/>
    <w:rsid w:val="004D0415"/>
    <w:rsid w:val="004D0562"/>
    <w:rsid w:val="004D0591"/>
    <w:rsid w:val="004D0598"/>
    <w:rsid w:val="004D05FD"/>
    <w:rsid w:val="004D067B"/>
    <w:rsid w:val="004D079B"/>
    <w:rsid w:val="004D07C8"/>
    <w:rsid w:val="004D0908"/>
    <w:rsid w:val="004D0A21"/>
    <w:rsid w:val="004D0B5D"/>
    <w:rsid w:val="004D0CFB"/>
    <w:rsid w:val="004D0D24"/>
    <w:rsid w:val="004D0F14"/>
    <w:rsid w:val="004D0F4D"/>
    <w:rsid w:val="004D1074"/>
    <w:rsid w:val="004D1094"/>
    <w:rsid w:val="004D11CF"/>
    <w:rsid w:val="004D1352"/>
    <w:rsid w:val="004D1378"/>
    <w:rsid w:val="004D141D"/>
    <w:rsid w:val="004D1478"/>
    <w:rsid w:val="004D169A"/>
    <w:rsid w:val="004D16C9"/>
    <w:rsid w:val="004D1784"/>
    <w:rsid w:val="004D17E3"/>
    <w:rsid w:val="004D185B"/>
    <w:rsid w:val="004D1917"/>
    <w:rsid w:val="004D1A9F"/>
    <w:rsid w:val="004D1BFC"/>
    <w:rsid w:val="004D1C22"/>
    <w:rsid w:val="004D1C79"/>
    <w:rsid w:val="004D1D3E"/>
    <w:rsid w:val="004D1D80"/>
    <w:rsid w:val="004D1E01"/>
    <w:rsid w:val="004D1EAE"/>
    <w:rsid w:val="004D1EFF"/>
    <w:rsid w:val="004D1F89"/>
    <w:rsid w:val="004D1F8B"/>
    <w:rsid w:val="004D1F90"/>
    <w:rsid w:val="004D1FD1"/>
    <w:rsid w:val="004D1FFE"/>
    <w:rsid w:val="004D214C"/>
    <w:rsid w:val="004D219A"/>
    <w:rsid w:val="004D220D"/>
    <w:rsid w:val="004D2497"/>
    <w:rsid w:val="004D24D3"/>
    <w:rsid w:val="004D2595"/>
    <w:rsid w:val="004D2630"/>
    <w:rsid w:val="004D2868"/>
    <w:rsid w:val="004D2887"/>
    <w:rsid w:val="004D28EF"/>
    <w:rsid w:val="004D2A4F"/>
    <w:rsid w:val="004D2AE1"/>
    <w:rsid w:val="004D2BAB"/>
    <w:rsid w:val="004D2C8D"/>
    <w:rsid w:val="004D2CCE"/>
    <w:rsid w:val="004D2CF7"/>
    <w:rsid w:val="004D2E07"/>
    <w:rsid w:val="004D2E2B"/>
    <w:rsid w:val="004D2E5E"/>
    <w:rsid w:val="004D2EEA"/>
    <w:rsid w:val="004D2FE6"/>
    <w:rsid w:val="004D2FE7"/>
    <w:rsid w:val="004D3038"/>
    <w:rsid w:val="004D3049"/>
    <w:rsid w:val="004D30F9"/>
    <w:rsid w:val="004D316C"/>
    <w:rsid w:val="004D31F7"/>
    <w:rsid w:val="004D33BC"/>
    <w:rsid w:val="004D34AB"/>
    <w:rsid w:val="004D35E8"/>
    <w:rsid w:val="004D363A"/>
    <w:rsid w:val="004D36CC"/>
    <w:rsid w:val="004D3795"/>
    <w:rsid w:val="004D37C1"/>
    <w:rsid w:val="004D38C6"/>
    <w:rsid w:val="004D3A35"/>
    <w:rsid w:val="004D3A8F"/>
    <w:rsid w:val="004D3AAE"/>
    <w:rsid w:val="004D3AB3"/>
    <w:rsid w:val="004D3B32"/>
    <w:rsid w:val="004D3BFF"/>
    <w:rsid w:val="004D3D54"/>
    <w:rsid w:val="004D3D98"/>
    <w:rsid w:val="004D3DB4"/>
    <w:rsid w:val="004D3DBC"/>
    <w:rsid w:val="004D3DE0"/>
    <w:rsid w:val="004D3F0C"/>
    <w:rsid w:val="004D4060"/>
    <w:rsid w:val="004D4081"/>
    <w:rsid w:val="004D411B"/>
    <w:rsid w:val="004D429F"/>
    <w:rsid w:val="004D42BF"/>
    <w:rsid w:val="004D446B"/>
    <w:rsid w:val="004D4474"/>
    <w:rsid w:val="004D453C"/>
    <w:rsid w:val="004D4586"/>
    <w:rsid w:val="004D4611"/>
    <w:rsid w:val="004D464E"/>
    <w:rsid w:val="004D4743"/>
    <w:rsid w:val="004D47B0"/>
    <w:rsid w:val="004D4851"/>
    <w:rsid w:val="004D4923"/>
    <w:rsid w:val="004D495A"/>
    <w:rsid w:val="004D49C8"/>
    <w:rsid w:val="004D4AA7"/>
    <w:rsid w:val="004D4AB1"/>
    <w:rsid w:val="004D4B62"/>
    <w:rsid w:val="004D4B9D"/>
    <w:rsid w:val="004D4BB9"/>
    <w:rsid w:val="004D4BE9"/>
    <w:rsid w:val="004D4C40"/>
    <w:rsid w:val="004D4C6F"/>
    <w:rsid w:val="004D4D2F"/>
    <w:rsid w:val="004D4D36"/>
    <w:rsid w:val="004D4D86"/>
    <w:rsid w:val="004D4E24"/>
    <w:rsid w:val="004D4E41"/>
    <w:rsid w:val="004D4E74"/>
    <w:rsid w:val="004D4E8C"/>
    <w:rsid w:val="004D4EF7"/>
    <w:rsid w:val="004D4FCD"/>
    <w:rsid w:val="004D4FED"/>
    <w:rsid w:val="004D4FF8"/>
    <w:rsid w:val="004D5037"/>
    <w:rsid w:val="004D50AC"/>
    <w:rsid w:val="004D52F4"/>
    <w:rsid w:val="004D5387"/>
    <w:rsid w:val="004D55FA"/>
    <w:rsid w:val="004D560B"/>
    <w:rsid w:val="004D5655"/>
    <w:rsid w:val="004D5686"/>
    <w:rsid w:val="004D56B0"/>
    <w:rsid w:val="004D575D"/>
    <w:rsid w:val="004D576E"/>
    <w:rsid w:val="004D582B"/>
    <w:rsid w:val="004D58A7"/>
    <w:rsid w:val="004D59B4"/>
    <w:rsid w:val="004D5A0E"/>
    <w:rsid w:val="004D5A1B"/>
    <w:rsid w:val="004D5B79"/>
    <w:rsid w:val="004D5F3D"/>
    <w:rsid w:val="004D610B"/>
    <w:rsid w:val="004D614C"/>
    <w:rsid w:val="004D6251"/>
    <w:rsid w:val="004D62A9"/>
    <w:rsid w:val="004D6317"/>
    <w:rsid w:val="004D63AB"/>
    <w:rsid w:val="004D63D1"/>
    <w:rsid w:val="004D6467"/>
    <w:rsid w:val="004D652F"/>
    <w:rsid w:val="004D660D"/>
    <w:rsid w:val="004D661A"/>
    <w:rsid w:val="004D662D"/>
    <w:rsid w:val="004D665C"/>
    <w:rsid w:val="004D66A6"/>
    <w:rsid w:val="004D6779"/>
    <w:rsid w:val="004D6837"/>
    <w:rsid w:val="004D6906"/>
    <w:rsid w:val="004D6942"/>
    <w:rsid w:val="004D6956"/>
    <w:rsid w:val="004D6B8F"/>
    <w:rsid w:val="004D6C92"/>
    <w:rsid w:val="004D6D94"/>
    <w:rsid w:val="004D6DE9"/>
    <w:rsid w:val="004D6E0A"/>
    <w:rsid w:val="004D6F6B"/>
    <w:rsid w:val="004D700D"/>
    <w:rsid w:val="004D71A6"/>
    <w:rsid w:val="004D723B"/>
    <w:rsid w:val="004D72D6"/>
    <w:rsid w:val="004D736A"/>
    <w:rsid w:val="004D73D0"/>
    <w:rsid w:val="004D742F"/>
    <w:rsid w:val="004D74AC"/>
    <w:rsid w:val="004D7625"/>
    <w:rsid w:val="004D76E5"/>
    <w:rsid w:val="004D76FB"/>
    <w:rsid w:val="004D7774"/>
    <w:rsid w:val="004D77D8"/>
    <w:rsid w:val="004D783E"/>
    <w:rsid w:val="004D78D9"/>
    <w:rsid w:val="004D78E9"/>
    <w:rsid w:val="004D7C72"/>
    <w:rsid w:val="004D7E61"/>
    <w:rsid w:val="004D7EFE"/>
    <w:rsid w:val="004D7F35"/>
    <w:rsid w:val="004D7F75"/>
    <w:rsid w:val="004D7FE1"/>
    <w:rsid w:val="004D7FE5"/>
    <w:rsid w:val="004E000D"/>
    <w:rsid w:val="004E00DD"/>
    <w:rsid w:val="004E0125"/>
    <w:rsid w:val="004E0248"/>
    <w:rsid w:val="004E02B1"/>
    <w:rsid w:val="004E03C1"/>
    <w:rsid w:val="004E0403"/>
    <w:rsid w:val="004E04B5"/>
    <w:rsid w:val="004E0570"/>
    <w:rsid w:val="004E0625"/>
    <w:rsid w:val="004E073B"/>
    <w:rsid w:val="004E08CD"/>
    <w:rsid w:val="004E08D8"/>
    <w:rsid w:val="004E0983"/>
    <w:rsid w:val="004E0A63"/>
    <w:rsid w:val="004E0A8A"/>
    <w:rsid w:val="004E0BDC"/>
    <w:rsid w:val="004E0BFB"/>
    <w:rsid w:val="004E0C34"/>
    <w:rsid w:val="004E0CEF"/>
    <w:rsid w:val="004E0D0B"/>
    <w:rsid w:val="004E0D53"/>
    <w:rsid w:val="004E10CC"/>
    <w:rsid w:val="004E1173"/>
    <w:rsid w:val="004E11DD"/>
    <w:rsid w:val="004E13E2"/>
    <w:rsid w:val="004E14DE"/>
    <w:rsid w:val="004E15C9"/>
    <w:rsid w:val="004E1911"/>
    <w:rsid w:val="004E1930"/>
    <w:rsid w:val="004E198B"/>
    <w:rsid w:val="004E19D2"/>
    <w:rsid w:val="004E1BB1"/>
    <w:rsid w:val="004E1BE1"/>
    <w:rsid w:val="004E1D53"/>
    <w:rsid w:val="004E1DAE"/>
    <w:rsid w:val="004E1F04"/>
    <w:rsid w:val="004E1F32"/>
    <w:rsid w:val="004E1FA8"/>
    <w:rsid w:val="004E202C"/>
    <w:rsid w:val="004E2210"/>
    <w:rsid w:val="004E235B"/>
    <w:rsid w:val="004E24E9"/>
    <w:rsid w:val="004E24F2"/>
    <w:rsid w:val="004E25A6"/>
    <w:rsid w:val="004E264B"/>
    <w:rsid w:val="004E26A4"/>
    <w:rsid w:val="004E27C4"/>
    <w:rsid w:val="004E27CA"/>
    <w:rsid w:val="004E2834"/>
    <w:rsid w:val="004E2884"/>
    <w:rsid w:val="004E29A5"/>
    <w:rsid w:val="004E2B31"/>
    <w:rsid w:val="004E2B94"/>
    <w:rsid w:val="004E2BC7"/>
    <w:rsid w:val="004E2C13"/>
    <w:rsid w:val="004E2C4E"/>
    <w:rsid w:val="004E2C57"/>
    <w:rsid w:val="004E2CBB"/>
    <w:rsid w:val="004E2CC9"/>
    <w:rsid w:val="004E2DFB"/>
    <w:rsid w:val="004E2E29"/>
    <w:rsid w:val="004E3030"/>
    <w:rsid w:val="004E3034"/>
    <w:rsid w:val="004E30E9"/>
    <w:rsid w:val="004E3336"/>
    <w:rsid w:val="004E33C8"/>
    <w:rsid w:val="004E35E2"/>
    <w:rsid w:val="004E35E8"/>
    <w:rsid w:val="004E36A5"/>
    <w:rsid w:val="004E36F5"/>
    <w:rsid w:val="004E372F"/>
    <w:rsid w:val="004E380D"/>
    <w:rsid w:val="004E3881"/>
    <w:rsid w:val="004E389A"/>
    <w:rsid w:val="004E391A"/>
    <w:rsid w:val="004E39CD"/>
    <w:rsid w:val="004E3A4E"/>
    <w:rsid w:val="004E3ABF"/>
    <w:rsid w:val="004E3C4A"/>
    <w:rsid w:val="004E3CBC"/>
    <w:rsid w:val="004E3EEC"/>
    <w:rsid w:val="004E4135"/>
    <w:rsid w:val="004E4272"/>
    <w:rsid w:val="004E42BF"/>
    <w:rsid w:val="004E4334"/>
    <w:rsid w:val="004E434F"/>
    <w:rsid w:val="004E436D"/>
    <w:rsid w:val="004E4531"/>
    <w:rsid w:val="004E4540"/>
    <w:rsid w:val="004E45E3"/>
    <w:rsid w:val="004E4713"/>
    <w:rsid w:val="004E4731"/>
    <w:rsid w:val="004E47C4"/>
    <w:rsid w:val="004E4898"/>
    <w:rsid w:val="004E49E3"/>
    <w:rsid w:val="004E49F7"/>
    <w:rsid w:val="004E4A2B"/>
    <w:rsid w:val="004E4A4D"/>
    <w:rsid w:val="004E4AA4"/>
    <w:rsid w:val="004E4CF7"/>
    <w:rsid w:val="004E4D73"/>
    <w:rsid w:val="004E4E8D"/>
    <w:rsid w:val="004E4F0E"/>
    <w:rsid w:val="004E4F74"/>
    <w:rsid w:val="004E4FEB"/>
    <w:rsid w:val="004E5074"/>
    <w:rsid w:val="004E5104"/>
    <w:rsid w:val="004E5121"/>
    <w:rsid w:val="004E513A"/>
    <w:rsid w:val="004E5191"/>
    <w:rsid w:val="004E51D9"/>
    <w:rsid w:val="004E52A4"/>
    <w:rsid w:val="004E52CA"/>
    <w:rsid w:val="004E53AF"/>
    <w:rsid w:val="004E55D6"/>
    <w:rsid w:val="004E55F9"/>
    <w:rsid w:val="004E56B8"/>
    <w:rsid w:val="004E57F8"/>
    <w:rsid w:val="004E580A"/>
    <w:rsid w:val="004E581C"/>
    <w:rsid w:val="004E5916"/>
    <w:rsid w:val="004E5A19"/>
    <w:rsid w:val="004E5A93"/>
    <w:rsid w:val="004E5B4D"/>
    <w:rsid w:val="004E5BF8"/>
    <w:rsid w:val="004E5DB4"/>
    <w:rsid w:val="004E5EB2"/>
    <w:rsid w:val="004E5ECB"/>
    <w:rsid w:val="004E5F80"/>
    <w:rsid w:val="004E6005"/>
    <w:rsid w:val="004E6028"/>
    <w:rsid w:val="004E60FF"/>
    <w:rsid w:val="004E61B6"/>
    <w:rsid w:val="004E62C6"/>
    <w:rsid w:val="004E639A"/>
    <w:rsid w:val="004E660E"/>
    <w:rsid w:val="004E663C"/>
    <w:rsid w:val="004E66AE"/>
    <w:rsid w:val="004E66B5"/>
    <w:rsid w:val="004E67E8"/>
    <w:rsid w:val="004E6891"/>
    <w:rsid w:val="004E6935"/>
    <w:rsid w:val="004E6988"/>
    <w:rsid w:val="004E6B07"/>
    <w:rsid w:val="004E6B69"/>
    <w:rsid w:val="004E6BCA"/>
    <w:rsid w:val="004E6D4D"/>
    <w:rsid w:val="004E6D58"/>
    <w:rsid w:val="004E6FA7"/>
    <w:rsid w:val="004E703F"/>
    <w:rsid w:val="004E704C"/>
    <w:rsid w:val="004E70E0"/>
    <w:rsid w:val="004E716F"/>
    <w:rsid w:val="004E721A"/>
    <w:rsid w:val="004E760F"/>
    <w:rsid w:val="004E77C6"/>
    <w:rsid w:val="004E7839"/>
    <w:rsid w:val="004E784C"/>
    <w:rsid w:val="004E79B0"/>
    <w:rsid w:val="004E7A0E"/>
    <w:rsid w:val="004E7B69"/>
    <w:rsid w:val="004E7B8E"/>
    <w:rsid w:val="004E7BFF"/>
    <w:rsid w:val="004E7C69"/>
    <w:rsid w:val="004E7C83"/>
    <w:rsid w:val="004E7CBF"/>
    <w:rsid w:val="004E7CEA"/>
    <w:rsid w:val="004E7D55"/>
    <w:rsid w:val="004E7DE9"/>
    <w:rsid w:val="004F00A9"/>
    <w:rsid w:val="004F00E8"/>
    <w:rsid w:val="004F010A"/>
    <w:rsid w:val="004F01E5"/>
    <w:rsid w:val="004F0217"/>
    <w:rsid w:val="004F0275"/>
    <w:rsid w:val="004F03F6"/>
    <w:rsid w:val="004F04C9"/>
    <w:rsid w:val="004F04CD"/>
    <w:rsid w:val="004F04E2"/>
    <w:rsid w:val="004F05F8"/>
    <w:rsid w:val="004F0675"/>
    <w:rsid w:val="004F0715"/>
    <w:rsid w:val="004F0764"/>
    <w:rsid w:val="004F0766"/>
    <w:rsid w:val="004F07F0"/>
    <w:rsid w:val="004F0831"/>
    <w:rsid w:val="004F084B"/>
    <w:rsid w:val="004F0855"/>
    <w:rsid w:val="004F08C0"/>
    <w:rsid w:val="004F08F5"/>
    <w:rsid w:val="004F091D"/>
    <w:rsid w:val="004F0A05"/>
    <w:rsid w:val="004F0A1E"/>
    <w:rsid w:val="004F0B15"/>
    <w:rsid w:val="004F0B72"/>
    <w:rsid w:val="004F0B88"/>
    <w:rsid w:val="004F0B89"/>
    <w:rsid w:val="004F0BCE"/>
    <w:rsid w:val="004F0BDA"/>
    <w:rsid w:val="004F1044"/>
    <w:rsid w:val="004F1048"/>
    <w:rsid w:val="004F10AD"/>
    <w:rsid w:val="004F10BB"/>
    <w:rsid w:val="004F1137"/>
    <w:rsid w:val="004F12AF"/>
    <w:rsid w:val="004F13AF"/>
    <w:rsid w:val="004F13BA"/>
    <w:rsid w:val="004F13E1"/>
    <w:rsid w:val="004F13E7"/>
    <w:rsid w:val="004F1469"/>
    <w:rsid w:val="004F1475"/>
    <w:rsid w:val="004F14F6"/>
    <w:rsid w:val="004F1582"/>
    <w:rsid w:val="004F15AD"/>
    <w:rsid w:val="004F15B1"/>
    <w:rsid w:val="004F171D"/>
    <w:rsid w:val="004F174B"/>
    <w:rsid w:val="004F17A1"/>
    <w:rsid w:val="004F1887"/>
    <w:rsid w:val="004F1891"/>
    <w:rsid w:val="004F18BB"/>
    <w:rsid w:val="004F18EE"/>
    <w:rsid w:val="004F1923"/>
    <w:rsid w:val="004F1947"/>
    <w:rsid w:val="004F19E7"/>
    <w:rsid w:val="004F1C2F"/>
    <w:rsid w:val="004F1CA1"/>
    <w:rsid w:val="004F1D37"/>
    <w:rsid w:val="004F1DA0"/>
    <w:rsid w:val="004F1DC8"/>
    <w:rsid w:val="004F1EC6"/>
    <w:rsid w:val="004F1F53"/>
    <w:rsid w:val="004F1FAA"/>
    <w:rsid w:val="004F1FC5"/>
    <w:rsid w:val="004F2009"/>
    <w:rsid w:val="004F203E"/>
    <w:rsid w:val="004F2192"/>
    <w:rsid w:val="004F21D1"/>
    <w:rsid w:val="004F22E1"/>
    <w:rsid w:val="004F2304"/>
    <w:rsid w:val="004F234F"/>
    <w:rsid w:val="004F23FB"/>
    <w:rsid w:val="004F24A8"/>
    <w:rsid w:val="004F2558"/>
    <w:rsid w:val="004F25C9"/>
    <w:rsid w:val="004F273B"/>
    <w:rsid w:val="004F276F"/>
    <w:rsid w:val="004F27BA"/>
    <w:rsid w:val="004F281C"/>
    <w:rsid w:val="004F28F0"/>
    <w:rsid w:val="004F2A76"/>
    <w:rsid w:val="004F2AEB"/>
    <w:rsid w:val="004F2D68"/>
    <w:rsid w:val="004F2E45"/>
    <w:rsid w:val="004F2E52"/>
    <w:rsid w:val="004F2F4C"/>
    <w:rsid w:val="004F2FE6"/>
    <w:rsid w:val="004F308C"/>
    <w:rsid w:val="004F3136"/>
    <w:rsid w:val="004F3138"/>
    <w:rsid w:val="004F3141"/>
    <w:rsid w:val="004F31D9"/>
    <w:rsid w:val="004F3234"/>
    <w:rsid w:val="004F3248"/>
    <w:rsid w:val="004F331F"/>
    <w:rsid w:val="004F3383"/>
    <w:rsid w:val="004F33CC"/>
    <w:rsid w:val="004F3402"/>
    <w:rsid w:val="004F349E"/>
    <w:rsid w:val="004F3568"/>
    <w:rsid w:val="004F3690"/>
    <w:rsid w:val="004F3700"/>
    <w:rsid w:val="004F37CA"/>
    <w:rsid w:val="004F384F"/>
    <w:rsid w:val="004F3868"/>
    <w:rsid w:val="004F3951"/>
    <w:rsid w:val="004F3978"/>
    <w:rsid w:val="004F399E"/>
    <w:rsid w:val="004F3AFD"/>
    <w:rsid w:val="004F3B0B"/>
    <w:rsid w:val="004F3B3B"/>
    <w:rsid w:val="004F3C08"/>
    <w:rsid w:val="004F3C77"/>
    <w:rsid w:val="004F3CA6"/>
    <w:rsid w:val="004F3F2D"/>
    <w:rsid w:val="004F3F33"/>
    <w:rsid w:val="004F40C6"/>
    <w:rsid w:val="004F41E0"/>
    <w:rsid w:val="004F427D"/>
    <w:rsid w:val="004F4311"/>
    <w:rsid w:val="004F4366"/>
    <w:rsid w:val="004F43F9"/>
    <w:rsid w:val="004F4661"/>
    <w:rsid w:val="004F4966"/>
    <w:rsid w:val="004F4AD9"/>
    <w:rsid w:val="004F4CB4"/>
    <w:rsid w:val="004F4D1A"/>
    <w:rsid w:val="004F4D5D"/>
    <w:rsid w:val="004F4DD1"/>
    <w:rsid w:val="004F4E8B"/>
    <w:rsid w:val="004F4F1E"/>
    <w:rsid w:val="004F4F8D"/>
    <w:rsid w:val="004F50A4"/>
    <w:rsid w:val="004F511A"/>
    <w:rsid w:val="004F5213"/>
    <w:rsid w:val="004F5359"/>
    <w:rsid w:val="004F53FF"/>
    <w:rsid w:val="004F5411"/>
    <w:rsid w:val="004F5419"/>
    <w:rsid w:val="004F5422"/>
    <w:rsid w:val="004F542B"/>
    <w:rsid w:val="004F54F4"/>
    <w:rsid w:val="004F55D9"/>
    <w:rsid w:val="004F5743"/>
    <w:rsid w:val="004F5759"/>
    <w:rsid w:val="004F5892"/>
    <w:rsid w:val="004F5AF7"/>
    <w:rsid w:val="004F5B6C"/>
    <w:rsid w:val="004F5BD9"/>
    <w:rsid w:val="004F5C0A"/>
    <w:rsid w:val="004F5DF8"/>
    <w:rsid w:val="004F5EAC"/>
    <w:rsid w:val="004F5EDF"/>
    <w:rsid w:val="004F5EE8"/>
    <w:rsid w:val="004F5FB3"/>
    <w:rsid w:val="004F6342"/>
    <w:rsid w:val="004F63E5"/>
    <w:rsid w:val="004F6474"/>
    <w:rsid w:val="004F6475"/>
    <w:rsid w:val="004F64A7"/>
    <w:rsid w:val="004F64E8"/>
    <w:rsid w:val="004F6514"/>
    <w:rsid w:val="004F6537"/>
    <w:rsid w:val="004F65E2"/>
    <w:rsid w:val="004F65E4"/>
    <w:rsid w:val="004F6602"/>
    <w:rsid w:val="004F666E"/>
    <w:rsid w:val="004F6761"/>
    <w:rsid w:val="004F6790"/>
    <w:rsid w:val="004F6806"/>
    <w:rsid w:val="004F69B7"/>
    <w:rsid w:val="004F6A43"/>
    <w:rsid w:val="004F6AFB"/>
    <w:rsid w:val="004F6B0C"/>
    <w:rsid w:val="004F6BFE"/>
    <w:rsid w:val="004F6C47"/>
    <w:rsid w:val="004F6C49"/>
    <w:rsid w:val="004F6D91"/>
    <w:rsid w:val="004F6DBD"/>
    <w:rsid w:val="004F6DD3"/>
    <w:rsid w:val="004F6E29"/>
    <w:rsid w:val="004F6E86"/>
    <w:rsid w:val="004F70EA"/>
    <w:rsid w:val="004F71C0"/>
    <w:rsid w:val="004F72B1"/>
    <w:rsid w:val="004F7405"/>
    <w:rsid w:val="004F757A"/>
    <w:rsid w:val="004F75B4"/>
    <w:rsid w:val="004F75F7"/>
    <w:rsid w:val="004F7666"/>
    <w:rsid w:val="004F7680"/>
    <w:rsid w:val="004F7696"/>
    <w:rsid w:val="004F7741"/>
    <w:rsid w:val="004F77A7"/>
    <w:rsid w:val="004F796D"/>
    <w:rsid w:val="004F79C7"/>
    <w:rsid w:val="004F7A3A"/>
    <w:rsid w:val="004F7A50"/>
    <w:rsid w:val="004F7B0A"/>
    <w:rsid w:val="004F7D39"/>
    <w:rsid w:val="004F7DCF"/>
    <w:rsid w:val="004F7DEE"/>
    <w:rsid w:val="004F7DEF"/>
    <w:rsid w:val="004F7ED9"/>
    <w:rsid w:val="004F7EDC"/>
    <w:rsid w:val="0050001C"/>
    <w:rsid w:val="005001C4"/>
    <w:rsid w:val="00500255"/>
    <w:rsid w:val="00500356"/>
    <w:rsid w:val="005004D1"/>
    <w:rsid w:val="005004D4"/>
    <w:rsid w:val="005005BB"/>
    <w:rsid w:val="005005C8"/>
    <w:rsid w:val="00500640"/>
    <w:rsid w:val="00500678"/>
    <w:rsid w:val="005007CF"/>
    <w:rsid w:val="00500831"/>
    <w:rsid w:val="0050084E"/>
    <w:rsid w:val="005009E0"/>
    <w:rsid w:val="00500AC4"/>
    <w:rsid w:val="00500B29"/>
    <w:rsid w:val="00500CBC"/>
    <w:rsid w:val="00500CD8"/>
    <w:rsid w:val="00500D80"/>
    <w:rsid w:val="00500E18"/>
    <w:rsid w:val="00500F47"/>
    <w:rsid w:val="00500F5D"/>
    <w:rsid w:val="00500F88"/>
    <w:rsid w:val="00500FB2"/>
    <w:rsid w:val="00501050"/>
    <w:rsid w:val="00501298"/>
    <w:rsid w:val="00501308"/>
    <w:rsid w:val="0050130B"/>
    <w:rsid w:val="00501331"/>
    <w:rsid w:val="0050140D"/>
    <w:rsid w:val="00501598"/>
    <w:rsid w:val="005016DF"/>
    <w:rsid w:val="005016EC"/>
    <w:rsid w:val="0050183A"/>
    <w:rsid w:val="00501951"/>
    <w:rsid w:val="00501C74"/>
    <w:rsid w:val="00501D84"/>
    <w:rsid w:val="00501DAB"/>
    <w:rsid w:val="00501E81"/>
    <w:rsid w:val="00501F83"/>
    <w:rsid w:val="0050209F"/>
    <w:rsid w:val="00502202"/>
    <w:rsid w:val="00502381"/>
    <w:rsid w:val="00502386"/>
    <w:rsid w:val="00502637"/>
    <w:rsid w:val="0050263D"/>
    <w:rsid w:val="00502647"/>
    <w:rsid w:val="0050279F"/>
    <w:rsid w:val="0050281C"/>
    <w:rsid w:val="00502886"/>
    <w:rsid w:val="0050288C"/>
    <w:rsid w:val="00502915"/>
    <w:rsid w:val="00502989"/>
    <w:rsid w:val="005029CB"/>
    <w:rsid w:val="00502AA7"/>
    <w:rsid w:val="00502C14"/>
    <w:rsid w:val="00502D16"/>
    <w:rsid w:val="00502D63"/>
    <w:rsid w:val="00502D8E"/>
    <w:rsid w:val="00502DF7"/>
    <w:rsid w:val="00502DFC"/>
    <w:rsid w:val="00502E21"/>
    <w:rsid w:val="00502F17"/>
    <w:rsid w:val="00502FE2"/>
    <w:rsid w:val="00502FF9"/>
    <w:rsid w:val="0050302A"/>
    <w:rsid w:val="0050303B"/>
    <w:rsid w:val="00503085"/>
    <w:rsid w:val="0050309C"/>
    <w:rsid w:val="0050313E"/>
    <w:rsid w:val="005031E3"/>
    <w:rsid w:val="0050353A"/>
    <w:rsid w:val="00503579"/>
    <w:rsid w:val="0050368A"/>
    <w:rsid w:val="005036E9"/>
    <w:rsid w:val="005038CD"/>
    <w:rsid w:val="005038F8"/>
    <w:rsid w:val="00503A27"/>
    <w:rsid w:val="00503B2E"/>
    <w:rsid w:val="00503C97"/>
    <w:rsid w:val="00503CAC"/>
    <w:rsid w:val="00503CBE"/>
    <w:rsid w:val="00503D13"/>
    <w:rsid w:val="00503D1E"/>
    <w:rsid w:val="00503F1E"/>
    <w:rsid w:val="00503FDA"/>
    <w:rsid w:val="00503FE7"/>
    <w:rsid w:val="00504074"/>
    <w:rsid w:val="005040EA"/>
    <w:rsid w:val="0050417C"/>
    <w:rsid w:val="00504360"/>
    <w:rsid w:val="00504448"/>
    <w:rsid w:val="00504521"/>
    <w:rsid w:val="0050465B"/>
    <w:rsid w:val="005046F5"/>
    <w:rsid w:val="00504708"/>
    <w:rsid w:val="00504720"/>
    <w:rsid w:val="00504745"/>
    <w:rsid w:val="005047DF"/>
    <w:rsid w:val="00504869"/>
    <w:rsid w:val="0050486C"/>
    <w:rsid w:val="005048BC"/>
    <w:rsid w:val="005049CA"/>
    <w:rsid w:val="005049DB"/>
    <w:rsid w:val="00504A12"/>
    <w:rsid w:val="00504A51"/>
    <w:rsid w:val="00504AB0"/>
    <w:rsid w:val="00504B3D"/>
    <w:rsid w:val="00504C1D"/>
    <w:rsid w:val="00504CF8"/>
    <w:rsid w:val="00504DC5"/>
    <w:rsid w:val="00504F23"/>
    <w:rsid w:val="00505139"/>
    <w:rsid w:val="00505210"/>
    <w:rsid w:val="0050522D"/>
    <w:rsid w:val="005052EC"/>
    <w:rsid w:val="00505457"/>
    <w:rsid w:val="00505558"/>
    <w:rsid w:val="00505743"/>
    <w:rsid w:val="00505786"/>
    <w:rsid w:val="00505856"/>
    <w:rsid w:val="005058C8"/>
    <w:rsid w:val="005059C4"/>
    <w:rsid w:val="00505A71"/>
    <w:rsid w:val="00505B1D"/>
    <w:rsid w:val="00505B5C"/>
    <w:rsid w:val="00505B60"/>
    <w:rsid w:val="00505BB9"/>
    <w:rsid w:val="00505BD2"/>
    <w:rsid w:val="00505C03"/>
    <w:rsid w:val="00505C40"/>
    <w:rsid w:val="00505D88"/>
    <w:rsid w:val="00505DEE"/>
    <w:rsid w:val="00505E8C"/>
    <w:rsid w:val="00505F11"/>
    <w:rsid w:val="00505F2F"/>
    <w:rsid w:val="00505F70"/>
    <w:rsid w:val="00505FCF"/>
    <w:rsid w:val="00505FFC"/>
    <w:rsid w:val="005060EE"/>
    <w:rsid w:val="0050611B"/>
    <w:rsid w:val="0050612F"/>
    <w:rsid w:val="0050616A"/>
    <w:rsid w:val="00506180"/>
    <w:rsid w:val="0050621E"/>
    <w:rsid w:val="005063F2"/>
    <w:rsid w:val="00506403"/>
    <w:rsid w:val="00506614"/>
    <w:rsid w:val="005066D1"/>
    <w:rsid w:val="0050673C"/>
    <w:rsid w:val="00506740"/>
    <w:rsid w:val="005067E6"/>
    <w:rsid w:val="00506909"/>
    <w:rsid w:val="00506A47"/>
    <w:rsid w:val="00506A67"/>
    <w:rsid w:val="00506B16"/>
    <w:rsid w:val="00506BAD"/>
    <w:rsid w:val="00506CDD"/>
    <w:rsid w:val="00507146"/>
    <w:rsid w:val="00507198"/>
    <w:rsid w:val="00507213"/>
    <w:rsid w:val="00507231"/>
    <w:rsid w:val="0050730A"/>
    <w:rsid w:val="00507406"/>
    <w:rsid w:val="00507487"/>
    <w:rsid w:val="00507513"/>
    <w:rsid w:val="0050759F"/>
    <w:rsid w:val="0050761D"/>
    <w:rsid w:val="0050765B"/>
    <w:rsid w:val="0050773F"/>
    <w:rsid w:val="0050786D"/>
    <w:rsid w:val="005078C3"/>
    <w:rsid w:val="00507964"/>
    <w:rsid w:val="00507A7D"/>
    <w:rsid w:val="00507ABA"/>
    <w:rsid w:val="00507B1D"/>
    <w:rsid w:val="00507B6E"/>
    <w:rsid w:val="00507B9A"/>
    <w:rsid w:val="00507CA0"/>
    <w:rsid w:val="00507CE8"/>
    <w:rsid w:val="00507D0E"/>
    <w:rsid w:val="00507E3C"/>
    <w:rsid w:val="005100BF"/>
    <w:rsid w:val="00510147"/>
    <w:rsid w:val="00510255"/>
    <w:rsid w:val="0051025D"/>
    <w:rsid w:val="005103A1"/>
    <w:rsid w:val="005103FB"/>
    <w:rsid w:val="00510422"/>
    <w:rsid w:val="005106CF"/>
    <w:rsid w:val="005107B9"/>
    <w:rsid w:val="005107C6"/>
    <w:rsid w:val="0051090B"/>
    <w:rsid w:val="0051098E"/>
    <w:rsid w:val="005109A3"/>
    <w:rsid w:val="005109B8"/>
    <w:rsid w:val="005109D5"/>
    <w:rsid w:val="00510A07"/>
    <w:rsid w:val="00510AC1"/>
    <w:rsid w:val="00510B48"/>
    <w:rsid w:val="00510B5A"/>
    <w:rsid w:val="00510B82"/>
    <w:rsid w:val="00510CAE"/>
    <w:rsid w:val="00510E1A"/>
    <w:rsid w:val="00510F06"/>
    <w:rsid w:val="0051100C"/>
    <w:rsid w:val="0051113E"/>
    <w:rsid w:val="00511198"/>
    <w:rsid w:val="0051119E"/>
    <w:rsid w:val="0051126A"/>
    <w:rsid w:val="00511308"/>
    <w:rsid w:val="0051138A"/>
    <w:rsid w:val="00511460"/>
    <w:rsid w:val="00511486"/>
    <w:rsid w:val="005114DA"/>
    <w:rsid w:val="005114E2"/>
    <w:rsid w:val="00511566"/>
    <w:rsid w:val="00511572"/>
    <w:rsid w:val="005115D7"/>
    <w:rsid w:val="00511739"/>
    <w:rsid w:val="005117A7"/>
    <w:rsid w:val="005117CA"/>
    <w:rsid w:val="00511943"/>
    <w:rsid w:val="0051194E"/>
    <w:rsid w:val="005119FF"/>
    <w:rsid w:val="00511B4D"/>
    <w:rsid w:val="00511B7E"/>
    <w:rsid w:val="00511B81"/>
    <w:rsid w:val="00511BBC"/>
    <w:rsid w:val="00511C73"/>
    <w:rsid w:val="00511CF6"/>
    <w:rsid w:val="00511D8F"/>
    <w:rsid w:val="00511DB3"/>
    <w:rsid w:val="00511E0F"/>
    <w:rsid w:val="00511E1D"/>
    <w:rsid w:val="00511F94"/>
    <w:rsid w:val="00511FA8"/>
    <w:rsid w:val="005121C7"/>
    <w:rsid w:val="00512368"/>
    <w:rsid w:val="00512429"/>
    <w:rsid w:val="005124E3"/>
    <w:rsid w:val="005125BC"/>
    <w:rsid w:val="00512632"/>
    <w:rsid w:val="0051265E"/>
    <w:rsid w:val="0051269F"/>
    <w:rsid w:val="005126BE"/>
    <w:rsid w:val="00512720"/>
    <w:rsid w:val="00512773"/>
    <w:rsid w:val="00512779"/>
    <w:rsid w:val="00512871"/>
    <w:rsid w:val="00512875"/>
    <w:rsid w:val="005128A6"/>
    <w:rsid w:val="005129A8"/>
    <w:rsid w:val="00512A40"/>
    <w:rsid w:val="00512B17"/>
    <w:rsid w:val="00512B2E"/>
    <w:rsid w:val="00512D5A"/>
    <w:rsid w:val="00512E3E"/>
    <w:rsid w:val="00512E62"/>
    <w:rsid w:val="00512F1F"/>
    <w:rsid w:val="00513052"/>
    <w:rsid w:val="00513080"/>
    <w:rsid w:val="00513174"/>
    <w:rsid w:val="0051326C"/>
    <w:rsid w:val="00513279"/>
    <w:rsid w:val="00513295"/>
    <w:rsid w:val="00513485"/>
    <w:rsid w:val="00513491"/>
    <w:rsid w:val="005134D5"/>
    <w:rsid w:val="005135BF"/>
    <w:rsid w:val="0051366E"/>
    <w:rsid w:val="0051368B"/>
    <w:rsid w:val="00513691"/>
    <w:rsid w:val="005139EB"/>
    <w:rsid w:val="00513A20"/>
    <w:rsid w:val="00513A79"/>
    <w:rsid w:val="00513A9F"/>
    <w:rsid w:val="00513C12"/>
    <w:rsid w:val="00513CDB"/>
    <w:rsid w:val="00513D1D"/>
    <w:rsid w:val="00513DCA"/>
    <w:rsid w:val="00513E14"/>
    <w:rsid w:val="00513F28"/>
    <w:rsid w:val="0051407F"/>
    <w:rsid w:val="005141A8"/>
    <w:rsid w:val="0051425A"/>
    <w:rsid w:val="00514512"/>
    <w:rsid w:val="00514750"/>
    <w:rsid w:val="00514877"/>
    <w:rsid w:val="005148BB"/>
    <w:rsid w:val="00514951"/>
    <w:rsid w:val="00514AD8"/>
    <w:rsid w:val="00514B04"/>
    <w:rsid w:val="00514C0E"/>
    <w:rsid w:val="00514CA6"/>
    <w:rsid w:val="00514CB5"/>
    <w:rsid w:val="00514D60"/>
    <w:rsid w:val="00514DAE"/>
    <w:rsid w:val="00514FCC"/>
    <w:rsid w:val="0051503A"/>
    <w:rsid w:val="005150B5"/>
    <w:rsid w:val="0051514D"/>
    <w:rsid w:val="005151D5"/>
    <w:rsid w:val="00515219"/>
    <w:rsid w:val="00515277"/>
    <w:rsid w:val="005153D3"/>
    <w:rsid w:val="0051547B"/>
    <w:rsid w:val="005154A5"/>
    <w:rsid w:val="005154C1"/>
    <w:rsid w:val="00515538"/>
    <w:rsid w:val="005155A0"/>
    <w:rsid w:val="005156E2"/>
    <w:rsid w:val="005157E6"/>
    <w:rsid w:val="0051585B"/>
    <w:rsid w:val="00515925"/>
    <w:rsid w:val="005159D5"/>
    <w:rsid w:val="00515A1A"/>
    <w:rsid w:val="00515AEF"/>
    <w:rsid w:val="00515B1F"/>
    <w:rsid w:val="00515BA9"/>
    <w:rsid w:val="00515BB4"/>
    <w:rsid w:val="00515BE6"/>
    <w:rsid w:val="00515C47"/>
    <w:rsid w:val="00515C78"/>
    <w:rsid w:val="00515ED9"/>
    <w:rsid w:val="00515F15"/>
    <w:rsid w:val="00516017"/>
    <w:rsid w:val="00516072"/>
    <w:rsid w:val="0051609B"/>
    <w:rsid w:val="005160E7"/>
    <w:rsid w:val="0051617D"/>
    <w:rsid w:val="0051625E"/>
    <w:rsid w:val="005162AB"/>
    <w:rsid w:val="005162DB"/>
    <w:rsid w:val="005163AA"/>
    <w:rsid w:val="005163EB"/>
    <w:rsid w:val="005163F4"/>
    <w:rsid w:val="005164B2"/>
    <w:rsid w:val="005164D1"/>
    <w:rsid w:val="00516542"/>
    <w:rsid w:val="00516584"/>
    <w:rsid w:val="00516685"/>
    <w:rsid w:val="00516894"/>
    <w:rsid w:val="005168E1"/>
    <w:rsid w:val="005168FE"/>
    <w:rsid w:val="005169C4"/>
    <w:rsid w:val="00516AF0"/>
    <w:rsid w:val="00516BA5"/>
    <w:rsid w:val="00516BCC"/>
    <w:rsid w:val="00516C80"/>
    <w:rsid w:val="00516CD6"/>
    <w:rsid w:val="00516CE9"/>
    <w:rsid w:val="00516D9B"/>
    <w:rsid w:val="00516DBD"/>
    <w:rsid w:val="00516E08"/>
    <w:rsid w:val="00516E8A"/>
    <w:rsid w:val="00516F4A"/>
    <w:rsid w:val="00516FC4"/>
    <w:rsid w:val="00516FC7"/>
    <w:rsid w:val="00516FED"/>
    <w:rsid w:val="0051717F"/>
    <w:rsid w:val="005171A9"/>
    <w:rsid w:val="005171AB"/>
    <w:rsid w:val="005171C7"/>
    <w:rsid w:val="00517256"/>
    <w:rsid w:val="005172FB"/>
    <w:rsid w:val="00517376"/>
    <w:rsid w:val="005173BC"/>
    <w:rsid w:val="005173F9"/>
    <w:rsid w:val="00517456"/>
    <w:rsid w:val="005174A0"/>
    <w:rsid w:val="005175DF"/>
    <w:rsid w:val="005176B1"/>
    <w:rsid w:val="005176D1"/>
    <w:rsid w:val="005178AC"/>
    <w:rsid w:val="005179D1"/>
    <w:rsid w:val="00517A9B"/>
    <w:rsid w:val="00517B03"/>
    <w:rsid w:val="00517C95"/>
    <w:rsid w:val="00520053"/>
    <w:rsid w:val="00520075"/>
    <w:rsid w:val="00520096"/>
    <w:rsid w:val="0052014A"/>
    <w:rsid w:val="005201D8"/>
    <w:rsid w:val="0052021E"/>
    <w:rsid w:val="0052023B"/>
    <w:rsid w:val="005202AF"/>
    <w:rsid w:val="005202CF"/>
    <w:rsid w:val="005203CE"/>
    <w:rsid w:val="00520554"/>
    <w:rsid w:val="00520578"/>
    <w:rsid w:val="0052057C"/>
    <w:rsid w:val="005205D1"/>
    <w:rsid w:val="005205E2"/>
    <w:rsid w:val="00520710"/>
    <w:rsid w:val="0052094C"/>
    <w:rsid w:val="0052094D"/>
    <w:rsid w:val="005209CF"/>
    <w:rsid w:val="00520A6F"/>
    <w:rsid w:val="00520C11"/>
    <w:rsid w:val="00520C58"/>
    <w:rsid w:val="00520D63"/>
    <w:rsid w:val="00520E03"/>
    <w:rsid w:val="00520F1E"/>
    <w:rsid w:val="00520F64"/>
    <w:rsid w:val="00520F76"/>
    <w:rsid w:val="00521017"/>
    <w:rsid w:val="00521122"/>
    <w:rsid w:val="00521276"/>
    <w:rsid w:val="005212C8"/>
    <w:rsid w:val="005212DD"/>
    <w:rsid w:val="00521396"/>
    <w:rsid w:val="005214EF"/>
    <w:rsid w:val="00521504"/>
    <w:rsid w:val="00521561"/>
    <w:rsid w:val="0052157C"/>
    <w:rsid w:val="00521613"/>
    <w:rsid w:val="00521677"/>
    <w:rsid w:val="0052168F"/>
    <w:rsid w:val="0052169F"/>
    <w:rsid w:val="005216D9"/>
    <w:rsid w:val="005218B7"/>
    <w:rsid w:val="005219A8"/>
    <w:rsid w:val="00521A9C"/>
    <w:rsid w:val="00521B91"/>
    <w:rsid w:val="00521BA3"/>
    <w:rsid w:val="00521C82"/>
    <w:rsid w:val="00521E1D"/>
    <w:rsid w:val="00521E4F"/>
    <w:rsid w:val="00521FC0"/>
    <w:rsid w:val="00521FCA"/>
    <w:rsid w:val="0052216D"/>
    <w:rsid w:val="005222AC"/>
    <w:rsid w:val="00522314"/>
    <w:rsid w:val="00522335"/>
    <w:rsid w:val="00522396"/>
    <w:rsid w:val="00522418"/>
    <w:rsid w:val="005224D1"/>
    <w:rsid w:val="0052270B"/>
    <w:rsid w:val="00522717"/>
    <w:rsid w:val="0052285E"/>
    <w:rsid w:val="00522949"/>
    <w:rsid w:val="00522958"/>
    <w:rsid w:val="00522A0C"/>
    <w:rsid w:val="00522A69"/>
    <w:rsid w:val="00522B44"/>
    <w:rsid w:val="00522B86"/>
    <w:rsid w:val="00522DD1"/>
    <w:rsid w:val="00522DE5"/>
    <w:rsid w:val="00522DF1"/>
    <w:rsid w:val="00522E4C"/>
    <w:rsid w:val="00522F80"/>
    <w:rsid w:val="00522F8E"/>
    <w:rsid w:val="00523009"/>
    <w:rsid w:val="00523080"/>
    <w:rsid w:val="005230B3"/>
    <w:rsid w:val="0052312D"/>
    <w:rsid w:val="005231E2"/>
    <w:rsid w:val="005231F4"/>
    <w:rsid w:val="005232B5"/>
    <w:rsid w:val="0052330C"/>
    <w:rsid w:val="00523333"/>
    <w:rsid w:val="005233C2"/>
    <w:rsid w:val="005233D4"/>
    <w:rsid w:val="0052351B"/>
    <w:rsid w:val="0052356C"/>
    <w:rsid w:val="0052357A"/>
    <w:rsid w:val="005235DE"/>
    <w:rsid w:val="00523619"/>
    <w:rsid w:val="0052362B"/>
    <w:rsid w:val="00523687"/>
    <w:rsid w:val="00523939"/>
    <w:rsid w:val="00523A3C"/>
    <w:rsid w:val="00523A65"/>
    <w:rsid w:val="00523C63"/>
    <w:rsid w:val="00523CBB"/>
    <w:rsid w:val="00523D2E"/>
    <w:rsid w:val="00523D31"/>
    <w:rsid w:val="00523D37"/>
    <w:rsid w:val="00523E36"/>
    <w:rsid w:val="0052405F"/>
    <w:rsid w:val="0052408A"/>
    <w:rsid w:val="005241CE"/>
    <w:rsid w:val="00524264"/>
    <w:rsid w:val="00524281"/>
    <w:rsid w:val="005242CA"/>
    <w:rsid w:val="005244A5"/>
    <w:rsid w:val="0052460F"/>
    <w:rsid w:val="00524663"/>
    <w:rsid w:val="005247E4"/>
    <w:rsid w:val="005248C3"/>
    <w:rsid w:val="00524904"/>
    <w:rsid w:val="005249D7"/>
    <w:rsid w:val="00524A5E"/>
    <w:rsid w:val="00524B1B"/>
    <w:rsid w:val="00524C90"/>
    <w:rsid w:val="00524C9C"/>
    <w:rsid w:val="00524C9E"/>
    <w:rsid w:val="00524CC6"/>
    <w:rsid w:val="00524D90"/>
    <w:rsid w:val="00524E2A"/>
    <w:rsid w:val="00524E2C"/>
    <w:rsid w:val="00524FF9"/>
    <w:rsid w:val="005250EA"/>
    <w:rsid w:val="005251DD"/>
    <w:rsid w:val="00525279"/>
    <w:rsid w:val="005252C5"/>
    <w:rsid w:val="005253CC"/>
    <w:rsid w:val="005253DE"/>
    <w:rsid w:val="005254BA"/>
    <w:rsid w:val="00525595"/>
    <w:rsid w:val="00525624"/>
    <w:rsid w:val="00525626"/>
    <w:rsid w:val="005256CA"/>
    <w:rsid w:val="005256F4"/>
    <w:rsid w:val="00525720"/>
    <w:rsid w:val="0052577B"/>
    <w:rsid w:val="005258EB"/>
    <w:rsid w:val="00525A1A"/>
    <w:rsid w:val="00525A89"/>
    <w:rsid w:val="00525AA1"/>
    <w:rsid w:val="00525B17"/>
    <w:rsid w:val="00525B64"/>
    <w:rsid w:val="00525B71"/>
    <w:rsid w:val="00525B7E"/>
    <w:rsid w:val="00525BD0"/>
    <w:rsid w:val="00525BDA"/>
    <w:rsid w:val="00525C0B"/>
    <w:rsid w:val="00525CAB"/>
    <w:rsid w:val="00525DE2"/>
    <w:rsid w:val="00525E42"/>
    <w:rsid w:val="00525E53"/>
    <w:rsid w:val="00525E7F"/>
    <w:rsid w:val="00525FBC"/>
    <w:rsid w:val="005260C2"/>
    <w:rsid w:val="0052614D"/>
    <w:rsid w:val="0052622D"/>
    <w:rsid w:val="0052637D"/>
    <w:rsid w:val="005263E2"/>
    <w:rsid w:val="005264BA"/>
    <w:rsid w:val="00526532"/>
    <w:rsid w:val="00526539"/>
    <w:rsid w:val="00526631"/>
    <w:rsid w:val="005266CC"/>
    <w:rsid w:val="00526753"/>
    <w:rsid w:val="00526877"/>
    <w:rsid w:val="0052688E"/>
    <w:rsid w:val="005269FE"/>
    <w:rsid w:val="00526A12"/>
    <w:rsid w:val="00526B8B"/>
    <w:rsid w:val="00526C63"/>
    <w:rsid w:val="00526C99"/>
    <w:rsid w:val="00526D4D"/>
    <w:rsid w:val="00526D78"/>
    <w:rsid w:val="00526DC1"/>
    <w:rsid w:val="00526E3A"/>
    <w:rsid w:val="00526E92"/>
    <w:rsid w:val="00527203"/>
    <w:rsid w:val="00527495"/>
    <w:rsid w:val="005274F4"/>
    <w:rsid w:val="00527571"/>
    <w:rsid w:val="00527637"/>
    <w:rsid w:val="00527697"/>
    <w:rsid w:val="005276C9"/>
    <w:rsid w:val="005276CD"/>
    <w:rsid w:val="00527895"/>
    <w:rsid w:val="00527942"/>
    <w:rsid w:val="00527A3D"/>
    <w:rsid w:val="00527AD7"/>
    <w:rsid w:val="00527B27"/>
    <w:rsid w:val="00527B61"/>
    <w:rsid w:val="00527C36"/>
    <w:rsid w:val="00527DB1"/>
    <w:rsid w:val="00527F1C"/>
    <w:rsid w:val="00527F85"/>
    <w:rsid w:val="00527FD6"/>
    <w:rsid w:val="00527FE5"/>
    <w:rsid w:val="005300BC"/>
    <w:rsid w:val="00530141"/>
    <w:rsid w:val="005301BE"/>
    <w:rsid w:val="0053027E"/>
    <w:rsid w:val="00530506"/>
    <w:rsid w:val="005305B8"/>
    <w:rsid w:val="0053071E"/>
    <w:rsid w:val="005307B0"/>
    <w:rsid w:val="00530857"/>
    <w:rsid w:val="0053089D"/>
    <w:rsid w:val="00530A74"/>
    <w:rsid w:val="00530A90"/>
    <w:rsid w:val="00530B3F"/>
    <w:rsid w:val="00530B94"/>
    <w:rsid w:val="00530BBF"/>
    <w:rsid w:val="00530C80"/>
    <w:rsid w:val="00530ED1"/>
    <w:rsid w:val="00530FB6"/>
    <w:rsid w:val="00531134"/>
    <w:rsid w:val="00531173"/>
    <w:rsid w:val="00531357"/>
    <w:rsid w:val="005313D6"/>
    <w:rsid w:val="00531504"/>
    <w:rsid w:val="00531560"/>
    <w:rsid w:val="0053159D"/>
    <w:rsid w:val="00531652"/>
    <w:rsid w:val="00531693"/>
    <w:rsid w:val="005316BD"/>
    <w:rsid w:val="005317DA"/>
    <w:rsid w:val="005318C8"/>
    <w:rsid w:val="00531925"/>
    <w:rsid w:val="005319FB"/>
    <w:rsid w:val="00531B0F"/>
    <w:rsid w:val="00531C22"/>
    <w:rsid w:val="00531C63"/>
    <w:rsid w:val="00531D1D"/>
    <w:rsid w:val="00531E6F"/>
    <w:rsid w:val="00531E98"/>
    <w:rsid w:val="00531E9A"/>
    <w:rsid w:val="00532059"/>
    <w:rsid w:val="00532081"/>
    <w:rsid w:val="0053209A"/>
    <w:rsid w:val="0053214F"/>
    <w:rsid w:val="00532178"/>
    <w:rsid w:val="005321CB"/>
    <w:rsid w:val="0053226E"/>
    <w:rsid w:val="00532285"/>
    <w:rsid w:val="005322C3"/>
    <w:rsid w:val="00532409"/>
    <w:rsid w:val="00532455"/>
    <w:rsid w:val="005324FD"/>
    <w:rsid w:val="00532516"/>
    <w:rsid w:val="0053257F"/>
    <w:rsid w:val="005325F2"/>
    <w:rsid w:val="005326AB"/>
    <w:rsid w:val="005327BF"/>
    <w:rsid w:val="00532877"/>
    <w:rsid w:val="00532CCB"/>
    <w:rsid w:val="00532D39"/>
    <w:rsid w:val="00532DF2"/>
    <w:rsid w:val="00532E2F"/>
    <w:rsid w:val="00532E3D"/>
    <w:rsid w:val="00532E79"/>
    <w:rsid w:val="00532E7E"/>
    <w:rsid w:val="00533058"/>
    <w:rsid w:val="00533069"/>
    <w:rsid w:val="00533215"/>
    <w:rsid w:val="00533279"/>
    <w:rsid w:val="005332D4"/>
    <w:rsid w:val="00533319"/>
    <w:rsid w:val="00533366"/>
    <w:rsid w:val="00533377"/>
    <w:rsid w:val="00533395"/>
    <w:rsid w:val="005333C8"/>
    <w:rsid w:val="005333F7"/>
    <w:rsid w:val="0053341A"/>
    <w:rsid w:val="0053342D"/>
    <w:rsid w:val="00533445"/>
    <w:rsid w:val="00533786"/>
    <w:rsid w:val="00533BBB"/>
    <w:rsid w:val="00533BC1"/>
    <w:rsid w:val="00533C2E"/>
    <w:rsid w:val="00533D61"/>
    <w:rsid w:val="00533DAE"/>
    <w:rsid w:val="00533DBD"/>
    <w:rsid w:val="00533E3E"/>
    <w:rsid w:val="00533EC4"/>
    <w:rsid w:val="00533EDB"/>
    <w:rsid w:val="00533F1E"/>
    <w:rsid w:val="00533F33"/>
    <w:rsid w:val="00533FBA"/>
    <w:rsid w:val="00533FCD"/>
    <w:rsid w:val="00534008"/>
    <w:rsid w:val="00534010"/>
    <w:rsid w:val="005342E5"/>
    <w:rsid w:val="00534304"/>
    <w:rsid w:val="005343B0"/>
    <w:rsid w:val="00534410"/>
    <w:rsid w:val="00534429"/>
    <w:rsid w:val="005344B3"/>
    <w:rsid w:val="005344F0"/>
    <w:rsid w:val="0053453B"/>
    <w:rsid w:val="00534584"/>
    <w:rsid w:val="0053467E"/>
    <w:rsid w:val="005346CB"/>
    <w:rsid w:val="005347A7"/>
    <w:rsid w:val="005347EA"/>
    <w:rsid w:val="005347EB"/>
    <w:rsid w:val="0053483E"/>
    <w:rsid w:val="00534A9A"/>
    <w:rsid w:val="00534AB8"/>
    <w:rsid w:val="00534C73"/>
    <w:rsid w:val="00534CE3"/>
    <w:rsid w:val="00534D2D"/>
    <w:rsid w:val="00534D8D"/>
    <w:rsid w:val="00534E53"/>
    <w:rsid w:val="00534E61"/>
    <w:rsid w:val="00534E6C"/>
    <w:rsid w:val="00534F8E"/>
    <w:rsid w:val="005350AB"/>
    <w:rsid w:val="00535231"/>
    <w:rsid w:val="00535270"/>
    <w:rsid w:val="0053529F"/>
    <w:rsid w:val="005352D6"/>
    <w:rsid w:val="0053531A"/>
    <w:rsid w:val="0053538E"/>
    <w:rsid w:val="00535437"/>
    <w:rsid w:val="00535489"/>
    <w:rsid w:val="00535495"/>
    <w:rsid w:val="005355B5"/>
    <w:rsid w:val="00535773"/>
    <w:rsid w:val="005357A9"/>
    <w:rsid w:val="00535916"/>
    <w:rsid w:val="0053592D"/>
    <w:rsid w:val="00535A21"/>
    <w:rsid w:val="00535A51"/>
    <w:rsid w:val="00535D01"/>
    <w:rsid w:val="00535D1B"/>
    <w:rsid w:val="00535D89"/>
    <w:rsid w:val="00535DC7"/>
    <w:rsid w:val="00535E97"/>
    <w:rsid w:val="00535EDC"/>
    <w:rsid w:val="00535EFF"/>
    <w:rsid w:val="00535F93"/>
    <w:rsid w:val="00535FA3"/>
    <w:rsid w:val="00535FBF"/>
    <w:rsid w:val="005360A8"/>
    <w:rsid w:val="00536118"/>
    <w:rsid w:val="00536370"/>
    <w:rsid w:val="005363B5"/>
    <w:rsid w:val="00536523"/>
    <w:rsid w:val="00536593"/>
    <w:rsid w:val="005365E0"/>
    <w:rsid w:val="00536677"/>
    <w:rsid w:val="00536774"/>
    <w:rsid w:val="005367BF"/>
    <w:rsid w:val="005367F6"/>
    <w:rsid w:val="005368A2"/>
    <w:rsid w:val="00536C29"/>
    <w:rsid w:val="00536D50"/>
    <w:rsid w:val="00536E94"/>
    <w:rsid w:val="00536EF2"/>
    <w:rsid w:val="00536F6D"/>
    <w:rsid w:val="00536FA2"/>
    <w:rsid w:val="005370B2"/>
    <w:rsid w:val="005371A0"/>
    <w:rsid w:val="0053724B"/>
    <w:rsid w:val="005372B7"/>
    <w:rsid w:val="005373E9"/>
    <w:rsid w:val="005374EB"/>
    <w:rsid w:val="005375D8"/>
    <w:rsid w:val="00537628"/>
    <w:rsid w:val="00537767"/>
    <w:rsid w:val="005377CB"/>
    <w:rsid w:val="00537845"/>
    <w:rsid w:val="005378E0"/>
    <w:rsid w:val="005379CE"/>
    <w:rsid w:val="00537B03"/>
    <w:rsid w:val="00537B42"/>
    <w:rsid w:val="00537C9E"/>
    <w:rsid w:val="00537E0E"/>
    <w:rsid w:val="00537EF8"/>
    <w:rsid w:val="00537F00"/>
    <w:rsid w:val="00537F81"/>
    <w:rsid w:val="00537F8C"/>
    <w:rsid w:val="00540156"/>
    <w:rsid w:val="005401A1"/>
    <w:rsid w:val="005401B6"/>
    <w:rsid w:val="00540248"/>
    <w:rsid w:val="00540268"/>
    <w:rsid w:val="00540281"/>
    <w:rsid w:val="0054032A"/>
    <w:rsid w:val="005403BE"/>
    <w:rsid w:val="0054040A"/>
    <w:rsid w:val="00540487"/>
    <w:rsid w:val="00540506"/>
    <w:rsid w:val="005406D4"/>
    <w:rsid w:val="00540728"/>
    <w:rsid w:val="00540787"/>
    <w:rsid w:val="00540946"/>
    <w:rsid w:val="00540A91"/>
    <w:rsid w:val="00540AA5"/>
    <w:rsid w:val="00540B2B"/>
    <w:rsid w:val="00540B41"/>
    <w:rsid w:val="00540BA1"/>
    <w:rsid w:val="00540BBF"/>
    <w:rsid w:val="00540BDF"/>
    <w:rsid w:val="00540C24"/>
    <w:rsid w:val="00540C59"/>
    <w:rsid w:val="00540CBB"/>
    <w:rsid w:val="00540EB3"/>
    <w:rsid w:val="00540FC7"/>
    <w:rsid w:val="0054109E"/>
    <w:rsid w:val="00541146"/>
    <w:rsid w:val="005411EF"/>
    <w:rsid w:val="005411FB"/>
    <w:rsid w:val="0054169D"/>
    <w:rsid w:val="00541787"/>
    <w:rsid w:val="005417D3"/>
    <w:rsid w:val="00541803"/>
    <w:rsid w:val="00541810"/>
    <w:rsid w:val="00541890"/>
    <w:rsid w:val="005418D1"/>
    <w:rsid w:val="00541926"/>
    <w:rsid w:val="005419EA"/>
    <w:rsid w:val="00541B07"/>
    <w:rsid w:val="00541D0D"/>
    <w:rsid w:val="00541E21"/>
    <w:rsid w:val="00541ED4"/>
    <w:rsid w:val="00542048"/>
    <w:rsid w:val="00542288"/>
    <w:rsid w:val="005422C0"/>
    <w:rsid w:val="005422CE"/>
    <w:rsid w:val="0054246A"/>
    <w:rsid w:val="00542536"/>
    <w:rsid w:val="0054271A"/>
    <w:rsid w:val="005427DB"/>
    <w:rsid w:val="00542814"/>
    <w:rsid w:val="00542876"/>
    <w:rsid w:val="005428A4"/>
    <w:rsid w:val="0054292C"/>
    <w:rsid w:val="005429E0"/>
    <w:rsid w:val="00542A2A"/>
    <w:rsid w:val="00542AA8"/>
    <w:rsid w:val="00542B76"/>
    <w:rsid w:val="00542BCB"/>
    <w:rsid w:val="00542BED"/>
    <w:rsid w:val="00542BF5"/>
    <w:rsid w:val="00542D1C"/>
    <w:rsid w:val="00542D21"/>
    <w:rsid w:val="00542DC9"/>
    <w:rsid w:val="00542DE0"/>
    <w:rsid w:val="00542E5D"/>
    <w:rsid w:val="00542F5E"/>
    <w:rsid w:val="00542F68"/>
    <w:rsid w:val="005430D5"/>
    <w:rsid w:val="005431BE"/>
    <w:rsid w:val="0054321D"/>
    <w:rsid w:val="0054328A"/>
    <w:rsid w:val="005433EC"/>
    <w:rsid w:val="00543449"/>
    <w:rsid w:val="005435EB"/>
    <w:rsid w:val="005435EE"/>
    <w:rsid w:val="005435F3"/>
    <w:rsid w:val="00543600"/>
    <w:rsid w:val="0054360E"/>
    <w:rsid w:val="005436FC"/>
    <w:rsid w:val="0054390C"/>
    <w:rsid w:val="00543951"/>
    <w:rsid w:val="005439D4"/>
    <w:rsid w:val="00543A79"/>
    <w:rsid w:val="00543B7F"/>
    <w:rsid w:val="00543B9E"/>
    <w:rsid w:val="00543BB3"/>
    <w:rsid w:val="00543C31"/>
    <w:rsid w:val="00543D11"/>
    <w:rsid w:val="00543D2A"/>
    <w:rsid w:val="00543D3A"/>
    <w:rsid w:val="00543D81"/>
    <w:rsid w:val="00543DD5"/>
    <w:rsid w:val="00543E4A"/>
    <w:rsid w:val="00543E6F"/>
    <w:rsid w:val="00543F9C"/>
    <w:rsid w:val="005441FB"/>
    <w:rsid w:val="0054422B"/>
    <w:rsid w:val="00544234"/>
    <w:rsid w:val="00544284"/>
    <w:rsid w:val="005442AE"/>
    <w:rsid w:val="005442CE"/>
    <w:rsid w:val="00544312"/>
    <w:rsid w:val="005443C3"/>
    <w:rsid w:val="005443D6"/>
    <w:rsid w:val="00544498"/>
    <w:rsid w:val="0054449D"/>
    <w:rsid w:val="005444DA"/>
    <w:rsid w:val="0054450E"/>
    <w:rsid w:val="00544525"/>
    <w:rsid w:val="0054457E"/>
    <w:rsid w:val="0054460E"/>
    <w:rsid w:val="0054465F"/>
    <w:rsid w:val="0054475D"/>
    <w:rsid w:val="0054499F"/>
    <w:rsid w:val="00544A35"/>
    <w:rsid w:val="00544AB2"/>
    <w:rsid w:val="00544B3D"/>
    <w:rsid w:val="00544B5A"/>
    <w:rsid w:val="00544B6C"/>
    <w:rsid w:val="00544C8A"/>
    <w:rsid w:val="00544CDE"/>
    <w:rsid w:val="00544D39"/>
    <w:rsid w:val="00544DF4"/>
    <w:rsid w:val="00544EEF"/>
    <w:rsid w:val="00544F3A"/>
    <w:rsid w:val="00544F59"/>
    <w:rsid w:val="00544F7F"/>
    <w:rsid w:val="00545086"/>
    <w:rsid w:val="00545102"/>
    <w:rsid w:val="005452E1"/>
    <w:rsid w:val="005454B8"/>
    <w:rsid w:val="0054553F"/>
    <w:rsid w:val="00545627"/>
    <w:rsid w:val="00545844"/>
    <w:rsid w:val="0054584E"/>
    <w:rsid w:val="005458AB"/>
    <w:rsid w:val="00545958"/>
    <w:rsid w:val="00545A4F"/>
    <w:rsid w:val="00545A97"/>
    <w:rsid w:val="00545AF3"/>
    <w:rsid w:val="00545C2A"/>
    <w:rsid w:val="00545CC2"/>
    <w:rsid w:val="00545E39"/>
    <w:rsid w:val="00545FB9"/>
    <w:rsid w:val="005460E2"/>
    <w:rsid w:val="00546127"/>
    <w:rsid w:val="005461E1"/>
    <w:rsid w:val="00546238"/>
    <w:rsid w:val="00546333"/>
    <w:rsid w:val="005463C7"/>
    <w:rsid w:val="005463FC"/>
    <w:rsid w:val="00546401"/>
    <w:rsid w:val="00546417"/>
    <w:rsid w:val="0054647E"/>
    <w:rsid w:val="005464C4"/>
    <w:rsid w:val="005464EA"/>
    <w:rsid w:val="00546578"/>
    <w:rsid w:val="00546591"/>
    <w:rsid w:val="005465B2"/>
    <w:rsid w:val="005468AF"/>
    <w:rsid w:val="00546948"/>
    <w:rsid w:val="005469A5"/>
    <w:rsid w:val="005469C0"/>
    <w:rsid w:val="00546A14"/>
    <w:rsid w:val="00546A39"/>
    <w:rsid w:val="00546B57"/>
    <w:rsid w:val="00546C99"/>
    <w:rsid w:val="00546CBB"/>
    <w:rsid w:val="00546DAF"/>
    <w:rsid w:val="00546DBF"/>
    <w:rsid w:val="00546E65"/>
    <w:rsid w:val="00546F9E"/>
    <w:rsid w:val="0054702A"/>
    <w:rsid w:val="005471C3"/>
    <w:rsid w:val="005471EE"/>
    <w:rsid w:val="00547217"/>
    <w:rsid w:val="00547226"/>
    <w:rsid w:val="0054725D"/>
    <w:rsid w:val="00547277"/>
    <w:rsid w:val="005474D9"/>
    <w:rsid w:val="005474DA"/>
    <w:rsid w:val="00547566"/>
    <w:rsid w:val="0054775B"/>
    <w:rsid w:val="00547781"/>
    <w:rsid w:val="00547949"/>
    <w:rsid w:val="005479D5"/>
    <w:rsid w:val="005479E9"/>
    <w:rsid w:val="00547AA5"/>
    <w:rsid w:val="00547B3D"/>
    <w:rsid w:val="00547B8B"/>
    <w:rsid w:val="00547D3F"/>
    <w:rsid w:val="00547D51"/>
    <w:rsid w:val="00547D6A"/>
    <w:rsid w:val="00547DE3"/>
    <w:rsid w:val="00547DF5"/>
    <w:rsid w:val="00547E22"/>
    <w:rsid w:val="00547E35"/>
    <w:rsid w:val="00547EB3"/>
    <w:rsid w:val="0055011B"/>
    <w:rsid w:val="00550154"/>
    <w:rsid w:val="0055017F"/>
    <w:rsid w:val="00550203"/>
    <w:rsid w:val="005502D2"/>
    <w:rsid w:val="00550363"/>
    <w:rsid w:val="005504B3"/>
    <w:rsid w:val="005504FF"/>
    <w:rsid w:val="005506F2"/>
    <w:rsid w:val="005506F9"/>
    <w:rsid w:val="0055076A"/>
    <w:rsid w:val="0055090F"/>
    <w:rsid w:val="005509DF"/>
    <w:rsid w:val="00550A1D"/>
    <w:rsid w:val="00550A7A"/>
    <w:rsid w:val="00550AA6"/>
    <w:rsid w:val="00550BC2"/>
    <w:rsid w:val="00550C05"/>
    <w:rsid w:val="00550C2C"/>
    <w:rsid w:val="00550C3B"/>
    <w:rsid w:val="00550C4F"/>
    <w:rsid w:val="00550D98"/>
    <w:rsid w:val="00550DAE"/>
    <w:rsid w:val="00550F42"/>
    <w:rsid w:val="00551093"/>
    <w:rsid w:val="005510A0"/>
    <w:rsid w:val="005510E1"/>
    <w:rsid w:val="00551152"/>
    <w:rsid w:val="00551173"/>
    <w:rsid w:val="00551199"/>
    <w:rsid w:val="005511CE"/>
    <w:rsid w:val="00551273"/>
    <w:rsid w:val="00551282"/>
    <w:rsid w:val="00551308"/>
    <w:rsid w:val="00551309"/>
    <w:rsid w:val="00551399"/>
    <w:rsid w:val="005513CA"/>
    <w:rsid w:val="0055141F"/>
    <w:rsid w:val="00551425"/>
    <w:rsid w:val="0055143B"/>
    <w:rsid w:val="00551477"/>
    <w:rsid w:val="005515B1"/>
    <w:rsid w:val="005516BB"/>
    <w:rsid w:val="005516C5"/>
    <w:rsid w:val="0055175D"/>
    <w:rsid w:val="00551984"/>
    <w:rsid w:val="005519CB"/>
    <w:rsid w:val="00551A88"/>
    <w:rsid w:val="00551A99"/>
    <w:rsid w:val="00551AB6"/>
    <w:rsid w:val="00551ACE"/>
    <w:rsid w:val="00551D39"/>
    <w:rsid w:val="00551D5B"/>
    <w:rsid w:val="00551D62"/>
    <w:rsid w:val="00551E9C"/>
    <w:rsid w:val="00551FA8"/>
    <w:rsid w:val="00552071"/>
    <w:rsid w:val="005520EF"/>
    <w:rsid w:val="00552271"/>
    <w:rsid w:val="005522CE"/>
    <w:rsid w:val="005522D3"/>
    <w:rsid w:val="005522DA"/>
    <w:rsid w:val="0055230A"/>
    <w:rsid w:val="00552401"/>
    <w:rsid w:val="00552442"/>
    <w:rsid w:val="00552493"/>
    <w:rsid w:val="005524E5"/>
    <w:rsid w:val="00552546"/>
    <w:rsid w:val="0055254A"/>
    <w:rsid w:val="005525DE"/>
    <w:rsid w:val="0055269A"/>
    <w:rsid w:val="005526D1"/>
    <w:rsid w:val="005526FF"/>
    <w:rsid w:val="005527ED"/>
    <w:rsid w:val="005527FA"/>
    <w:rsid w:val="005527FE"/>
    <w:rsid w:val="005528EA"/>
    <w:rsid w:val="005529FD"/>
    <w:rsid w:val="00552A07"/>
    <w:rsid w:val="00552A11"/>
    <w:rsid w:val="00552B64"/>
    <w:rsid w:val="00552BC5"/>
    <w:rsid w:val="00552C4F"/>
    <w:rsid w:val="00552CB6"/>
    <w:rsid w:val="00552D53"/>
    <w:rsid w:val="00552DF8"/>
    <w:rsid w:val="00552E57"/>
    <w:rsid w:val="00552E6C"/>
    <w:rsid w:val="00552EA4"/>
    <w:rsid w:val="0055307A"/>
    <w:rsid w:val="005530F4"/>
    <w:rsid w:val="00553117"/>
    <w:rsid w:val="005531A1"/>
    <w:rsid w:val="0055322F"/>
    <w:rsid w:val="005532AF"/>
    <w:rsid w:val="005532BD"/>
    <w:rsid w:val="00553306"/>
    <w:rsid w:val="00553368"/>
    <w:rsid w:val="005533D4"/>
    <w:rsid w:val="005533DA"/>
    <w:rsid w:val="00553490"/>
    <w:rsid w:val="0055376F"/>
    <w:rsid w:val="005538B2"/>
    <w:rsid w:val="005539C2"/>
    <w:rsid w:val="00553A5B"/>
    <w:rsid w:val="00553AE5"/>
    <w:rsid w:val="00553B17"/>
    <w:rsid w:val="00553F5C"/>
    <w:rsid w:val="00553F61"/>
    <w:rsid w:val="00553FE9"/>
    <w:rsid w:val="00554106"/>
    <w:rsid w:val="00554207"/>
    <w:rsid w:val="00554223"/>
    <w:rsid w:val="005543F9"/>
    <w:rsid w:val="0055451B"/>
    <w:rsid w:val="0055457C"/>
    <w:rsid w:val="005546EE"/>
    <w:rsid w:val="00554706"/>
    <w:rsid w:val="0055474F"/>
    <w:rsid w:val="00554767"/>
    <w:rsid w:val="005548B3"/>
    <w:rsid w:val="005548ED"/>
    <w:rsid w:val="00554941"/>
    <w:rsid w:val="00554A78"/>
    <w:rsid w:val="00554B2F"/>
    <w:rsid w:val="00554C08"/>
    <w:rsid w:val="00554C58"/>
    <w:rsid w:val="00554CC1"/>
    <w:rsid w:val="00554DF3"/>
    <w:rsid w:val="00554EED"/>
    <w:rsid w:val="00554FE9"/>
    <w:rsid w:val="0055501F"/>
    <w:rsid w:val="00555050"/>
    <w:rsid w:val="00555271"/>
    <w:rsid w:val="00555380"/>
    <w:rsid w:val="00555582"/>
    <w:rsid w:val="0055563B"/>
    <w:rsid w:val="00555668"/>
    <w:rsid w:val="0055566B"/>
    <w:rsid w:val="00555714"/>
    <w:rsid w:val="00555789"/>
    <w:rsid w:val="00555900"/>
    <w:rsid w:val="0055591C"/>
    <w:rsid w:val="00555957"/>
    <w:rsid w:val="005559C1"/>
    <w:rsid w:val="00555A1A"/>
    <w:rsid w:val="00555AEF"/>
    <w:rsid w:val="00555BFB"/>
    <w:rsid w:val="00555C4F"/>
    <w:rsid w:val="00555C7C"/>
    <w:rsid w:val="00555E00"/>
    <w:rsid w:val="00555E0F"/>
    <w:rsid w:val="00555F8F"/>
    <w:rsid w:val="00556004"/>
    <w:rsid w:val="0055613E"/>
    <w:rsid w:val="005561F9"/>
    <w:rsid w:val="005563C7"/>
    <w:rsid w:val="005564A8"/>
    <w:rsid w:val="005565BF"/>
    <w:rsid w:val="005565F2"/>
    <w:rsid w:val="005566EC"/>
    <w:rsid w:val="0055677B"/>
    <w:rsid w:val="00556789"/>
    <w:rsid w:val="005567CF"/>
    <w:rsid w:val="00556990"/>
    <w:rsid w:val="00556A65"/>
    <w:rsid w:val="00556B6A"/>
    <w:rsid w:val="00556C1F"/>
    <w:rsid w:val="00556C55"/>
    <w:rsid w:val="00556F66"/>
    <w:rsid w:val="00556FEE"/>
    <w:rsid w:val="00556FFC"/>
    <w:rsid w:val="00557213"/>
    <w:rsid w:val="0055731B"/>
    <w:rsid w:val="005573B7"/>
    <w:rsid w:val="005574E7"/>
    <w:rsid w:val="00557554"/>
    <w:rsid w:val="00557662"/>
    <w:rsid w:val="005577AD"/>
    <w:rsid w:val="005577D9"/>
    <w:rsid w:val="005578E1"/>
    <w:rsid w:val="005578EF"/>
    <w:rsid w:val="00557A3E"/>
    <w:rsid w:val="00557A79"/>
    <w:rsid w:val="00557B0A"/>
    <w:rsid w:val="00557B5E"/>
    <w:rsid w:val="00557B61"/>
    <w:rsid w:val="00557BBC"/>
    <w:rsid w:val="00557C1B"/>
    <w:rsid w:val="00557D02"/>
    <w:rsid w:val="00557DC1"/>
    <w:rsid w:val="00557DF3"/>
    <w:rsid w:val="00557E1D"/>
    <w:rsid w:val="00557E62"/>
    <w:rsid w:val="00557EFD"/>
    <w:rsid w:val="00557F83"/>
    <w:rsid w:val="0056000E"/>
    <w:rsid w:val="00560028"/>
    <w:rsid w:val="0056002A"/>
    <w:rsid w:val="0056002E"/>
    <w:rsid w:val="0056004F"/>
    <w:rsid w:val="005600F9"/>
    <w:rsid w:val="0056019A"/>
    <w:rsid w:val="0056025C"/>
    <w:rsid w:val="00560265"/>
    <w:rsid w:val="0056027A"/>
    <w:rsid w:val="00560324"/>
    <w:rsid w:val="0056043E"/>
    <w:rsid w:val="0056047B"/>
    <w:rsid w:val="00560482"/>
    <w:rsid w:val="005604EA"/>
    <w:rsid w:val="00560608"/>
    <w:rsid w:val="00560642"/>
    <w:rsid w:val="00560700"/>
    <w:rsid w:val="0056072A"/>
    <w:rsid w:val="00560787"/>
    <w:rsid w:val="0056079B"/>
    <w:rsid w:val="00560883"/>
    <w:rsid w:val="005608E3"/>
    <w:rsid w:val="00560917"/>
    <w:rsid w:val="005609B3"/>
    <w:rsid w:val="00560A1C"/>
    <w:rsid w:val="00560CCE"/>
    <w:rsid w:val="00560D46"/>
    <w:rsid w:val="00560EAC"/>
    <w:rsid w:val="00560F0C"/>
    <w:rsid w:val="00560F49"/>
    <w:rsid w:val="00560F5C"/>
    <w:rsid w:val="00561063"/>
    <w:rsid w:val="0056108F"/>
    <w:rsid w:val="0056121F"/>
    <w:rsid w:val="00561247"/>
    <w:rsid w:val="00561284"/>
    <w:rsid w:val="005613D0"/>
    <w:rsid w:val="00561624"/>
    <w:rsid w:val="005616BC"/>
    <w:rsid w:val="00561714"/>
    <w:rsid w:val="0056174C"/>
    <w:rsid w:val="00561779"/>
    <w:rsid w:val="005618B8"/>
    <w:rsid w:val="0056195A"/>
    <w:rsid w:val="00561964"/>
    <w:rsid w:val="00561A2B"/>
    <w:rsid w:val="00561C1D"/>
    <w:rsid w:val="00561CF8"/>
    <w:rsid w:val="00561DA8"/>
    <w:rsid w:val="00561F12"/>
    <w:rsid w:val="00561F9A"/>
    <w:rsid w:val="00561FC2"/>
    <w:rsid w:val="00561FDE"/>
    <w:rsid w:val="00561FF8"/>
    <w:rsid w:val="0056203D"/>
    <w:rsid w:val="00562060"/>
    <w:rsid w:val="005622C3"/>
    <w:rsid w:val="0056230D"/>
    <w:rsid w:val="00562315"/>
    <w:rsid w:val="005623BA"/>
    <w:rsid w:val="00562425"/>
    <w:rsid w:val="005624D8"/>
    <w:rsid w:val="0056255F"/>
    <w:rsid w:val="00562600"/>
    <w:rsid w:val="00562670"/>
    <w:rsid w:val="00562686"/>
    <w:rsid w:val="005626D1"/>
    <w:rsid w:val="0056276E"/>
    <w:rsid w:val="005627D6"/>
    <w:rsid w:val="005627EA"/>
    <w:rsid w:val="00562885"/>
    <w:rsid w:val="00562A3F"/>
    <w:rsid w:val="00562AA1"/>
    <w:rsid w:val="00562B6A"/>
    <w:rsid w:val="00562BE2"/>
    <w:rsid w:val="00562BF8"/>
    <w:rsid w:val="00562C3C"/>
    <w:rsid w:val="00562CB2"/>
    <w:rsid w:val="00562D34"/>
    <w:rsid w:val="00562DBD"/>
    <w:rsid w:val="00562DC9"/>
    <w:rsid w:val="00562DCF"/>
    <w:rsid w:val="00562E4B"/>
    <w:rsid w:val="00562E56"/>
    <w:rsid w:val="00562EC2"/>
    <w:rsid w:val="005631D0"/>
    <w:rsid w:val="00563261"/>
    <w:rsid w:val="0056326E"/>
    <w:rsid w:val="005632E3"/>
    <w:rsid w:val="005632EE"/>
    <w:rsid w:val="005633BC"/>
    <w:rsid w:val="005633C4"/>
    <w:rsid w:val="005633EB"/>
    <w:rsid w:val="0056348E"/>
    <w:rsid w:val="0056352A"/>
    <w:rsid w:val="00563620"/>
    <w:rsid w:val="00563697"/>
    <w:rsid w:val="0056369A"/>
    <w:rsid w:val="005637C1"/>
    <w:rsid w:val="005637F0"/>
    <w:rsid w:val="005639F9"/>
    <w:rsid w:val="00563D76"/>
    <w:rsid w:val="00563E04"/>
    <w:rsid w:val="00563E7E"/>
    <w:rsid w:val="00564018"/>
    <w:rsid w:val="005640A9"/>
    <w:rsid w:val="005640F5"/>
    <w:rsid w:val="00564185"/>
    <w:rsid w:val="005641EE"/>
    <w:rsid w:val="00564244"/>
    <w:rsid w:val="0056434A"/>
    <w:rsid w:val="00564399"/>
    <w:rsid w:val="0056447F"/>
    <w:rsid w:val="005645C6"/>
    <w:rsid w:val="00564674"/>
    <w:rsid w:val="00564959"/>
    <w:rsid w:val="005649C2"/>
    <w:rsid w:val="00564BE2"/>
    <w:rsid w:val="00564C52"/>
    <w:rsid w:val="00564C8F"/>
    <w:rsid w:val="00564C93"/>
    <w:rsid w:val="00564CD9"/>
    <w:rsid w:val="00564D8E"/>
    <w:rsid w:val="00564E38"/>
    <w:rsid w:val="00564E3A"/>
    <w:rsid w:val="00564EF2"/>
    <w:rsid w:val="00564F17"/>
    <w:rsid w:val="00564FBF"/>
    <w:rsid w:val="00565010"/>
    <w:rsid w:val="00565036"/>
    <w:rsid w:val="005650A7"/>
    <w:rsid w:val="00565119"/>
    <w:rsid w:val="00565224"/>
    <w:rsid w:val="0056527F"/>
    <w:rsid w:val="00565291"/>
    <w:rsid w:val="00565297"/>
    <w:rsid w:val="00565298"/>
    <w:rsid w:val="00565317"/>
    <w:rsid w:val="0056536D"/>
    <w:rsid w:val="0056542B"/>
    <w:rsid w:val="005656CA"/>
    <w:rsid w:val="005657EA"/>
    <w:rsid w:val="005658EA"/>
    <w:rsid w:val="0056590D"/>
    <w:rsid w:val="0056596D"/>
    <w:rsid w:val="00565AE7"/>
    <w:rsid w:val="00565CDC"/>
    <w:rsid w:val="00565D58"/>
    <w:rsid w:val="00565D61"/>
    <w:rsid w:val="00565E38"/>
    <w:rsid w:val="00565F1A"/>
    <w:rsid w:val="00566186"/>
    <w:rsid w:val="0056622C"/>
    <w:rsid w:val="00566254"/>
    <w:rsid w:val="00566487"/>
    <w:rsid w:val="005664A5"/>
    <w:rsid w:val="00566542"/>
    <w:rsid w:val="0056656D"/>
    <w:rsid w:val="00566652"/>
    <w:rsid w:val="00566682"/>
    <w:rsid w:val="005666D7"/>
    <w:rsid w:val="005666DE"/>
    <w:rsid w:val="00566753"/>
    <w:rsid w:val="00566755"/>
    <w:rsid w:val="005667E2"/>
    <w:rsid w:val="0056682C"/>
    <w:rsid w:val="00566917"/>
    <w:rsid w:val="00566963"/>
    <w:rsid w:val="00566998"/>
    <w:rsid w:val="005669CC"/>
    <w:rsid w:val="005669F3"/>
    <w:rsid w:val="00566A30"/>
    <w:rsid w:val="00566A86"/>
    <w:rsid w:val="00566AAA"/>
    <w:rsid w:val="00566B64"/>
    <w:rsid w:val="00566B6C"/>
    <w:rsid w:val="00566B6D"/>
    <w:rsid w:val="00566B77"/>
    <w:rsid w:val="00566BCB"/>
    <w:rsid w:val="00566C0A"/>
    <w:rsid w:val="00566C0B"/>
    <w:rsid w:val="00566CA2"/>
    <w:rsid w:val="00566D80"/>
    <w:rsid w:val="00566FD4"/>
    <w:rsid w:val="005670F9"/>
    <w:rsid w:val="0056714B"/>
    <w:rsid w:val="00567150"/>
    <w:rsid w:val="00567270"/>
    <w:rsid w:val="00567298"/>
    <w:rsid w:val="005672DE"/>
    <w:rsid w:val="0056731E"/>
    <w:rsid w:val="005673D8"/>
    <w:rsid w:val="005673F5"/>
    <w:rsid w:val="00567437"/>
    <w:rsid w:val="00567491"/>
    <w:rsid w:val="00567546"/>
    <w:rsid w:val="0056757E"/>
    <w:rsid w:val="005675E3"/>
    <w:rsid w:val="0056763C"/>
    <w:rsid w:val="005676C2"/>
    <w:rsid w:val="005676D6"/>
    <w:rsid w:val="00567705"/>
    <w:rsid w:val="00567971"/>
    <w:rsid w:val="00567A6F"/>
    <w:rsid w:val="00567B6C"/>
    <w:rsid w:val="00567BC8"/>
    <w:rsid w:val="00567C8C"/>
    <w:rsid w:val="00567CCC"/>
    <w:rsid w:val="00567E36"/>
    <w:rsid w:val="00567E71"/>
    <w:rsid w:val="00567F45"/>
    <w:rsid w:val="00567FE2"/>
    <w:rsid w:val="00570028"/>
    <w:rsid w:val="00570122"/>
    <w:rsid w:val="005701AD"/>
    <w:rsid w:val="005701DE"/>
    <w:rsid w:val="00570329"/>
    <w:rsid w:val="0057039F"/>
    <w:rsid w:val="005703F1"/>
    <w:rsid w:val="005705C6"/>
    <w:rsid w:val="0057064D"/>
    <w:rsid w:val="0057073E"/>
    <w:rsid w:val="005707AA"/>
    <w:rsid w:val="00570809"/>
    <w:rsid w:val="0057084F"/>
    <w:rsid w:val="005708BC"/>
    <w:rsid w:val="005708CB"/>
    <w:rsid w:val="005708CD"/>
    <w:rsid w:val="00570957"/>
    <w:rsid w:val="0057095B"/>
    <w:rsid w:val="00570A57"/>
    <w:rsid w:val="00570B0E"/>
    <w:rsid w:val="00570B39"/>
    <w:rsid w:val="00570BE4"/>
    <w:rsid w:val="00570CDD"/>
    <w:rsid w:val="00570CFB"/>
    <w:rsid w:val="00570DBD"/>
    <w:rsid w:val="00570E47"/>
    <w:rsid w:val="00570E9D"/>
    <w:rsid w:val="00570F77"/>
    <w:rsid w:val="00571046"/>
    <w:rsid w:val="005710D0"/>
    <w:rsid w:val="00571153"/>
    <w:rsid w:val="00571156"/>
    <w:rsid w:val="00571175"/>
    <w:rsid w:val="005711BF"/>
    <w:rsid w:val="0057129F"/>
    <w:rsid w:val="005712C2"/>
    <w:rsid w:val="00571311"/>
    <w:rsid w:val="005713CF"/>
    <w:rsid w:val="00571449"/>
    <w:rsid w:val="005714B3"/>
    <w:rsid w:val="005715BA"/>
    <w:rsid w:val="00571675"/>
    <w:rsid w:val="005716E8"/>
    <w:rsid w:val="0057170C"/>
    <w:rsid w:val="0057174E"/>
    <w:rsid w:val="005718CB"/>
    <w:rsid w:val="0057199F"/>
    <w:rsid w:val="005719EF"/>
    <w:rsid w:val="00571B4D"/>
    <w:rsid w:val="00571B6C"/>
    <w:rsid w:val="00571BF0"/>
    <w:rsid w:val="00571C71"/>
    <w:rsid w:val="00571CD7"/>
    <w:rsid w:val="00571CF3"/>
    <w:rsid w:val="00571D0F"/>
    <w:rsid w:val="00571D26"/>
    <w:rsid w:val="00571D36"/>
    <w:rsid w:val="00571D6D"/>
    <w:rsid w:val="00571E3C"/>
    <w:rsid w:val="00571E9A"/>
    <w:rsid w:val="00572020"/>
    <w:rsid w:val="005720F8"/>
    <w:rsid w:val="00572121"/>
    <w:rsid w:val="00572186"/>
    <w:rsid w:val="00572326"/>
    <w:rsid w:val="00572405"/>
    <w:rsid w:val="00572417"/>
    <w:rsid w:val="00572453"/>
    <w:rsid w:val="00572658"/>
    <w:rsid w:val="005726F4"/>
    <w:rsid w:val="00572744"/>
    <w:rsid w:val="0057279B"/>
    <w:rsid w:val="00572817"/>
    <w:rsid w:val="0057294B"/>
    <w:rsid w:val="005729A0"/>
    <w:rsid w:val="00572AB9"/>
    <w:rsid w:val="00572B90"/>
    <w:rsid w:val="00572BC2"/>
    <w:rsid w:val="00572BD4"/>
    <w:rsid w:val="00572C35"/>
    <w:rsid w:val="00572C40"/>
    <w:rsid w:val="00572D34"/>
    <w:rsid w:val="00572F46"/>
    <w:rsid w:val="00572F91"/>
    <w:rsid w:val="00572FB6"/>
    <w:rsid w:val="00572FDA"/>
    <w:rsid w:val="0057320F"/>
    <w:rsid w:val="005732A4"/>
    <w:rsid w:val="0057334C"/>
    <w:rsid w:val="005733B7"/>
    <w:rsid w:val="0057347F"/>
    <w:rsid w:val="0057356D"/>
    <w:rsid w:val="005735DD"/>
    <w:rsid w:val="005735F3"/>
    <w:rsid w:val="00573655"/>
    <w:rsid w:val="00573821"/>
    <w:rsid w:val="0057383B"/>
    <w:rsid w:val="00573881"/>
    <w:rsid w:val="00573890"/>
    <w:rsid w:val="005738A3"/>
    <w:rsid w:val="00573969"/>
    <w:rsid w:val="0057397D"/>
    <w:rsid w:val="005739A7"/>
    <w:rsid w:val="005739AD"/>
    <w:rsid w:val="00573AE1"/>
    <w:rsid w:val="00573BAA"/>
    <w:rsid w:val="00573BB9"/>
    <w:rsid w:val="00573CB9"/>
    <w:rsid w:val="00573DCA"/>
    <w:rsid w:val="00573F75"/>
    <w:rsid w:val="00573F7E"/>
    <w:rsid w:val="00573FEF"/>
    <w:rsid w:val="0057415D"/>
    <w:rsid w:val="00574184"/>
    <w:rsid w:val="005741AE"/>
    <w:rsid w:val="00574254"/>
    <w:rsid w:val="00574268"/>
    <w:rsid w:val="005742AB"/>
    <w:rsid w:val="00574443"/>
    <w:rsid w:val="005744A1"/>
    <w:rsid w:val="005744B1"/>
    <w:rsid w:val="00574754"/>
    <w:rsid w:val="0057495F"/>
    <w:rsid w:val="00574A02"/>
    <w:rsid w:val="00574AAC"/>
    <w:rsid w:val="00574BEC"/>
    <w:rsid w:val="00574C57"/>
    <w:rsid w:val="00574C7C"/>
    <w:rsid w:val="00574CC7"/>
    <w:rsid w:val="00574DAE"/>
    <w:rsid w:val="00574E01"/>
    <w:rsid w:val="00574E13"/>
    <w:rsid w:val="00574E44"/>
    <w:rsid w:val="00574EE8"/>
    <w:rsid w:val="00574F31"/>
    <w:rsid w:val="00574FF3"/>
    <w:rsid w:val="00574FF5"/>
    <w:rsid w:val="00575105"/>
    <w:rsid w:val="00575133"/>
    <w:rsid w:val="0057516A"/>
    <w:rsid w:val="0057516E"/>
    <w:rsid w:val="00575237"/>
    <w:rsid w:val="005753E8"/>
    <w:rsid w:val="005754C2"/>
    <w:rsid w:val="005754E2"/>
    <w:rsid w:val="005756ED"/>
    <w:rsid w:val="0057572D"/>
    <w:rsid w:val="0057575D"/>
    <w:rsid w:val="005757CF"/>
    <w:rsid w:val="0057582B"/>
    <w:rsid w:val="005758DB"/>
    <w:rsid w:val="00575A28"/>
    <w:rsid w:val="00575B14"/>
    <w:rsid w:val="00575B1E"/>
    <w:rsid w:val="00575C4B"/>
    <w:rsid w:val="00575D00"/>
    <w:rsid w:val="00575DEC"/>
    <w:rsid w:val="00575E43"/>
    <w:rsid w:val="00575EA3"/>
    <w:rsid w:val="00575F59"/>
    <w:rsid w:val="00575F5C"/>
    <w:rsid w:val="00575FD3"/>
    <w:rsid w:val="00575FEF"/>
    <w:rsid w:val="00576025"/>
    <w:rsid w:val="00576083"/>
    <w:rsid w:val="00576118"/>
    <w:rsid w:val="00576133"/>
    <w:rsid w:val="00576171"/>
    <w:rsid w:val="00576195"/>
    <w:rsid w:val="005764CC"/>
    <w:rsid w:val="00576553"/>
    <w:rsid w:val="0057661C"/>
    <w:rsid w:val="005766B3"/>
    <w:rsid w:val="00576840"/>
    <w:rsid w:val="005769FC"/>
    <w:rsid w:val="00576A54"/>
    <w:rsid w:val="00576AC9"/>
    <w:rsid w:val="00576AE6"/>
    <w:rsid w:val="00576B71"/>
    <w:rsid w:val="00576B76"/>
    <w:rsid w:val="00576C62"/>
    <w:rsid w:val="00576C69"/>
    <w:rsid w:val="00576D68"/>
    <w:rsid w:val="00576D80"/>
    <w:rsid w:val="00576DB7"/>
    <w:rsid w:val="00576DD5"/>
    <w:rsid w:val="00576E0C"/>
    <w:rsid w:val="00576E1E"/>
    <w:rsid w:val="00576E27"/>
    <w:rsid w:val="00576E3A"/>
    <w:rsid w:val="00576E7A"/>
    <w:rsid w:val="00576F90"/>
    <w:rsid w:val="00577021"/>
    <w:rsid w:val="005770E4"/>
    <w:rsid w:val="005772FD"/>
    <w:rsid w:val="005773DF"/>
    <w:rsid w:val="005774AC"/>
    <w:rsid w:val="00577547"/>
    <w:rsid w:val="00577560"/>
    <w:rsid w:val="005776E7"/>
    <w:rsid w:val="005776F1"/>
    <w:rsid w:val="00577791"/>
    <w:rsid w:val="00577816"/>
    <w:rsid w:val="0057784B"/>
    <w:rsid w:val="00577947"/>
    <w:rsid w:val="00577999"/>
    <w:rsid w:val="00577A5F"/>
    <w:rsid w:val="00577B46"/>
    <w:rsid w:val="00577BA8"/>
    <w:rsid w:val="00577CF7"/>
    <w:rsid w:val="00577D7B"/>
    <w:rsid w:val="00577DC6"/>
    <w:rsid w:val="00577F2C"/>
    <w:rsid w:val="00577F57"/>
    <w:rsid w:val="00577F77"/>
    <w:rsid w:val="00580283"/>
    <w:rsid w:val="005802A2"/>
    <w:rsid w:val="0058034F"/>
    <w:rsid w:val="005804BC"/>
    <w:rsid w:val="0058059C"/>
    <w:rsid w:val="005806D1"/>
    <w:rsid w:val="0058074F"/>
    <w:rsid w:val="00580799"/>
    <w:rsid w:val="00580B21"/>
    <w:rsid w:val="00580B6D"/>
    <w:rsid w:val="00580BC5"/>
    <w:rsid w:val="00580C5B"/>
    <w:rsid w:val="00580CA0"/>
    <w:rsid w:val="00580D30"/>
    <w:rsid w:val="00580DFE"/>
    <w:rsid w:val="00580FF4"/>
    <w:rsid w:val="0058105B"/>
    <w:rsid w:val="005810E7"/>
    <w:rsid w:val="00581141"/>
    <w:rsid w:val="00581223"/>
    <w:rsid w:val="0058126A"/>
    <w:rsid w:val="0058143A"/>
    <w:rsid w:val="005814AC"/>
    <w:rsid w:val="0058166A"/>
    <w:rsid w:val="005816F4"/>
    <w:rsid w:val="0058176A"/>
    <w:rsid w:val="00581855"/>
    <w:rsid w:val="00581905"/>
    <w:rsid w:val="00581966"/>
    <w:rsid w:val="00581B1A"/>
    <w:rsid w:val="00581B99"/>
    <w:rsid w:val="00581BDF"/>
    <w:rsid w:val="00581BEE"/>
    <w:rsid w:val="00581C7F"/>
    <w:rsid w:val="00581CB6"/>
    <w:rsid w:val="00581EFA"/>
    <w:rsid w:val="00581F08"/>
    <w:rsid w:val="00581F55"/>
    <w:rsid w:val="00581F85"/>
    <w:rsid w:val="00582023"/>
    <w:rsid w:val="00582064"/>
    <w:rsid w:val="00582115"/>
    <w:rsid w:val="0058219D"/>
    <w:rsid w:val="00582217"/>
    <w:rsid w:val="005822DB"/>
    <w:rsid w:val="00582341"/>
    <w:rsid w:val="005824A8"/>
    <w:rsid w:val="005824C2"/>
    <w:rsid w:val="005824DB"/>
    <w:rsid w:val="00582A29"/>
    <w:rsid w:val="00582C65"/>
    <w:rsid w:val="00582CF9"/>
    <w:rsid w:val="00582D31"/>
    <w:rsid w:val="00582DA2"/>
    <w:rsid w:val="00582DF2"/>
    <w:rsid w:val="00582EA9"/>
    <w:rsid w:val="00582EE0"/>
    <w:rsid w:val="00582F58"/>
    <w:rsid w:val="00582F94"/>
    <w:rsid w:val="00582FC2"/>
    <w:rsid w:val="00583006"/>
    <w:rsid w:val="0058307E"/>
    <w:rsid w:val="00583086"/>
    <w:rsid w:val="005830C3"/>
    <w:rsid w:val="0058315D"/>
    <w:rsid w:val="005831CB"/>
    <w:rsid w:val="005831F2"/>
    <w:rsid w:val="00583257"/>
    <w:rsid w:val="005832DD"/>
    <w:rsid w:val="00583361"/>
    <w:rsid w:val="00583392"/>
    <w:rsid w:val="00583680"/>
    <w:rsid w:val="0058369A"/>
    <w:rsid w:val="005836AC"/>
    <w:rsid w:val="005836DC"/>
    <w:rsid w:val="0058370B"/>
    <w:rsid w:val="00583744"/>
    <w:rsid w:val="00583930"/>
    <w:rsid w:val="00583972"/>
    <w:rsid w:val="005839B9"/>
    <w:rsid w:val="00583A4D"/>
    <w:rsid w:val="00583ACD"/>
    <w:rsid w:val="00583B04"/>
    <w:rsid w:val="00583B07"/>
    <w:rsid w:val="00583B43"/>
    <w:rsid w:val="00583E28"/>
    <w:rsid w:val="00583E33"/>
    <w:rsid w:val="00583F28"/>
    <w:rsid w:val="00583F78"/>
    <w:rsid w:val="00583FC4"/>
    <w:rsid w:val="00583FF3"/>
    <w:rsid w:val="00583FF6"/>
    <w:rsid w:val="005840CB"/>
    <w:rsid w:val="00584230"/>
    <w:rsid w:val="005842B2"/>
    <w:rsid w:val="00584399"/>
    <w:rsid w:val="00584487"/>
    <w:rsid w:val="0058452D"/>
    <w:rsid w:val="00584545"/>
    <w:rsid w:val="00584645"/>
    <w:rsid w:val="005846C0"/>
    <w:rsid w:val="0058489D"/>
    <w:rsid w:val="0058492A"/>
    <w:rsid w:val="00584A07"/>
    <w:rsid w:val="00584ABB"/>
    <w:rsid w:val="00584B32"/>
    <w:rsid w:val="00584C33"/>
    <w:rsid w:val="00584CD9"/>
    <w:rsid w:val="00584CFA"/>
    <w:rsid w:val="00584D0F"/>
    <w:rsid w:val="00584F4D"/>
    <w:rsid w:val="0058510A"/>
    <w:rsid w:val="0058510B"/>
    <w:rsid w:val="00585112"/>
    <w:rsid w:val="00585140"/>
    <w:rsid w:val="00585174"/>
    <w:rsid w:val="0058519A"/>
    <w:rsid w:val="005852EA"/>
    <w:rsid w:val="00585342"/>
    <w:rsid w:val="00585358"/>
    <w:rsid w:val="005853B1"/>
    <w:rsid w:val="005853E7"/>
    <w:rsid w:val="005854D4"/>
    <w:rsid w:val="00585533"/>
    <w:rsid w:val="00585586"/>
    <w:rsid w:val="00585624"/>
    <w:rsid w:val="00585659"/>
    <w:rsid w:val="00585680"/>
    <w:rsid w:val="0058574E"/>
    <w:rsid w:val="00585901"/>
    <w:rsid w:val="005859E3"/>
    <w:rsid w:val="00585A38"/>
    <w:rsid w:val="00585B44"/>
    <w:rsid w:val="00585C39"/>
    <w:rsid w:val="00585D28"/>
    <w:rsid w:val="00585E8B"/>
    <w:rsid w:val="00585EB2"/>
    <w:rsid w:val="00586050"/>
    <w:rsid w:val="00586092"/>
    <w:rsid w:val="005860F5"/>
    <w:rsid w:val="0058620F"/>
    <w:rsid w:val="00586230"/>
    <w:rsid w:val="0058630E"/>
    <w:rsid w:val="00586340"/>
    <w:rsid w:val="00586385"/>
    <w:rsid w:val="005863CF"/>
    <w:rsid w:val="0058672F"/>
    <w:rsid w:val="00586864"/>
    <w:rsid w:val="005868C7"/>
    <w:rsid w:val="005868DD"/>
    <w:rsid w:val="0058696F"/>
    <w:rsid w:val="00586A51"/>
    <w:rsid w:val="00586BAF"/>
    <w:rsid w:val="00586C3A"/>
    <w:rsid w:val="00586C4B"/>
    <w:rsid w:val="00586C54"/>
    <w:rsid w:val="00586C73"/>
    <w:rsid w:val="00586C7B"/>
    <w:rsid w:val="00586CAF"/>
    <w:rsid w:val="00586D14"/>
    <w:rsid w:val="00586DAE"/>
    <w:rsid w:val="00586E40"/>
    <w:rsid w:val="00586F61"/>
    <w:rsid w:val="0058700D"/>
    <w:rsid w:val="0058713C"/>
    <w:rsid w:val="005872F2"/>
    <w:rsid w:val="0058733C"/>
    <w:rsid w:val="00587365"/>
    <w:rsid w:val="0058736E"/>
    <w:rsid w:val="005873C9"/>
    <w:rsid w:val="005873DA"/>
    <w:rsid w:val="005875FB"/>
    <w:rsid w:val="00587622"/>
    <w:rsid w:val="005876AA"/>
    <w:rsid w:val="005876EF"/>
    <w:rsid w:val="00587763"/>
    <w:rsid w:val="005877EC"/>
    <w:rsid w:val="00587886"/>
    <w:rsid w:val="00587938"/>
    <w:rsid w:val="00587954"/>
    <w:rsid w:val="00587966"/>
    <w:rsid w:val="00587A68"/>
    <w:rsid w:val="00587B48"/>
    <w:rsid w:val="00587C0F"/>
    <w:rsid w:val="00587E4C"/>
    <w:rsid w:val="00587FC1"/>
    <w:rsid w:val="00587FFE"/>
    <w:rsid w:val="005900B7"/>
    <w:rsid w:val="00590141"/>
    <w:rsid w:val="005901BD"/>
    <w:rsid w:val="0059038C"/>
    <w:rsid w:val="00590397"/>
    <w:rsid w:val="005903B2"/>
    <w:rsid w:val="005903F2"/>
    <w:rsid w:val="0059040B"/>
    <w:rsid w:val="005905FA"/>
    <w:rsid w:val="005906D9"/>
    <w:rsid w:val="00590AA7"/>
    <w:rsid w:val="00590D0F"/>
    <w:rsid w:val="00590D1A"/>
    <w:rsid w:val="00590D86"/>
    <w:rsid w:val="00590DC1"/>
    <w:rsid w:val="00590ED3"/>
    <w:rsid w:val="0059111B"/>
    <w:rsid w:val="00591158"/>
    <w:rsid w:val="005911F8"/>
    <w:rsid w:val="00591219"/>
    <w:rsid w:val="0059130D"/>
    <w:rsid w:val="0059131A"/>
    <w:rsid w:val="005913A2"/>
    <w:rsid w:val="00591421"/>
    <w:rsid w:val="00591723"/>
    <w:rsid w:val="0059172D"/>
    <w:rsid w:val="00591753"/>
    <w:rsid w:val="0059177A"/>
    <w:rsid w:val="0059180F"/>
    <w:rsid w:val="005918CC"/>
    <w:rsid w:val="0059193B"/>
    <w:rsid w:val="00591A1A"/>
    <w:rsid w:val="00591A9C"/>
    <w:rsid w:val="00591B33"/>
    <w:rsid w:val="00591CD8"/>
    <w:rsid w:val="00591CE7"/>
    <w:rsid w:val="00591E62"/>
    <w:rsid w:val="00591EF3"/>
    <w:rsid w:val="00591F07"/>
    <w:rsid w:val="00591F58"/>
    <w:rsid w:val="00591FD1"/>
    <w:rsid w:val="005920CA"/>
    <w:rsid w:val="005920CB"/>
    <w:rsid w:val="005920F9"/>
    <w:rsid w:val="00592193"/>
    <w:rsid w:val="005921E2"/>
    <w:rsid w:val="005921E6"/>
    <w:rsid w:val="005921EA"/>
    <w:rsid w:val="005922CB"/>
    <w:rsid w:val="0059239A"/>
    <w:rsid w:val="005923BD"/>
    <w:rsid w:val="005923FC"/>
    <w:rsid w:val="005924C7"/>
    <w:rsid w:val="005925C4"/>
    <w:rsid w:val="005926F0"/>
    <w:rsid w:val="00592713"/>
    <w:rsid w:val="0059273F"/>
    <w:rsid w:val="005927E0"/>
    <w:rsid w:val="00592807"/>
    <w:rsid w:val="005928A8"/>
    <w:rsid w:val="005928C5"/>
    <w:rsid w:val="005928D0"/>
    <w:rsid w:val="005928D3"/>
    <w:rsid w:val="005928D8"/>
    <w:rsid w:val="005928F3"/>
    <w:rsid w:val="00592980"/>
    <w:rsid w:val="005929A5"/>
    <w:rsid w:val="00592A48"/>
    <w:rsid w:val="00592A60"/>
    <w:rsid w:val="00592AEE"/>
    <w:rsid w:val="00592CAB"/>
    <w:rsid w:val="00592D14"/>
    <w:rsid w:val="00592D4A"/>
    <w:rsid w:val="00592DDB"/>
    <w:rsid w:val="00592E22"/>
    <w:rsid w:val="00593010"/>
    <w:rsid w:val="00593030"/>
    <w:rsid w:val="00593031"/>
    <w:rsid w:val="005930DD"/>
    <w:rsid w:val="00593330"/>
    <w:rsid w:val="0059343C"/>
    <w:rsid w:val="005935A8"/>
    <w:rsid w:val="00593638"/>
    <w:rsid w:val="0059367C"/>
    <w:rsid w:val="005936AF"/>
    <w:rsid w:val="005936EF"/>
    <w:rsid w:val="00593717"/>
    <w:rsid w:val="00593727"/>
    <w:rsid w:val="00593784"/>
    <w:rsid w:val="005937AA"/>
    <w:rsid w:val="0059383E"/>
    <w:rsid w:val="00593880"/>
    <w:rsid w:val="0059390B"/>
    <w:rsid w:val="00593A53"/>
    <w:rsid w:val="00593A88"/>
    <w:rsid w:val="00593AB8"/>
    <w:rsid w:val="00593C71"/>
    <w:rsid w:val="00593D14"/>
    <w:rsid w:val="00593DAA"/>
    <w:rsid w:val="00593DE9"/>
    <w:rsid w:val="00593E19"/>
    <w:rsid w:val="00593EF0"/>
    <w:rsid w:val="00593FBC"/>
    <w:rsid w:val="00594025"/>
    <w:rsid w:val="00594165"/>
    <w:rsid w:val="0059421E"/>
    <w:rsid w:val="005942F2"/>
    <w:rsid w:val="0059435E"/>
    <w:rsid w:val="00594379"/>
    <w:rsid w:val="00594459"/>
    <w:rsid w:val="005944BC"/>
    <w:rsid w:val="0059456C"/>
    <w:rsid w:val="005945E1"/>
    <w:rsid w:val="00594624"/>
    <w:rsid w:val="005946CE"/>
    <w:rsid w:val="005947E5"/>
    <w:rsid w:val="005947E8"/>
    <w:rsid w:val="005948A3"/>
    <w:rsid w:val="00594A01"/>
    <w:rsid w:val="00594A34"/>
    <w:rsid w:val="00594B80"/>
    <w:rsid w:val="00594B94"/>
    <w:rsid w:val="00594B9E"/>
    <w:rsid w:val="00594BA9"/>
    <w:rsid w:val="00594C6F"/>
    <w:rsid w:val="00594D28"/>
    <w:rsid w:val="00594DAA"/>
    <w:rsid w:val="00594E11"/>
    <w:rsid w:val="00594E87"/>
    <w:rsid w:val="00594F4C"/>
    <w:rsid w:val="00594F96"/>
    <w:rsid w:val="005950E5"/>
    <w:rsid w:val="0059512B"/>
    <w:rsid w:val="00595145"/>
    <w:rsid w:val="0059520E"/>
    <w:rsid w:val="0059534D"/>
    <w:rsid w:val="00595772"/>
    <w:rsid w:val="00595833"/>
    <w:rsid w:val="00595925"/>
    <w:rsid w:val="00595987"/>
    <w:rsid w:val="005959A1"/>
    <w:rsid w:val="00595A5A"/>
    <w:rsid w:val="00595B31"/>
    <w:rsid w:val="00595B90"/>
    <w:rsid w:val="00595C11"/>
    <w:rsid w:val="00595CA7"/>
    <w:rsid w:val="00595D3E"/>
    <w:rsid w:val="00595EA0"/>
    <w:rsid w:val="00595FDD"/>
    <w:rsid w:val="0059606F"/>
    <w:rsid w:val="005960D7"/>
    <w:rsid w:val="0059610D"/>
    <w:rsid w:val="00596207"/>
    <w:rsid w:val="00596300"/>
    <w:rsid w:val="005963A3"/>
    <w:rsid w:val="005963F4"/>
    <w:rsid w:val="00596511"/>
    <w:rsid w:val="00596534"/>
    <w:rsid w:val="005965F8"/>
    <w:rsid w:val="00596680"/>
    <w:rsid w:val="0059676F"/>
    <w:rsid w:val="00596771"/>
    <w:rsid w:val="005967EF"/>
    <w:rsid w:val="0059688F"/>
    <w:rsid w:val="005968A2"/>
    <w:rsid w:val="0059693D"/>
    <w:rsid w:val="00596A93"/>
    <w:rsid w:val="00596ACA"/>
    <w:rsid w:val="00596B34"/>
    <w:rsid w:val="00596D00"/>
    <w:rsid w:val="00596D11"/>
    <w:rsid w:val="00596E04"/>
    <w:rsid w:val="00596E71"/>
    <w:rsid w:val="00596F33"/>
    <w:rsid w:val="00596F61"/>
    <w:rsid w:val="0059701A"/>
    <w:rsid w:val="00597058"/>
    <w:rsid w:val="00597074"/>
    <w:rsid w:val="00597170"/>
    <w:rsid w:val="0059728F"/>
    <w:rsid w:val="00597304"/>
    <w:rsid w:val="00597309"/>
    <w:rsid w:val="00597363"/>
    <w:rsid w:val="00597475"/>
    <w:rsid w:val="005974A3"/>
    <w:rsid w:val="005974A5"/>
    <w:rsid w:val="005974FE"/>
    <w:rsid w:val="0059756A"/>
    <w:rsid w:val="005975CF"/>
    <w:rsid w:val="005975D3"/>
    <w:rsid w:val="00597724"/>
    <w:rsid w:val="0059777E"/>
    <w:rsid w:val="00597781"/>
    <w:rsid w:val="00597864"/>
    <w:rsid w:val="00597874"/>
    <w:rsid w:val="0059795F"/>
    <w:rsid w:val="005979B1"/>
    <w:rsid w:val="005979F1"/>
    <w:rsid w:val="00597A00"/>
    <w:rsid w:val="00597B28"/>
    <w:rsid w:val="00597B93"/>
    <w:rsid w:val="00597E04"/>
    <w:rsid w:val="00597E06"/>
    <w:rsid w:val="00597E70"/>
    <w:rsid w:val="00597EE1"/>
    <w:rsid w:val="00597F8F"/>
    <w:rsid w:val="005A003E"/>
    <w:rsid w:val="005A007B"/>
    <w:rsid w:val="005A0086"/>
    <w:rsid w:val="005A00AC"/>
    <w:rsid w:val="005A00B7"/>
    <w:rsid w:val="005A02B3"/>
    <w:rsid w:val="005A0301"/>
    <w:rsid w:val="005A034D"/>
    <w:rsid w:val="005A0446"/>
    <w:rsid w:val="005A04AA"/>
    <w:rsid w:val="005A04EC"/>
    <w:rsid w:val="005A07BE"/>
    <w:rsid w:val="005A0899"/>
    <w:rsid w:val="005A08F6"/>
    <w:rsid w:val="005A09F4"/>
    <w:rsid w:val="005A0AB8"/>
    <w:rsid w:val="005A0B8E"/>
    <w:rsid w:val="005A0BA5"/>
    <w:rsid w:val="005A0F4F"/>
    <w:rsid w:val="005A1003"/>
    <w:rsid w:val="005A116F"/>
    <w:rsid w:val="005A130A"/>
    <w:rsid w:val="005A139E"/>
    <w:rsid w:val="005A13E5"/>
    <w:rsid w:val="005A13FE"/>
    <w:rsid w:val="005A140E"/>
    <w:rsid w:val="005A151E"/>
    <w:rsid w:val="005A1644"/>
    <w:rsid w:val="005A16A1"/>
    <w:rsid w:val="005A16D9"/>
    <w:rsid w:val="005A16E4"/>
    <w:rsid w:val="005A170D"/>
    <w:rsid w:val="005A1718"/>
    <w:rsid w:val="005A1772"/>
    <w:rsid w:val="005A1814"/>
    <w:rsid w:val="005A184E"/>
    <w:rsid w:val="005A192F"/>
    <w:rsid w:val="005A1950"/>
    <w:rsid w:val="005A19B6"/>
    <w:rsid w:val="005A19CD"/>
    <w:rsid w:val="005A19D3"/>
    <w:rsid w:val="005A19D9"/>
    <w:rsid w:val="005A19F6"/>
    <w:rsid w:val="005A1CCE"/>
    <w:rsid w:val="005A1D42"/>
    <w:rsid w:val="005A1DE1"/>
    <w:rsid w:val="005A2018"/>
    <w:rsid w:val="005A20AF"/>
    <w:rsid w:val="005A2116"/>
    <w:rsid w:val="005A2128"/>
    <w:rsid w:val="005A220C"/>
    <w:rsid w:val="005A224F"/>
    <w:rsid w:val="005A245C"/>
    <w:rsid w:val="005A255C"/>
    <w:rsid w:val="005A259E"/>
    <w:rsid w:val="005A25A8"/>
    <w:rsid w:val="005A27CA"/>
    <w:rsid w:val="005A27EE"/>
    <w:rsid w:val="005A2838"/>
    <w:rsid w:val="005A2848"/>
    <w:rsid w:val="005A28AF"/>
    <w:rsid w:val="005A29F8"/>
    <w:rsid w:val="005A2AC1"/>
    <w:rsid w:val="005A2AF6"/>
    <w:rsid w:val="005A2B2D"/>
    <w:rsid w:val="005A2B83"/>
    <w:rsid w:val="005A2BCE"/>
    <w:rsid w:val="005A2C6F"/>
    <w:rsid w:val="005A2CB8"/>
    <w:rsid w:val="005A2E50"/>
    <w:rsid w:val="005A2E5D"/>
    <w:rsid w:val="005A35C0"/>
    <w:rsid w:val="005A37CB"/>
    <w:rsid w:val="005A38B1"/>
    <w:rsid w:val="005A38B2"/>
    <w:rsid w:val="005A392A"/>
    <w:rsid w:val="005A3934"/>
    <w:rsid w:val="005A3A16"/>
    <w:rsid w:val="005A3A7F"/>
    <w:rsid w:val="005A3AC0"/>
    <w:rsid w:val="005A3B7C"/>
    <w:rsid w:val="005A3C2D"/>
    <w:rsid w:val="005A3C6E"/>
    <w:rsid w:val="005A3DB0"/>
    <w:rsid w:val="005A3E60"/>
    <w:rsid w:val="005A3F0D"/>
    <w:rsid w:val="005A3FE3"/>
    <w:rsid w:val="005A40C2"/>
    <w:rsid w:val="005A40F2"/>
    <w:rsid w:val="005A4164"/>
    <w:rsid w:val="005A41AE"/>
    <w:rsid w:val="005A4211"/>
    <w:rsid w:val="005A421B"/>
    <w:rsid w:val="005A4285"/>
    <w:rsid w:val="005A4296"/>
    <w:rsid w:val="005A4506"/>
    <w:rsid w:val="005A451A"/>
    <w:rsid w:val="005A4639"/>
    <w:rsid w:val="005A463B"/>
    <w:rsid w:val="005A4695"/>
    <w:rsid w:val="005A4718"/>
    <w:rsid w:val="005A4809"/>
    <w:rsid w:val="005A489C"/>
    <w:rsid w:val="005A48F4"/>
    <w:rsid w:val="005A497A"/>
    <w:rsid w:val="005A49A6"/>
    <w:rsid w:val="005A4A38"/>
    <w:rsid w:val="005A4A4B"/>
    <w:rsid w:val="005A4C86"/>
    <w:rsid w:val="005A4CD3"/>
    <w:rsid w:val="005A4D3A"/>
    <w:rsid w:val="005A4D6D"/>
    <w:rsid w:val="005A4D98"/>
    <w:rsid w:val="005A4DAB"/>
    <w:rsid w:val="005A4DDC"/>
    <w:rsid w:val="005A4E05"/>
    <w:rsid w:val="005A4F44"/>
    <w:rsid w:val="005A4FD2"/>
    <w:rsid w:val="005A500D"/>
    <w:rsid w:val="005A5128"/>
    <w:rsid w:val="005A51A2"/>
    <w:rsid w:val="005A5268"/>
    <w:rsid w:val="005A527E"/>
    <w:rsid w:val="005A52BE"/>
    <w:rsid w:val="005A54C8"/>
    <w:rsid w:val="005A559B"/>
    <w:rsid w:val="005A55A1"/>
    <w:rsid w:val="005A55E2"/>
    <w:rsid w:val="005A5693"/>
    <w:rsid w:val="005A57A9"/>
    <w:rsid w:val="005A5983"/>
    <w:rsid w:val="005A599B"/>
    <w:rsid w:val="005A5A33"/>
    <w:rsid w:val="005A5A81"/>
    <w:rsid w:val="005A5BA5"/>
    <w:rsid w:val="005A5C56"/>
    <w:rsid w:val="005A5D78"/>
    <w:rsid w:val="005A5DBC"/>
    <w:rsid w:val="005A5E9A"/>
    <w:rsid w:val="005A5F50"/>
    <w:rsid w:val="005A5FA4"/>
    <w:rsid w:val="005A5FD8"/>
    <w:rsid w:val="005A601E"/>
    <w:rsid w:val="005A6033"/>
    <w:rsid w:val="005A624C"/>
    <w:rsid w:val="005A62E6"/>
    <w:rsid w:val="005A6341"/>
    <w:rsid w:val="005A6390"/>
    <w:rsid w:val="005A63D5"/>
    <w:rsid w:val="005A63E4"/>
    <w:rsid w:val="005A63FE"/>
    <w:rsid w:val="005A64B8"/>
    <w:rsid w:val="005A6504"/>
    <w:rsid w:val="005A65F5"/>
    <w:rsid w:val="005A6771"/>
    <w:rsid w:val="005A6854"/>
    <w:rsid w:val="005A6A62"/>
    <w:rsid w:val="005A6CE1"/>
    <w:rsid w:val="005A6D9A"/>
    <w:rsid w:val="005A6EAC"/>
    <w:rsid w:val="005A6F7C"/>
    <w:rsid w:val="005A6F85"/>
    <w:rsid w:val="005A6FF2"/>
    <w:rsid w:val="005A7044"/>
    <w:rsid w:val="005A7097"/>
    <w:rsid w:val="005A709B"/>
    <w:rsid w:val="005A70BA"/>
    <w:rsid w:val="005A70D1"/>
    <w:rsid w:val="005A7114"/>
    <w:rsid w:val="005A7149"/>
    <w:rsid w:val="005A717B"/>
    <w:rsid w:val="005A7299"/>
    <w:rsid w:val="005A72B9"/>
    <w:rsid w:val="005A73D4"/>
    <w:rsid w:val="005A758F"/>
    <w:rsid w:val="005A75FD"/>
    <w:rsid w:val="005A7633"/>
    <w:rsid w:val="005A768A"/>
    <w:rsid w:val="005A7758"/>
    <w:rsid w:val="005A77A8"/>
    <w:rsid w:val="005A78A2"/>
    <w:rsid w:val="005A7922"/>
    <w:rsid w:val="005A7ADC"/>
    <w:rsid w:val="005A7C84"/>
    <w:rsid w:val="005A7CF8"/>
    <w:rsid w:val="005A7D57"/>
    <w:rsid w:val="005A7DA9"/>
    <w:rsid w:val="005A7E4C"/>
    <w:rsid w:val="005A7E7E"/>
    <w:rsid w:val="005A7F01"/>
    <w:rsid w:val="005A7F09"/>
    <w:rsid w:val="005A7FF2"/>
    <w:rsid w:val="005B007D"/>
    <w:rsid w:val="005B01F3"/>
    <w:rsid w:val="005B021B"/>
    <w:rsid w:val="005B0230"/>
    <w:rsid w:val="005B0306"/>
    <w:rsid w:val="005B06A6"/>
    <w:rsid w:val="005B06C1"/>
    <w:rsid w:val="005B0732"/>
    <w:rsid w:val="005B07AC"/>
    <w:rsid w:val="005B07EE"/>
    <w:rsid w:val="005B0845"/>
    <w:rsid w:val="005B09F5"/>
    <w:rsid w:val="005B0AD3"/>
    <w:rsid w:val="005B0C0F"/>
    <w:rsid w:val="005B0F9C"/>
    <w:rsid w:val="005B0FAF"/>
    <w:rsid w:val="005B0FFC"/>
    <w:rsid w:val="005B1030"/>
    <w:rsid w:val="005B106C"/>
    <w:rsid w:val="005B106F"/>
    <w:rsid w:val="005B11CB"/>
    <w:rsid w:val="005B11E4"/>
    <w:rsid w:val="005B132F"/>
    <w:rsid w:val="005B15EB"/>
    <w:rsid w:val="005B1672"/>
    <w:rsid w:val="005B1689"/>
    <w:rsid w:val="005B1727"/>
    <w:rsid w:val="005B1729"/>
    <w:rsid w:val="005B1736"/>
    <w:rsid w:val="005B18B2"/>
    <w:rsid w:val="005B1A6A"/>
    <w:rsid w:val="005B1A7B"/>
    <w:rsid w:val="005B1A97"/>
    <w:rsid w:val="005B1BE2"/>
    <w:rsid w:val="005B1C6F"/>
    <w:rsid w:val="005B1CD5"/>
    <w:rsid w:val="005B1D2C"/>
    <w:rsid w:val="005B1D71"/>
    <w:rsid w:val="005B1DBF"/>
    <w:rsid w:val="005B1DC2"/>
    <w:rsid w:val="005B1E9C"/>
    <w:rsid w:val="005B2070"/>
    <w:rsid w:val="005B2073"/>
    <w:rsid w:val="005B20FD"/>
    <w:rsid w:val="005B210C"/>
    <w:rsid w:val="005B218A"/>
    <w:rsid w:val="005B21D2"/>
    <w:rsid w:val="005B225F"/>
    <w:rsid w:val="005B23F9"/>
    <w:rsid w:val="005B24BF"/>
    <w:rsid w:val="005B2540"/>
    <w:rsid w:val="005B2755"/>
    <w:rsid w:val="005B28C0"/>
    <w:rsid w:val="005B28FE"/>
    <w:rsid w:val="005B294B"/>
    <w:rsid w:val="005B2959"/>
    <w:rsid w:val="005B2A33"/>
    <w:rsid w:val="005B2AB4"/>
    <w:rsid w:val="005B2AE4"/>
    <w:rsid w:val="005B2B42"/>
    <w:rsid w:val="005B2BA5"/>
    <w:rsid w:val="005B2C06"/>
    <w:rsid w:val="005B2C21"/>
    <w:rsid w:val="005B2C73"/>
    <w:rsid w:val="005B2E06"/>
    <w:rsid w:val="005B2E37"/>
    <w:rsid w:val="005B2E8B"/>
    <w:rsid w:val="005B2EA4"/>
    <w:rsid w:val="005B2EBD"/>
    <w:rsid w:val="005B3033"/>
    <w:rsid w:val="005B308D"/>
    <w:rsid w:val="005B30A5"/>
    <w:rsid w:val="005B30E1"/>
    <w:rsid w:val="005B314C"/>
    <w:rsid w:val="005B3169"/>
    <w:rsid w:val="005B318A"/>
    <w:rsid w:val="005B329B"/>
    <w:rsid w:val="005B32A7"/>
    <w:rsid w:val="005B3464"/>
    <w:rsid w:val="005B34C1"/>
    <w:rsid w:val="005B3555"/>
    <w:rsid w:val="005B3572"/>
    <w:rsid w:val="005B3696"/>
    <w:rsid w:val="005B36CC"/>
    <w:rsid w:val="005B3817"/>
    <w:rsid w:val="005B38E7"/>
    <w:rsid w:val="005B3949"/>
    <w:rsid w:val="005B3974"/>
    <w:rsid w:val="005B39C2"/>
    <w:rsid w:val="005B39CE"/>
    <w:rsid w:val="005B3AC0"/>
    <w:rsid w:val="005B3ADA"/>
    <w:rsid w:val="005B3D22"/>
    <w:rsid w:val="005B3DA3"/>
    <w:rsid w:val="005B3DCF"/>
    <w:rsid w:val="005B3E05"/>
    <w:rsid w:val="005B3E24"/>
    <w:rsid w:val="005B3E48"/>
    <w:rsid w:val="005B3ECE"/>
    <w:rsid w:val="005B3FB5"/>
    <w:rsid w:val="005B40A6"/>
    <w:rsid w:val="005B4141"/>
    <w:rsid w:val="005B422F"/>
    <w:rsid w:val="005B427D"/>
    <w:rsid w:val="005B42A5"/>
    <w:rsid w:val="005B4361"/>
    <w:rsid w:val="005B43C1"/>
    <w:rsid w:val="005B4425"/>
    <w:rsid w:val="005B4455"/>
    <w:rsid w:val="005B4471"/>
    <w:rsid w:val="005B4645"/>
    <w:rsid w:val="005B46AF"/>
    <w:rsid w:val="005B471E"/>
    <w:rsid w:val="005B48A0"/>
    <w:rsid w:val="005B49FA"/>
    <w:rsid w:val="005B4BC9"/>
    <w:rsid w:val="005B4D8D"/>
    <w:rsid w:val="005B4DB4"/>
    <w:rsid w:val="005B4EAF"/>
    <w:rsid w:val="005B50FF"/>
    <w:rsid w:val="005B5168"/>
    <w:rsid w:val="005B516C"/>
    <w:rsid w:val="005B51F6"/>
    <w:rsid w:val="005B5310"/>
    <w:rsid w:val="005B5368"/>
    <w:rsid w:val="005B5389"/>
    <w:rsid w:val="005B5582"/>
    <w:rsid w:val="005B558C"/>
    <w:rsid w:val="005B5782"/>
    <w:rsid w:val="005B581A"/>
    <w:rsid w:val="005B5829"/>
    <w:rsid w:val="005B5833"/>
    <w:rsid w:val="005B592D"/>
    <w:rsid w:val="005B59A5"/>
    <w:rsid w:val="005B5B8C"/>
    <w:rsid w:val="005B5CE4"/>
    <w:rsid w:val="005B5E5E"/>
    <w:rsid w:val="005B615C"/>
    <w:rsid w:val="005B61FD"/>
    <w:rsid w:val="005B631B"/>
    <w:rsid w:val="005B63D7"/>
    <w:rsid w:val="005B64C4"/>
    <w:rsid w:val="005B6542"/>
    <w:rsid w:val="005B6543"/>
    <w:rsid w:val="005B6771"/>
    <w:rsid w:val="005B680B"/>
    <w:rsid w:val="005B6966"/>
    <w:rsid w:val="005B6A08"/>
    <w:rsid w:val="005B6ABA"/>
    <w:rsid w:val="005B6AF1"/>
    <w:rsid w:val="005B6C48"/>
    <w:rsid w:val="005B6C83"/>
    <w:rsid w:val="005B6CCF"/>
    <w:rsid w:val="005B6CE7"/>
    <w:rsid w:val="005B6D0B"/>
    <w:rsid w:val="005B6D61"/>
    <w:rsid w:val="005B6D74"/>
    <w:rsid w:val="005B6DC4"/>
    <w:rsid w:val="005B6E10"/>
    <w:rsid w:val="005B6F06"/>
    <w:rsid w:val="005B6F43"/>
    <w:rsid w:val="005B6F77"/>
    <w:rsid w:val="005B6FAD"/>
    <w:rsid w:val="005B7131"/>
    <w:rsid w:val="005B71E7"/>
    <w:rsid w:val="005B71F1"/>
    <w:rsid w:val="005B72EC"/>
    <w:rsid w:val="005B73AF"/>
    <w:rsid w:val="005B73FC"/>
    <w:rsid w:val="005B7406"/>
    <w:rsid w:val="005B7511"/>
    <w:rsid w:val="005B7596"/>
    <w:rsid w:val="005B7687"/>
    <w:rsid w:val="005B78E9"/>
    <w:rsid w:val="005B793D"/>
    <w:rsid w:val="005B79D0"/>
    <w:rsid w:val="005B7A54"/>
    <w:rsid w:val="005B7AD8"/>
    <w:rsid w:val="005B7ADD"/>
    <w:rsid w:val="005B7B59"/>
    <w:rsid w:val="005B7B8C"/>
    <w:rsid w:val="005B7BBB"/>
    <w:rsid w:val="005B7CCD"/>
    <w:rsid w:val="005B7D17"/>
    <w:rsid w:val="005B7D8C"/>
    <w:rsid w:val="005B7DDC"/>
    <w:rsid w:val="005B7DF6"/>
    <w:rsid w:val="005B7E9E"/>
    <w:rsid w:val="005B7EC2"/>
    <w:rsid w:val="005B7F06"/>
    <w:rsid w:val="005B7F13"/>
    <w:rsid w:val="005B7F15"/>
    <w:rsid w:val="005B7F75"/>
    <w:rsid w:val="005C002D"/>
    <w:rsid w:val="005C00A9"/>
    <w:rsid w:val="005C0119"/>
    <w:rsid w:val="005C0180"/>
    <w:rsid w:val="005C01B7"/>
    <w:rsid w:val="005C01C9"/>
    <w:rsid w:val="005C01F0"/>
    <w:rsid w:val="005C0257"/>
    <w:rsid w:val="005C0291"/>
    <w:rsid w:val="005C0382"/>
    <w:rsid w:val="005C04EA"/>
    <w:rsid w:val="005C0579"/>
    <w:rsid w:val="005C05DF"/>
    <w:rsid w:val="005C0644"/>
    <w:rsid w:val="005C06D6"/>
    <w:rsid w:val="005C072F"/>
    <w:rsid w:val="005C078E"/>
    <w:rsid w:val="005C07BC"/>
    <w:rsid w:val="005C07D7"/>
    <w:rsid w:val="005C0837"/>
    <w:rsid w:val="005C08AD"/>
    <w:rsid w:val="005C08D7"/>
    <w:rsid w:val="005C0958"/>
    <w:rsid w:val="005C0978"/>
    <w:rsid w:val="005C09F9"/>
    <w:rsid w:val="005C0A11"/>
    <w:rsid w:val="005C0C30"/>
    <w:rsid w:val="005C0E1C"/>
    <w:rsid w:val="005C0FED"/>
    <w:rsid w:val="005C10A4"/>
    <w:rsid w:val="005C10F8"/>
    <w:rsid w:val="005C1103"/>
    <w:rsid w:val="005C112D"/>
    <w:rsid w:val="005C11B5"/>
    <w:rsid w:val="005C130E"/>
    <w:rsid w:val="005C1372"/>
    <w:rsid w:val="005C1407"/>
    <w:rsid w:val="005C1544"/>
    <w:rsid w:val="005C1570"/>
    <w:rsid w:val="005C16C8"/>
    <w:rsid w:val="005C16D9"/>
    <w:rsid w:val="005C16DA"/>
    <w:rsid w:val="005C1773"/>
    <w:rsid w:val="005C17AA"/>
    <w:rsid w:val="005C19C8"/>
    <w:rsid w:val="005C19E8"/>
    <w:rsid w:val="005C1A98"/>
    <w:rsid w:val="005C1B2E"/>
    <w:rsid w:val="005C1BFE"/>
    <w:rsid w:val="005C1C5F"/>
    <w:rsid w:val="005C1C6F"/>
    <w:rsid w:val="005C1DBC"/>
    <w:rsid w:val="005C1DDF"/>
    <w:rsid w:val="005C1E42"/>
    <w:rsid w:val="005C1E65"/>
    <w:rsid w:val="005C1EA9"/>
    <w:rsid w:val="005C1EB6"/>
    <w:rsid w:val="005C1F3A"/>
    <w:rsid w:val="005C1F5E"/>
    <w:rsid w:val="005C1F60"/>
    <w:rsid w:val="005C1FD5"/>
    <w:rsid w:val="005C1FF4"/>
    <w:rsid w:val="005C20E2"/>
    <w:rsid w:val="005C2175"/>
    <w:rsid w:val="005C2187"/>
    <w:rsid w:val="005C2201"/>
    <w:rsid w:val="005C23AF"/>
    <w:rsid w:val="005C2457"/>
    <w:rsid w:val="005C24F5"/>
    <w:rsid w:val="005C24FE"/>
    <w:rsid w:val="005C2650"/>
    <w:rsid w:val="005C268F"/>
    <w:rsid w:val="005C281D"/>
    <w:rsid w:val="005C2878"/>
    <w:rsid w:val="005C2A32"/>
    <w:rsid w:val="005C2AAC"/>
    <w:rsid w:val="005C2AB3"/>
    <w:rsid w:val="005C2AE4"/>
    <w:rsid w:val="005C2C07"/>
    <w:rsid w:val="005C2C2C"/>
    <w:rsid w:val="005C2C6C"/>
    <w:rsid w:val="005C2CD2"/>
    <w:rsid w:val="005C2D27"/>
    <w:rsid w:val="005C2D5B"/>
    <w:rsid w:val="005C2E16"/>
    <w:rsid w:val="005C2F22"/>
    <w:rsid w:val="005C2F60"/>
    <w:rsid w:val="005C2FAC"/>
    <w:rsid w:val="005C3069"/>
    <w:rsid w:val="005C314F"/>
    <w:rsid w:val="005C3190"/>
    <w:rsid w:val="005C327C"/>
    <w:rsid w:val="005C3372"/>
    <w:rsid w:val="005C33DD"/>
    <w:rsid w:val="005C3400"/>
    <w:rsid w:val="005C340C"/>
    <w:rsid w:val="005C352D"/>
    <w:rsid w:val="005C3679"/>
    <w:rsid w:val="005C374D"/>
    <w:rsid w:val="005C3797"/>
    <w:rsid w:val="005C3852"/>
    <w:rsid w:val="005C38F3"/>
    <w:rsid w:val="005C3952"/>
    <w:rsid w:val="005C3A47"/>
    <w:rsid w:val="005C3A4C"/>
    <w:rsid w:val="005C3AB4"/>
    <w:rsid w:val="005C3AC8"/>
    <w:rsid w:val="005C3C36"/>
    <w:rsid w:val="005C3D41"/>
    <w:rsid w:val="005C3D6D"/>
    <w:rsid w:val="005C3DAA"/>
    <w:rsid w:val="005C3DCA"/>
    <w:rsid w:val="005C3E30"/>
    <w:rsid w:val="005C3E3D"/>
    <w:rsid w:val="005C3E5E"/>
    <w:rsid w:val="005C3ED1"/>
    <w:rsid w:val="005C40CE"/>
    <w:rsid w:val="005C4118"/>
    <w:rsid w:val="005C42B4"/>
    <w:rsid w:val="005C42E7"/>
    <w:rsid w:val="005C42F1"/>
    <w:rsid w:val="005C43A3"/>
    <w:rsid w:val="005C43BA"/>
    <w:rsid w:val="005C440C"/>
    <w:rsid w:val="005C44C5"/>
    <w:rsid w:val="005C45A7"/>
    <w:rsid w:val="005C469A"/>
    <w:rsid w:val="005C474F"/>
    <w:rsid w:val="005C4842"/>
    <w:rsid w:val="005C48D5"/>
    <w:rsid w:val="005C48FD"/>
    <w:rsid w:val="005C496B"/>
    <w:rsid w:val="005C4984"/>
    <w:rsid w:val="005C4AFE"/>
    <w:rsid w:val="005C4B70"/>
    <w:rsid w:val="005C4C15"/>
    <w:rsid w:val="005C4C3F"/>
    <w:rsid w:val="005C4C41"/>
    <w:rsid w:val="005C4C8E"/>
    <w:rsid w:val="005C4D79"/>
    <w:rsid w:val="005C4DDA"/>
    <w:rsid w:val="005C4FC6"/>
    <w:rsid w:val="005C50D3"/>
    <w:rsid w:val="005C5165"/>
    <w:rsid w:val="005C53E1"/>
    <w:rsid w:val="005C54B9"/>
    <w:rsid w:val="005C54DF"/>
    <w:rsid w:val="005C551A"/>
    <w:rsid w:val="005C5634"/>
    <w:rsid w:val="005C568E"/>
    <w:rsid w:val="005C5748"/>
    <w:rsid w:val="005C57F7"/>
    <w:rsid w:val="005C5831"/>
    <w:rsid w:val="005C5963"/>
    <w:rsid w:val="005C597B"/>
    <w:rsid w:val="005C5990"/>
    <w:rsid w:val="005C59EF"/>
    <w:rsid w:val="005C5ABB"/>
    <w:rsid w:val="005C5BA6"/>
    <w:rsid w:val="005C5C2B"/>
    <w:rsid w:val="005C5CAC"/>
    <w:rsid w:val="005C5E8A"/>
    <w:rsid w:val="005C5FB1"/>
    <w:rsid w:val="005C61C1"/>
    <w:rsid w:val="005C6442"/>
    <w:rsid w:val="005C6467"/>
    <w:rsid w:val="005C64C8"/>
    <w:rsid w:val="005C6640"/>
    <w:rsid w:val="005C671F"/>
    <w:rsid w:val="005C6843"/>
    <w:rsid w:val="005C686C"/>
    <w:rsid w:val="005C687A"/>
    <w:rsid w:val="005C68C7"/>
    <w:rsid w:val="005C6941"/>
    <w:rsid w:val="005C695C"/>
    <w:rsid w:val="005C69C5"/>
    <w:rsid w:val="005C6AE4"/>
    <w:rsid w:val="005C6B95"/>
    <w:rsid w:val="005C6C06"/>
    <w:rsid w:val="005C6C1D"/>
    <w:rsid w:val="005C6C72"/>
    <w:rsid w:val="005C6CAC"/>
    <w:rsid w:val="005C6DF0"/>
    <w:rsid w:val="005C6E47"/>
    <w:rsid w:val="005C6F7A"/>
    <w:rsid w:val="005C7097"/>
    <w:rsid w:val="005C718A"/>
    <w:rsid w:val="005C7366"/>
    <w:rsid w:val="005C745E"/>
    <w:rsid w:val="005C74A0"/>
    <w:rsid w:val="005C74DB"/>
    <w:rsid w:val="005C7533"/>
    <w:rsid w:val="005C7534"/>
    <w:rsid w:val="005C75F6"/>
    <w:rsid w:val="005C77E8"/>
    <w:rsid w:val="005C7871"/>
    <w:rsid w:val="005C7892"/>
    <w:rsid w:val="005C7911"/>
    <w:rsid w:val="005C7940"/>
    <w:rsid w:val="005C79D5"/>
    <w:rsid w:val="005C79F0"/>
    <w:rsid w:val="005C7A06"/>
    <w:rsid w:val="005C7B26"/>
    <w:rsid w:val="005C7C6B"/>
    <w:rsid w:val="005C7D8A"/>
    <w:rsid w:val="005C7DA9"/>
    <w:rsid w:val="005C7E4F"/>
    <w:rsid w:val="005C7F4B"/>
    <w:rsid w:val="005C7F5F"/>
    <w:rsid w:val="005C7F9E"/>
    <w:rsid w:val="005C7FCC"/>
    <w:rsid w:val="005D00E3"/>
    <w:rsid w:val="005D018B"/>
    <w:rsid w:val="005D0284"/>
    <w:rsid w:val="005D02A7"/>
    <w:rsid w:val="005D02E0"/>
    <w:rsid w:val="005D03A1"/>
    <w:rsid w:val="005D03AA"/>
    <w:rsid w:val="005D0454"/>
    <w:rsid w:val="005D0488"/>
    <w:rsid w:val="005D04CC"/>
    <w:rsid w:val="005D0636"/>
    <w:rsid w:val="005D06D1"/>
    <w:rsid w:val="005D0712"/>
    <w:rsid w:val="005D0741"/>
    <w:rsid w:val="005D07B7"/>
    <w:rsid w:val="005D07FA"/>
    <w:rsid w:val="005D0824"/>
    <w:rsid w:val="005D087C"/>
    <w:rsid w:val="005D0934"/>
    <w:rsid w:val="005D094E"/>
    <w:rsid w:val="005D0975"/>
    <w:rsid w:val="005D0A31"/>
    <w:rsid w:val="005D0BB4"/>
    <w:rsid w:val="005D0C43"/>
    <w:rsid w:val="005D0C4D"/>
    <w:rsid w:val="005D0C87"/>
    <w:rsid w:val="005D0CF3"/>
    <w:rsid w:val="005D0D6F"/>
    <w:rsid w:val="005D0DEC"/>
    <w:rsid w:val="005D0F19"/>
    <w:rsid w:val="005D0F59"/>
    <w:rsid w:val="005D10B3"/>
    <w:rsid w:val="005D126C"/>
    <w:rsid w:val="005D136E"/>
    <w:rsid w:val="005D13BB"/>
    <w:rsid w:val="005D14C3"/>
    <w:rsid w:val="005D1567"/>
    <w:rsid w:val="005D15DA"/>
    <w:rsid w:val="005D1660"/>
    <w:rsid w:val="005D18F7"/>
    <w:rsid w:val="005D1A9E"/>
    <w:rsid w:val="005D1ACA"/>
    <w:rsid w:val="005D1B10"/>
    <w:rsid w:val="005D1B34"/>
    <w:rsid w:val="005D1B39"/>
    <w:rsid w:val="005D1C21"/>
    <w:rsid w:val="005D1DC4"/>
    <w:rsid w:val="005D1F1E"/>
    <w:rsid w:val="005D1F79"/>
    <w:rsid w:val="005D212B"/>
    <w:rsid w:val="005D219F"/>
    <w:rsid w:val="005D21C2"/>
    <w:rsid w:val="005D225A"/>
    <w:rsid w:val="005D22C2"/>
    <w:rsid w:val="005D2397"/>
    <w:rsid w:val="005D2413"/>
    <w:rsid w:val="005D2441"/>
    <w:rsid w:val="005D2491"/>
    <w:rsid w:val="005D2557"/>
    <w:rsid w:val="005D25EC"/>
    <w:rsid w:val="005D26BA"/>
    <w:rsid w:val="005D26CC"/>
    <w:rsid w:val="005D275D"/>
    <w:rsid w:val="005D2869"/>
    <w:rsid w:val="005D28DA"/>
    <w:rsid w:val="005D28F9"/>
    <w:rsid w:val="005D2A79"/>
    <w:rsid w:val="005D2AD7"/>
    <w:rsid w:val="005D2BDF"/>
    <w:rsid w:val="005D2C38"/>
    <w:rsid w:val="005D2C73"/>
    <w:rsid w:val="005D2CFC"/>
    <w:rsid w:val="005D2D88"/>
    <w:rsid w:val="005D2DC7"/>
    <w:rsid w:val="005D2E5A"/>
    <w:rsid w:val="005D2E82"/>
    <w:rsid w:val="005D2E8F"/>
    <w:rsid w:val="005D2F26"/>
    <w:rsid w:val="005D2F85"/>
    <w:rsid w:val="005D3004"/>
    <w:rsid w:val="005D30E1"/>
    <w:rsid w:val="005D31A2"/>
    <w:rsid w:val="005D320E"/>
    <w:rsid w:val="005D326E"/>
    <w:rsid w:val="005D351A"/>
    <w:rsid w:val="005D3567"/>
    <w:rsid w:val="005D35E9"/>
    <w:rsid w:val="005D3711"/>
    <w:rsid w:val="005D38F1"/>
    <w:rsid w:val="005D3931"/>
    <w:rsid w:val="005D39FB"/>
    <w:rsid w:val="005D3A15"/>
    <w:rsid w:val="005D3A1F"/>
    <w:rsid w:val="005D3B4C"/>
    <w:rsid w:val="005D3B8C"/>
    <w:rsid w:val="005D3CB3"/>
    <w:rsid w:val="005D3D39"/>
    <w:rsid w:val="005D3D83"/>
    <w:rsid w:val="005D3DA7"/>
    <w:rsid w:val="005D3ECA"/>
    <w:rsid w:val="005D40A9"/>
    <w:rsid w:val="005D40DB"/>
    <w:rsid w:val="005D418A"/>
    <w:rsid w:val="005D41D4"/>
    <w:rsid w:val="005D42E9"/>
    <w:rsid w:val="005D43B1"/>
    <w:rsid w:val="005D4456"/>
    <w:rsid w:val="005D4553"/>
    <w:rsid w:val="005D455E"/>
    <w:rsid w:val="005D45C8"/>
    <w:rsid w:val="005D479D"/>
    <w:rsid w:val="005D4840"/>
    <w:rsid w:val="005D49C7"/>
    <w:rsid w:val="005D4A58"/>
    <w:rsid w:val="005D4B4F"/>
    <w:rsid w:val="005D4C19"/>
    <w:rsid w:val="005D4C33"/>
    <w:rsid w:val="005D4E2F"/>
    <w:rsid w:val="005D4F37"/>
    <w:rsid w:val="005D4F90"/>
    <w:rsid w:val="005D4FBA"/>
    <w:rsid w:val="005D518C"/>
    <w:rsid w:val="005D51BF"/>
    <w:rsid w:val="005D51E0"/>
    <w:rsid w:val="005D5337"/>
    <w:rsid w:val="005D5561"/>
    <w:rsid w:val="005D55E1"/>
    <w:rsid w:val="005D55FE"/>
    <w:rsid w:val="005D586D"/>
    <w:rsid w:val="005D5963"/>
    <w:rsid w:val="005D59D3"/>
    <w:rsid w:val="005D5B45"/>
    <w:rsid w:val="005D5BE5"/>
    <w:rsid w:val="005D5CB9"/>
    <w:rsid w:val="005D5EE5"/>
    <w:rsid w:val="005D5FB4"/>
    <w:rsid w:val="005D5FE7"/>
    <w:rsid w:val="005D6029"/>
    <w:rsid w:val="005D6078"/>
    <w:rsid w:val="005D60AA"/>
    <w:rsid w:val="005D60BE"/>
    <w:rsid w:val="005D61A6"/>
    <w:rsid w:val="005D627A"/>
    <w:rsid w:val="005D62B1"/>
    <w:rsid w:val="005D6361"/>
    <w:rsid w:val="005D637B"/>
    <w:rsid w:val="005D63B6"/>
    <w:rsid w:val="005D63E6"/>
    <w:rsid w:val="005D6411"/>
    <w:rsid w:val="005D64D2"/>
    <w:rsid w:val="005D66F7"/>
    <w:rsid w:val="005D675D"/>
    <w:rsid w:val="005D67CE"/>
    <w:rsid w:val="005D67E2"/>
    <w:rsid w:val="005D684C"/>
    <w:rsid w:val="005D6884"/>
    <w:rsid w:val="005D6972"/>
    <w:rsid w:val="005D6BBA"/>
    <w:rsid w:val="005D6BFB"/>
    <w:rsid w:val="005D6C93"/>
    <w:rsid w:val="005D6CAC"/>
    <w:rsid w:val="005D6CD7"/>
    <w:rsid w:val="005D6D16"/>
    <w:rsid w:val="005D6D8D"/>
    <w:rsid w:val="005D6E38"/>
    <w:rsid w:val="005D6E54"/>
    <w:rsid w:val="005D6E93"/>
    <w:rsid w:val="005D70E6"/>
    <w:rsid w:val="005D7255"/>
    <w:rsid w:val="005D7268"/>
    <w:rsid w:val="005D7280"/>
    <w:rsid w:val="005D74A1"/>
    <w:rsid w:val="005D7627"/>
    <w:rsid w:val="005D76AB"/>
    <w:rsid w:val="005D76B8"/>
    <w:rsid w:val="005D77E9"/>
    <w:rsid w:val="005D787B"/>
    <w:rsid w:val="005D787E"/>
    <w:rsid w:val="005D789B"/>
    <w:rsid w:val="005D79E2"/>
    <w:rsid w:val="005D79EE"/>
    <w:rsid w:val="005D7A9E"/>
    <w:rsid w:val="005D7AB6"/>
    <w:rsid w:val="005D7AF6"/>
    <w:rsid w:val="005D7C32"/>
    <w:rsid w:val="005D7C39"/>
    <w:rsid w:val="005D7C62"/>
    <w:rsid w:val="005D7D97"/>
    <w:rsid w:val="005D7DDB"/>
    <w:rsid w:val="005D7DE1"/>
    <w:rsid w:val="005D7EDB"/>
    <w:rsid w:val="005D7F09"/>
    <w:rsid w:val="005D7F17"/>
    <w:rsid w:val="005D7FE1"/>
    <w:rsid w:val="005E0032"/>
    <w:rsid w:val="005E01D1"/>
    <w:rsid w:val="005E0240"/>
    <w:rsid w:val="005E031E"/>
    <w:rsid w:val="005E0370"/>
    <w:rsid w:val="005E0384"/>
    <w:rsid w:val="005E0487"/>
    <w:rsid w:val="005E04BA"/>
    <w:rsid w:val="005E04C7"/>
    <w:rsid w:val="005E0511"/>
    <w:rsid w:val="005E0534"/>
    <w:rsid w:val="005E07E7"/>
    <w:rsid w:val="005E08A6"/>
    <w:rsid w:val="005E08DD"/>
    <w:rsid w:val="005E08E1"/>
    <w:rsid w:val="005E0AB6"/>
    <w:rsid w:val="005E0AF5"/>
    <w:rsid w:val="005E0BB3"/>
    <w:rsid w:val="005E0D23"/>
    <w:rsid w:val="005E0D35"/>
    <w:rsid w:val="005E0D54"/>
    <w:rsid w:val="005E0D8F"/>
    <w:rsid w:val="005E0D90"/>
    <w:rsid w:val="005E0DE4"/>
    <w:rsid w:val="005E0E09"/>
    <w:rsid w:val="005E0E3C"/>
    <w:rsid w:val="005E0F4A"/>
    <w:rsid w:val="005E0FD5"/>
    <w:rsid w:val="005E102A"/>
    <w:rsid w:val="005E10B2"/>
    <w:rsid w:val="005E11DB"/>
    <w:rsid w:val="005E11DF"/>
    <w:rsid w:val="005E1230"/>
    <w:rsid w:val="005E125F"/>
    <w:rsid w:val="005E13DF"/>
    <w:rsid w:val="005E1422"/>
    <w:rsid w:val="005E1444"/>
    <w:rsid w:val="005E153C"/>
    <w:rsid w:val="005E159A"/>
    <w:rsid w:val="005E1700"/>
    <w:rsid w:val="005E171C"/>
    <w:rsid w:val="005E17C4"/>
    <w:rsid w:val="005E17C9"/>
    <w:rsid w:val="005E1A97"/>
    <w:rsid w:val="005E1AA1"/>
    <w:rsid w:val="005E1AA3"/>
    <w:rsid w:val="005E1C00"/>
    <w:rsid w:val="005E1C82"/>
    <w:rsid w:val="005E1CBA"/>
    <w:rsid w:val="005E1DC7"/>
    <w:rsid w:val="005E1F3E"/>
    <w:rsid w:val="005E1F44"/>
    <w:rsid w:val="005E1F83"/>
    <w:rsid w:val="005E1FC9"/>
    <w:rsid w:val="005E2033"/>
    <w:rsid w:val="005E21A0"/>
    <w:rsid w:val="005E2263"/>
    <w:rsid w:val="005E2314"/>
    <w:rsid w:val="005E244D"/>
    <w:rsid w:val="005E247B"/>
    <w:rsid w:val="005E24C4"/>
    <w:rsid w:val="005E2548"/>
    <w:rsid w:val="005E258F"/>
    <w:rsid w:val="005E26B5"/>
    <w:rsid w:val="005E2892"/>
    <w:rsid w:val="005E28B7"/>
    <w:rsid w:val="005E28C5"/>
    <w:rsid w:val="005E2906"/>
    <w:rsid w:val="005E295D"/>
    <w:rsid w:val="005E29D7"/>
    <w:rsid w:val="005E2AA5"/>
    <w:rsid w:val="005E2AD9"/>
    <w:rsid w:val="005E2AE6"/>
    <w:rsid w:val="005E2B23"/>
    <w:rsid w:val="005E2B44"/>
    <w:rsid w:val="005E2DA4"/>
    <w:rsid w:val="005E2FFE"/>
    <w:rsid w:val="005E304C"/>
    <w:rsid w:val="005E30A2"/>
    <w:rsid w:val="005E311F"/>
    <w:rsid w:val="005E3157"/>
    <w:rsid w:val="005E3236"/>
    <w:rsid w:val="005E332B"/>
    <w:rsid w:val="005E3483"/>
    <w:rsid w:val="005E358F"/>
    <w:rsid w:val="005E36BE"/>
    <w:rsid w:val="005E3708"/>
    <w:rsid w:val="005E3730"/>
    <w:rsid w:val="005E3762"/>
    <w:rsid w:val="005E37F5"/>
    <w:rsid w:val="005E3814"/>
    <w:rsid w:val="005E3861"/>
    <w:rsid w:val="005E3877"/>
    <w:rsid w:val="005E387D"/>
    <w:rsid w:val="005E394B"/>
    <w:rsid w:val="005E39B2"/>
    <w:rsid w:val="005E3A5C"/>
    <w:rsid w:val="005E3B06"/>
    <w:rsid w:val="005E3B75"/>
    <w:rsid w:val="005E3BA0"/>
    <w:rsid w:val="005E3BEF"/>
    <w:rsid w:val="005E3CA9"/>
    <w:rsid w:val="005E3D15"/>
    <w:rsid w:val="005E3D67"/>
    <w:rsid w:val="005E3DD9"/>
    <w:rsid w:val="005E3E69"/>
    <w:rsid w:val="005E3FD3"/>
    <w:rsid w:val="005E4009"/>
    <w:rsid w:val="005E402B"/>
    <w:rsid w:val="005E4138"/>
    <w:rsid w:val="005E414C"/>
    <w:rsid w:val="005E4175"/>
    <w:rsid w:val="005E420B"/>
    <w:rsid w:val="005E4225"/>
    <w:rsid w:val="005E423F"/>
    <w:rsid w:val="005E4247"/>
    <w:rsid w:val="005E425B"/>
    <w:rsid w:val="005E4284"/>
    <w:rsid w:val="005E433E"/>
    <w:rsid w:val="005E4349"/>
    <w:rsid w:val="005E4481"/>
    <w:rsid w:val="005E4569"/>
    <w:rsid w:val="005E456A"/>
    <w:rsid w:val="005E45AE"/>
    <w:rsid w:val="005E45B3"/>
    <w:rsid w:val="005E4625"/>
    <w:rsid w:val="005E468F"/>
    <w:rsid w:val="005E4A14"/>
    <w:rsid w:val="005E4A51"/>
    <w:rsid w:val="005E4AE5"/>
    <w:rsid w:val="005E4C65"/>
    <w:rsid w:val="005E4EBD"/>
    <w:rsid w:val="005E4EED"/>
    <w:rsid w:val="005E4F28"/>
    <w:rsid w:val="005E4FB6"/>
    <w:rsid w:val="005E5001"/>
    <w:rsid w:val="005E5101"/>
    <w:rsid w:val="005E5202"/>
    <w:rsid w:val="005E546B"/>
    <w:rsid w:val="005E54B8"/>
    <w:rsid w:val="005E5589"/>
    <w:rsid w:val="005E55A0"/>
    <w:rsid w:val="005E55B4"/>
    <w:rsid w:val="005E5723"/>
    <w:rsid w:val="005E5861"/>
    <w:rsid w:val="005E58C5"/>
    <w:rsid w:val="005E58C6"/>
    <w:rsid w:val="005E591A"/>
    <w:rsid w:val="005E59AF"/>
    <w:rsid w:val="005E5A64"/>
    <w:rsid w:val="005E5AE9"/>
    <w:rsid w:val="005E5BE1"/>
    <w:rsid w:val="005E5C3E"/>
    <w:rsid w:val="005E5D0D"/>
    <w:rsid w:val="005E5D5A"/>
    <w:rsid w:val="005E5D5B"/>
    <w:rsid w:val="005E5DB5"/>
    <w:rsid w:val="005E5DFB"/>
    <w:rsid w:val="005E5E17"/>
    <w:rsid w:val="005E600D"/>
    <w:rsid w:val="005E6029"/>
    <w:rsid w:val="005E613F"/>
    <w:rsid w:val="005E61D2"/>
    <w:rsid w:val="005E6252"/>
    <w:rsid w:val="005E6307"/>
    <w:rsid w:val="005E6439"/>
    <w:rsid w:val="005E6441"/>
    <w:rsid w:val="005E6505"/>
    <w:rsid w:val="005E6540"/>
    <w:rsid w:val="005E654B"/>
    <w:rsid w:val="005E6629"/>
    <w:rsid w:val="005E666E"/>
    <w:rsid w:val="005E68FF"/>
    <w:rsid w:val="005E6B15"/>
    <w:rsid w:val="005E6BFB"/>
    <w:rsid w:val="005E6C0C"/>
    <w:rsid w:val="005E6C89"/>
    <w:rsid w:val="005E6CA3"/>
    <w:rsid w:val="005E6CA6"/>
    <w:rsid w:val="005E6D1C"/>
    <w:rsid w:val="005E6DD0"/>
    <w:rsid w:val="005E6E6C"/>
    <w:rsid w:val="005E6EB8"/>
    <w:rsid w:val="005E6F69"/>
    <w:rsid w:val="005E70A6"/>
    <w:rsid w:val="005E714E"/>
    <w:rsid w:val="005E7249"/>
    <w:rsid w:val="005E7294"/>
    <w:rsid w:val="005E72D3"/>
    <w:rsid w:val="005E736B"/>
    <w:rsid w:val="005E7389"/>
    <w:rsid w:val="005E73F1"/>
    <w:rsid w:val="005E7429"/>
    <w:rsid w:val="005E74BF"/>
    <w:rsid w:val="005E7501"/>
    <w:rsid w:val="005E75A6"/>
    <w:rsid w:val="005E76C1"/>
    <w:rsid w:val="005E7725"/>
    <w:rsid w:val="005E7786"/>
    <w:rsid w:val="005E7906"/>
    <w:rsid w:val="005E7977"/>
    <w:rsid w:val="005E79A6"/>
    <w:rsid w:val="005E7ABD"/>
    <w:rsid w:val="005E7BD9"/>
    <w:rsid w:val="005E7BDA"/>
    <w:rsid w:val="005E7BF3"/>
    <w:rsid w:val="005E7C00"/>
    <w:rsid w:val="005E7CA3"/>
    <w:rsid w:val="005E7D44"/>
    <w:rsid w:val="005E7D93"/>
    <w:rsid w:val="005E7E00"/>
    <w:rsid w:val="005E7EED"/>
    <w:rsid w:val="005E7F17"/>
    <w:rsid w:val="005E7F9D"/>
    <w:rsid w:val="005E7FE1"/>
    <w:rsid w:val="005F005A"/>
    <w:rsid w:val="005F007F"/>
    <w:rsid w:val="005F0198"/>
    <w:rsid w:val="005F01B5"/>
    <w:rsid w:val="005F028D"/>
    <w:rsid w:val="005F0491"/>
    <w:rsid w:val="005F04E3"/>
    <w:rsid w:val="005F059E"/>
    <w:rsid w:val="005F0791"/>
    <w:rsid w:val="005F0873"/>
    <w:rsid w:val="005F0A50"/>
    <w:rsid w:val="005F0BBE"/>
    <w:rsid w:val="005F0C1A"/>
    <w:rsid w:val="005F0D61"/>
    <w:rsid w:val="005F0EA6"/>
    <w:rsid w:val="005F0F62"/>
    <w:rsid w:val="005F0F63"/>
    <w:rsid w:val="005F0FF3"/>
    <w:rsid w:val="005F1150"/>
    <w:rsid w:val="005F1152"/>
    <w:rsid w:val="005F119C"/>
    <w:rsid w:val="005F11BE"/>
    <w:rsid w:val="005F12F6"/>
    <w:rsid w:val="005F13F3"/>
    <w:rsid w:val="005F14BB"/>
    <w:rsid w:val="005F1511"/>
    <w:rsid w:val="005F15BE"/>
    <w:rsid w:val="005F15E6"/>
    <w:rsid w:val="005F16BB"/>
    <w:rsid w:val="005F16FC"/>
    <w:rsid w:val="005F17C4"/>
    <w:rsid w:val="005F194A"/>
    <w:rsid w:val="005F195A"/>
    <w:rsid w:val="005F1967"/>
    <w:rsid w:val="005F1A1A"/>
    <w:rsid w:val="005F1A28"/>
    <w:rsid w:val="005F1ADD"/>
    <w:rsid w:val="005F1C7E"/>
    <w:rsid w:val="005F1CA6"/>
    <w:rsid w:val="005F1D1B"/>
    <w:rsid w:val="005F1D2D"/>
    <w:rsid w:val="005F1F37"/>
    <w:rsid w:val="005F208A"/>
    <w:rsid w:val="005F21F2"/>
    <w:rsid w:val="005F221E"/>
    <w:rsid w:val="005F23FD"/>
    <w:rsid w:val="005F2431"/>
    <w:rsid w:val="005F2468"/>
    <w:rsid w:val="005F24A8"/>
    <w:rsid w:val="005F24FC"/>
    <w:rsid w:val="005F259F"/>
    <w:rsid w:val="005F25C9"/>
    <w:rsid w:val="005F2620"/>
    <w:rsid w:val="005F26E1"/>
    <w:rsid w:val="005F26F7"/>
    <w:rsid w:val="005F27DE"/>
    <w:rsid w:val="005F27EC"/>
    <w:rsid w:val="005F283C"/>
    <w:rsid w:val="005F2946"/>
    <w:rsid w:val="005F2969"/>
    <w:rsid w:val="005F2B20"/>
    <w:rsid w:val="005F2BA1"/>
    <w:rsid w:val="005F2C61"/>
    <w:rsid w:val="005F2E7B"/>
    <w:rsid w:val="005F2FF6"/>
    <w:rsid w:val="005F3079"/>
    <w:rsid w:val="005F3082"/>
    <w:rsid w:val="005F3090"/>
    <w:rsid w:val="005F3136"/>
    <w:rsid w:val="005F3200"/>
    <w:rsid w:val="005F3413"/>
    <w:rsid w:val="005F3457"/>
    <w:rsid w:val="005F34C6"/>
    <w:rsid w:val="005F34E3"/>
    <w:rsid w:val="005F3533"/>
    <w:rsid w:val="005F353B"/>
    <w:rsid w:val="005F3615"/>
    <w:rsid w:val="005F364D"/>
    <w:rsid w:val="005F3670"/>
    <w:rsid w:val="005F36E8"/>
    <w:rsid w:val="005F3858"/>
    <w:rsid w:val="005F38C3"/>
    <w:rsid w:val="005F38EF"/>
    <w:rsid w:val="005F3935"/>
    <w:rsid w:val="005F3974"/>
    <w:rsid w:val="005F3C44"/>
    <w:rsid w:val="005F3C4B"/>
    <w:rsid w:val="005F3C88"/>
    <w:rsid w:val="005F3CA9"/>
    <w:rsid w:val="005F3D47"/>
    <w:rsid w:val="005F3D5E"/>
    <w:rsid w:val="005F3F33"/>
    <w:rsid w:val="005F4156"/>
    <w:rsid w:val="005F4157"/>
    <w:rsid w:val="005F426C"/>
    <w:rsid w:val="005F4318"/>
    <w:rsid w:val="005F431A"/>
    <w:rsid w:val="005F431D"/>
    <w:rsid w:val="005F4385"/>
    <w:rsid w:val="005F4386"/>
    <w:rsid w:val="005F43A9"/>
    <w:rsid w:val="005F43B8"/>
    <w:rsid w:val="005F4427"/>
    <w:rsid w:val="005F4438"/>
    <w:rsid w:val="005F458C"/>
    <w:rsid w:val="005F45BC"/>
    <w:rsid w:val="005F4619"/>
    <w:rsid w:val="005F477E"/>
    <w:rsid w:val="005F47D7"/>
    <w:rsid w:val="005F4BC9"/>
    <w:rsid w:val="005F4C4C"/>
    <w:rsid w:val="005F4CB8"/>
    <w:rsid w:val="005F4CF2"/>
    <w:rsid w:val="005F4D50"/>
    <w:rsid w:val="005F4D55"/>
    <w:rsid w:val="005F4D9D"/>
    <w:rsid w:val="005F4DA2"/>
    <w:rsid w:val="005F4DB7"/>
    <w:rsid w:val="005F4E03"/>
    <w:rsid w:val="005F4EDE"/>
    <w:rsid w:val="005F4F11"/>
    <w:rsid w:val="005F4F4E"/>
    <w:rsid w:val="005F4F53"/>
    <w:rsid w:val="005F4F8E"/>
    <w:rsid w:val="005F4FCA"/>
    <w:rsid w:val="005F4FE9"/>
    <w:rsid w:val="005F4FF6"/>
    <w:rsid w:val="005F4FFC"/>
    <w:rsid w:val="005F5012"/>
    <w:rsid w:val="005F5068"/>
    <w:rsid w:val="005F51B3"/>
    <w:rsid w:val="005F526E"/>
    <w:rsid w:val="005F533E"/>
    <w:rsid w:val="005F534D"/>
    <w:rsid w:val="005F54A4"/>
    <w:rsid w:val="005F54B2"/>
    <w:rsid w:val="005F54CB"/>
    <w:rsid w:val="005F5513"/>
    <w:rsid w:val="005F5653"/>
    <w:rsid w:val="005F56A3"/>
    <w:rsid w:val="005F575A"/>
    <w:rsid w:val="005F57CD"/>
    <w:rsid w:val="005F5884"/>
    <w:rsid w:val="005F58DE"/>
    <w:rsid w:val="005F5A75"/>
    <w:rsid w:val="005F5C1B"/>
    <w:rsid w:val="005F5C98"/>
    <w:rsid w:val="005F5D30"/>
    <w:rsid w:val="005F5DC8"/>
    <w:rsid w:val="005F5E06"/>
    <w:rsid w:val="005F5ED2"/>
    <w:rsid w:val="005F5F20"/>
    <w:rsid w:val="005F607D"/>
    <w:rsid w:val="005F6370"/>
    <w:rsid w:val="005F6395"/>
    <w:rsid w:val="005F63B6"/>
    <w:rsid w:val="005F640F"/>
    <w:rsid w:val="005F655C"/>
    <w:rsid w:val="005F65FE"/>
    <w:rsid w:val="005F6820"/>
    <w:rsid w:val="005F6849"/>
    <w:rsid w:val="005F68AD"/>
    <w:rsid w:val="005F68E8"/>
    <w:rsid w:val="005F6909"/>
    <w:rsid w:val="005F6998"/>
    <w:rsid w:val="005F6A39"/>
    <w:rsid w:val="005F6A3A"/>
    <w:rsid w:val="005F6A4A"/>
    <w:rsid w:val="005F6B99"/>
    <w:rsid w:val="005F6CF1"/>
    <w:rsid w:val="005F6D4C"/>
    <w:rsid w:val="005F6D4D"/>
    <w:rsid w:val="005F6D64"/>
    <w:rsid w:val="005F6DC0"/>
    <w:rsid w:val="005F6F24"/>
    <w:rsid w:val="005F6F31"/>
    <w:rsid w:val="005F6FAC"/>
    <w:rsid w:val="005F71D1"/>
    <w:rsid w:val="005F724F"/>
    <w:rsid w:val="005F7268"/>
    <w:rsid w:val="005F729F"/>
    <w:rsid w:val="005F72A9"/>
    <w:rsid w:val="005F72D8"/>
    <w:rsid w:val="005F732C"/>
    <w:rsid w:val="005F7388"/>
    <w:rsid w:val="005F73A6"/>
    <w:rsid w:val="005F73ED"/>
    <w:rsid w:val="005F74CC"/>
    <w:rsid w:val="005F751B"/>
    <w:rsid w:val="005F756A"/>
    <w:rsid w:val="005F7665"/>
    <w:rsid w:val="005F76A7"/>
    <w:rsid w:val="005F77CF"/>
    <w:rsid w:val="005F782C"/>
    <w:rsid w:val="005F785B"/>
    <w:rsid w:val="005F7860"/>
    <w:rsid w:val="005F7956"/>
    <w:rsid w:val="005F7996"/>
    <w:rsid w:val="005F7A00"/>
    <w:rsid w:val="005F7ABC"/>
    <w:rsid w:val="005F7ACA"/>
    <w:rsid w:val="005F7B08"/>
    <w:rsid w:val="005F7B59"/>
    <w:rsid w:val="005F7BE0"/>
    <w:rsid w:val="005F7BFB"/>
    <w:rsid w:val="005F7C22"/>
    <w:rsid w:val="005F7C9A"/>
    <w:rsid w:val="005F7CB9"/>
    <w:rsid w:val="005F7E41"/>
    <w:rsid w:val="005F7E44"/>
    <w:rsid w:val="005F7EF7"/>
    <w:rsid w:val="005F7F47"/>
    <w:rsid w:val="0060035F"/>
    <w:rsid w:val="0060038A"/>
    <w:rsid w:val="00600494"/>
    <w:rsid w:val="006005B2"/>
    <w:rsid w:val="006005C8"/>
    <w:rsid w:val="0060063A"/>
    <w:rsid w:val="00600682"/>
    <w:rsid w:val="006006D7"/>
    <w:rsid w:val="0060085B"/>
    <w:rsid w:val="00600B81"/>
    <w:rsid w:val="00600CB0"/>
    <w:rsid w:val="00600CD3"/>
    <w:rsid w:val="00600D00"/>
    <w:rsid w:val="00600DEF"/>
    <w:rsid w:val="00600E0D"/>
    <w:rsid w:val="00600E1B"/>
    <w:rsid w:val="00600E64"/>
    <w:rsid w:val="00601098"/>
    <w:rsid w:val="0060119E"/>
    <w:rsid w:val="00601280"/>
    <w:rsid w:val="00601484"/>
    <w:rsid w:val="006014CF"/>
    <w:rsid w:val="006014EF"/>
    <w:rsid w:val="00601500"/>
    <w:rsid w:val="0060155C"/>
    <w:rsid w:val="006016AB"/>
    <w:rsid w:val="00601717"/>
    <w:rsid w:val="00601999"/>
    <w:rsid w:val="00601AF4"/>
    <w:rsid w:val="00601B0E"/>
    <w:rsid w:val="00601B4C"/>
    <w:rsid w:val="00601BC2"/>
    <w:rsid w:val="00601C13"/>
    <w:rsid w:val="00601D7E"/>
    <w:rsid w:val="00602159"/>
    <w:rsid w:val="0060238A"/>
    <w:rsid w:val="0060246A"/>
    <w:rsid w:val="00602538"/>
    <w:rsid w:val="00602567"/>
    <w:rsid w:val="006027AF"/>
    <w:rsid w:val="00602829"/>
    <w:rsid w:val="006028E8"/>
    <w:rsid w:val="00602929"/>
    <w:rsid w:val="00602BBB"/>
    <w:rsid w:val="00602EC7"/>
    <w:rsid w:val="006030C0"/>
    <w:rsid w:val="00603260"/>
    <w:rsid w:val="0060330D"/>
    <w:rsid w:val="00603326"/>
    <w:rsid w:val="00603329"/>
    <w:rsid w:val="0060334C"/>
    <w:rsid w:val="006033B2"/>
    <w:rsid w:val="0060351D"/>
    <w:rsid w:val="006035B8"/>
    <w:rsid w:val="006035C3"/>
    <w:rsid w:val="0060369A"/>
    <w:rsid w:val="00603780"/>
    <w:rsid w:val="006038A8"/>
    <w:rsid w:val="00603918"/>
    <w:rsid w:val="0060392A"/>
    <w:rsid w:val="00603A4B"/>
    <w:rsid w:val="00603A52"/>
    <w:rsid w:val="00603AA1"/>
    <w:rsid w:val="00603B22"/>
    <w:rsid w:val="00603BA5"/>
    <w:rsid w:val="00603CB0"/>
    <w:rsid w:val="00603D41"/>
    <w:rsid w:val="00603D54"/>
    <w:rsid w:val="00603DDF"/>
    <w:rsid w:val="00603E27"/>
    <w:rsid w:val="00603EBD"/>
    <w:rsid w:val="00603EFB"/>
    <w:rsid w:val="00603F6C"/>
    <w:rsid w:val="006041BF"/>
    <w:rsid w:val="0060420B"/>
    <w:rsid w:val="00604424"/>
    <w:rsid w:val="00604581"/>
    <w:rsid w:val="006045E4"/>
    <w:rsid w:val="00604879"/>
    <w:rsid w:val="0060490F"/>
    <w:rsid w:val="00604982"/>
    <w:rsid w:val="00604CA8"/>
    <w:rsid w:val="00604DEB"/>
    <w:rsid w:val="00604F00"/>
    <w:rsid w:val="00604F5E"/>
    <w:rsid w:val="00604FFF"/>
    <w:rsid w:val="0060503A"/>
    <w:rsid w:val="006050D7"/>
    <w:rsid w:val="0060516B"/>
    <w:rsid w:val="006051AE"/>
    <w:rsid w:val="006051C9"/>
    <w:rsid w:val="00605337"/>
    <w:rsid w:val="006053F4"/>
    <w:rsid w:val="00605523"/>
    <w:rsid w:val="00605579"/>
    <w:rsid w:val="006056D8"/>
    <w:rsid w:val="006056E4"/>
    <w:rsid w:val="006057E9"/>
    <w:rsid w:val="00605827"/>
    <w:rsid w:val="0060584A"/>
    <w:rsid w:val="00605918"/>
    <w:rsid w:val="00605A10"/>
    <w:rsid w:val="00605A61"/>
    <w:rsid w:val="00605C63"/>
    <w:rsid w:val="00605C7A"/>
    <w:rsid w:val="00605CD7"/>
    <w:rsid w:val="00605CE1"/>
    <w:rsid w:val="00605DAE"/>
    <w:rsid w:val="00605DFB"/>
    <w:rsid w:val="00605E81"/>
    <w:rsid w:val="00605FCC"/>
    <w:rsid w:val="006060AA"/>
    <w:rsid w:val="006060DB"/>
    <w:rsid w:val="006060EA"/>
    <w:rsid w:val="00606102"/>
    <w:rsid w:val="00606150"/>
    <w:rsid w:val="00606218"/>
    <w:rsid w:val="00606310"/>
    <w:rsid w:val="00606382"/>
    <w:rsid w:val="006063E2"/>
    <w:rsid w:val="006063F6"/>
    <w:rsid w:val="0060646F"/>
    <w:rsid w:val="006065B3"/>
    <w:rsid w:val="006065EE"/>
    <w:rsid w:val="00606607"/>
    <w:rsid w:val="00606614"/>
    <w:rsid w:val="00606703"/>
    <w:rsid w:val="006067B6"/>
    <w:rsid w:val="00606831"/>
    <w:rsid w:val="00606981"/>
    <w:rsid w:val="00606A15"/>
    <w:rsid w:val="00606A36"/>
    <w:rsid w:val="00606B64"/>
    <w:rsid w:val="00606B94"/>
    <w:rsid w:val="00606BC2"/>
    <w:rsid w:val="00606BCB"/>
    <w:rsid w:val="00606CD1"/>
    <w:rsid w:val="00606EF0"/>
    <w:rsid w:val="00606F08"/>
    <w:rsid w:val="00606F88"/>
    <w:rsid w:val="00606FEB"/>
    <w:rsid w:val="00606FF2"/>
    <w:rsid w:val="006071D7"/>
    <w:rsid w:val="006071E6"/>
    <w:rsid w:val="00607205"/>
    <w:rsid w:val="0060723E"/>
    <w:rsid w:val="0060733E"/>
    <w:rsid w:val="006073B3"/>
    <w:rsid w:val="006074E4"/>
    <w:rsid w:val="00607586"/>
    <w:rsid w:val="00607631"/>
    <w:rsid w:val="006076E3"/>
    <w:rsid w:val="0060781B"/>
    <w:rsid w:val="0060784F"/>
    <w:rsid w:val="00607871"/>
    <w:rsid w:val="00607887"/>
    <w:rsid w:val="006078A4"/>
    <w:rsid w:val="006078AC"/>
    <w:rsid w:val="0060793E"/>
    <w:rsid w:val="00607967"/>
    <w:rsid w:val="006079C3"/>
    <w:rsid w:val="00607B3D"/>
    <w:rsid w:val="00607B5A"/>
    <w:rsid w:val="00607C12"/>
    <w:rsid w:val="00607CB1"/>
    <w:rsid w:val="00607DEA"/>
    <w:rsid w:val="00607E44"/>
    <w:rsid w:val="00607EAE"/>
    <w:rsid w:val="00607EC0"/>
    <w:rsid w:val="00607FF3"/>
    <w:rsid w:val="006100F2"/>
    <w:rsid w:val="00610147"/>
    <w:rsid w:val="006101DD"/>
    <w:rsid w:val="006101E8"/>
    <w:rsid w:val="0061029D"/>
    <w:rsid w:val="006102C8"/>
    <w:rsid w:val="006102CB"/>
    <w:rsid w:val="00610346"/>
    <w:rsid w:val="006103ED"/>
    <w:rsid w:val="00610570"/>
    <w:rsid w:val="0061060B"/>
    <w:rsid w:val="00610627"/>
    <w:rsid w:val="00610753"/>
    <w:rsid w:val="006107AA"/>
    <w:rsid w:val="00610805"/>
    <w:rsid w:val="00610879"/>
    <w:rsid w:val="006108C8"/>
    <w:rsid w:val="0061098F"/>
    <w:rsid w:val="00610D34"/>
    <w:rsid w:val="00610E67"/>
    <w:rsid w:val="00610E75"/>
    <w:rsid w:val="00610EBD"/>
    <w:rsid w:val="00610EE4"/>
    <w:rsid w:val="00610F28"/>
    <w:rsid w:val="00610FBC"/>
    <w:rsid w:val="00611013"/>
    <w:rsid w:val="00611049"/>
    <w:rsid w:val="00611077"/>
    <w:rsid w:val="0061112C"/>
    <w:rsid w:val="00611133"/>
    <w:rsid w:val="00611143"/>
    <w:rsid w:val="00611290"/>
    <w:rsid w:val="00611292"/>
    <w:rsid w:val="006112D1"/>
    <w:rsid w:val="006112FA"/>
    <w:rsid w:val="00611352"/>
    <w:rsid w:val="006113E4"/>
    <w:rsid w:val="006113ED"/>
    <w:rsid w:val="006115EA"/>
    <w:rsid w:val="006115F4"/>
    <w:rsid w:val="006115F7"/>
    <w:rsid w:val="00611806"/>
    <w:rsid w:val="00611836"/>
    <w:rsid w:val="00611A06"/>
    <w:rsid w:val="00611A76"/>
    <w:rsid w:val="00611A8A"/>
    <w:rsid w:val="00611BFD"/>
    <w:rsid w:val="00611C7C"/>
    <w:rsid w:val="00611DC7"/>
    <w:rsid w:val="00611E55"/>
    <w:rsid w:val="00611ED5"/>
    <w:rsid w:val="00611F22"/>
    <w:rsid w:val="0061200F"/>
    <w:rsid w:val="006120A2"/>
    <w:rsid w:val="006121EB"/>
    <w:rsid w:val="0061225C"/>
    <w:rsid w:val="006122C2"/>
    <w:rsid w:val="006122FE"/>
    <w:rsid w:val="00612461"/>
    <w:rsid w:val="00612518"/>
    <w:rsid w:val="00612575"/>
    <w:rsid w:val="006125B0"/>
    <w:rsid w:val="00612637"/>
    <w:rsid w:val="00612662"/>
    <w:rsid w:val="00612762"/>
    <w:rsid w:val="006127F2"/>
    <w:rsid w:val="00612812"/>
    <w:rsid w:val="00612853"/>
    <w:rsid w:val="006128AF"/>
    <w:rsid w:val="006128EB"/>
    <w:rsid w:val="0061290A"/>
    <w:rsid w:val="0061294D"/>
    <w:rsid w:val="00612B23"/>
    <w:rsid w:val="00612C16"/>
    <w:rsid w:val="00612E51"/>
    <w:rsid w:val="00612E79"/>
    <w:rsid w:val="00612FC5"/>
    <w:rsid w:val="00613017"/>
    <w:rsid w:val="00613051"/>
    <w:rsid w:val="006130F6"/>
    <w:rsid w:val="0061317D"/>
    <w:rsid w:val="00613216"/>
    <w:rsid w:val="00613246"/>
    <w:rsid w:val="006132C9"/>
    <w:rsid w:val="006132CA"/>
    <w:rsid w:val="0061336B"/>
    <w:rsid w:val="006133FA"/>
    <w:rsid w:val="006134F7"/>
    <w:rsid w:val="00613682"/>
    <w:rsid w:val="00613889"/>
    <w:rsid w:val="00613958"/>
    <w:rsid w:val="00613974"/>
    <w:rsid w:val="006139C1"/>
    <w:rsid w:val="00613AC8"/>
    <w:rsid w:val="00613C1B"/>
    <w:rsid w:val="00613D8E"/>
    <w:rsid w:val="00613EB6"/>
    <w:rsid w:val="00613F21"/>
    <w:rsid w:val="006141CF"/>
    <w:rsid w:val="006141F1"/>
    <w:rsid w:val="0061421A"/>
    <w:rsid w:val="00614249"/>
    <w:rsid w:val="006142B0"/>
    <w:rsid w:val="006142CA"/>
    <w:rsid w:val="006143B5"/>
    <w:rsid w:val="006145E1"/>
    <w:rsid w:val="00614605"/>
    <w:rsid w:val="006146D1"/>
    <w:rsid w:val="00614702"/>
    <w:rsid w:val="00614732"/>
    <w:rsid w:val="00614793"/>
    <w:rsid w:val="006147DA"/>
    <w:rsid w:val="006148D1"/>
    <w:rsid w:val="00614A00"/>
    <w:rsid w:val="00614A7F"/>
    <w:rsid w:val="00614A9D"/>
    <w:rsid w:val="00614B7C"/>
    <w:rsid w:val="00614DB7"/>
    <w:rsid w:val="00614DF1"/>
    <w:rsid w:val="00614DF5"/>
    <w:rsid w:val="00615047"/>
    <w:rsid w:val="006150A2"/>
    <w:rsid w:val="006150AC"/>
    <w:rsid w:val="006150D3"/>
    <w:rsid w:val="0061520C"/>
    <w:rsid w:val="00615479"/>
    <w:rsid w:val="0061553B"/>
    <w:rsid w:val="006155E3"/>
    <w:rsid w:val="00615610"/>
    <w:rsid w:val="006158BC"/>
    <w:rsid w:val="006159C5"/>
    <w:rsid w:val="006159FF"/>
    <w:rsid w:val="00615AF6"/>
    <w:rsid w:val="00615B76"/>
    <w:rsid w:val="00615BAD"/>
    <w:rsid w:val="00615D5D"/>
    <w:rsid w:val="00616055"/>
    <w:rsid w:val="00616060"/>
    <w:rsid w:val="006160AB"/>
    <w:rsid w:val="00616178"/>
    <w:rsid w:val="0061617A"/>
    <w:rsid w:val="006161D8"/>
    <w:rsid w:val="006162AA"/>
    <w:rsid w:val="0061660B"/>
    <w:rsid w:val="0061661A"/>
    <w:rsid w:val="0061669E"/>
    <w:rsid w:val="006167C8"/>
    <w:rsid w:val="00616932"/>
    <w:rsid w:val="0061696C"/>
    <w:rsid w:val="00616A6D"/>
    <w:rsid w:val="00616A7D"/>
    <w:rsid w:val="00616B7E"/>
    <w:rsid w:val="00616C94"/>
    <w:rsid w:val="00616D6D"/>
    <w:rsid w:val="00616E27"/>
    <w:rsid w:val="00616E3E"/>
    <w:rsid w:val="00616E4A"/>
    <w:rsid w:val="00616E74"/>
    <w:rsid w:val="006170A1"/>
    <w:rsid w:val="0061714D"/>
    <w:rsid w:val="00617196"/>
    <w:rsid w:val="0061728F"/>
    <w:rsid w:val="0061733D"/>
    <w:rsid w:val="00617352"/>
    <w:rsid w:val="00617406"/>
    <w:rsid w:val="00617410"/>
    <w:rsid w:val="006177C9"/>
    <w:rsid w:val="006177F8"/>
    <w:rsid w:val="00617973"/>
    <w:rsid w:val="00617A60"/>
    <w:rsid w:val="00617CCD"/>
    <w:rsid w:val="00617E2D"/>
    <w:rsid w:val="00617F79"/>
    <w:rsid w:val="006200A6"/>
    <w:rsid w:val="006200F1"/>
    <w:rsid w:val="006201B4"/>
    <w:rsid w:val="006201BB"/>
    <w:rsid w:val="00620205"/>
    <w:rsid w:val="0062040D"/>
    <w:rsid w:val="006204A1"/>
    <w:rsid w:val="0062050B"/>
    <w:rsid w:val="00620682"/>
    <w:rsid w:val="006206B8"/>
    <w:rsid w:val="006208AB"/>
    <w:rsid w:val="00620AFC"/>
    <w:rsid w:val="00620B00"/>
    <w:rsid w:val="00620B34"/>
    <w:rsid w:val="00620EC8"/>
    <w:rsid w:val="00620F2E"/>
    <w:rsid w:val="00620F56"/>
    <w:rsid w:val="0062112D"/>
    <w:rsid w:val="00621159"/>
    <w:rsid w:val="0062119F"/>
    <w:rsid w:val="006211B5"/>
    <w:rsid w:val="006212D5"/>
    <w:rsid w:val="00621320"/>
    <w:rsid w:val="006213C6"/>
    <w:rsid w:val="006213DA"/>
    <w:rsid w:val="006213E6"/>
    <w:rsid w:val="00621544"/>
    <w:rsid w:val="0062161F"/>
    <w:rsid w:val="0062170B"/>
    <w:rsid w:val="006217C5"/>
    <w:rsid w:val="00621894"/>
    <w:rsid w:val="006218BE"/>
    <w:rsid w:val="00621942"/>
    <w:rsid w:val="00621981"/>
    <w:rsid w:val="006219E1"/>
    <w:rsid w:val="00621A4C"/>
    <w:rsid w:val="00621AB4"/>
    <w:rsid w:val="00621AC9"/>
    <w:rsid w:val="00621ACA"/>
    <w:rsid w:val="00621B23"/>
    <w:rsid w:val="00621C36"/>
    <w:rsid w:val="00621CB9"/>
    <w:rsid w:val="00621CF8"/>
    <w:rsid w:val="00621EA8"/>
    <w:rsid w:val="00621EDD"/>
    <w:rsid w:val="00621F04"/>
    <w:rsid w:val="00621F19"/>
    <w:rsid w:val="00621F5B"/>
    <w:rsid w:val="006221B6"/>
    <w:rsid w:val="0062246C"/>
    <w:rsid w:val="0062258B"/>
    <w:rsid w:val="0062266C"/>
    <w:rsid w:val="0062269C"/>
    <w:rsid w:val="00622715"/>
    <w:rsid w:val="0062276C"/>
    <w:rsid w:val="006227B8"/>
    <w:rsid w:val="006227F2"/>
    <w:rsid w:val="006228EB"/>
    <w:rsid w:val="006229DF"/>
    <w:rsid w:val="00622A27"/>
    <w:rsid w:val="00622A31"/>
    <w:rsid w:val="00622B03"/>
    <w:rsid w:val="00622B0D"/>
    <w:rsid w:val="00622BBF"/>
    <w:rsid w:val="00622C90"/>
    <w:rsid w:val="00622D09"/>
    <w:rsid w:val="00622D42"/>
    <w:rsid w:val="00622DA1"/>
    <w:rsid w:val="00622E66"/>
    <w:rsid w:val="00622EA2"/>
    <w:rsid w:val="00622F13"/>
    <w:rsid w:val="00622F63"/>
    <w:rsid w:val="00622FFF"/>
    <w:rsid w:val="00623060"/>
    <w:rsid w:val="00623083"/>
    <w:rsid w:val="006230F6"/>
    <w:rsid w:val="00623183"/>
    <w:rsid w:val="00623230"/>
    <w:rsid w:val="00623362"/>
    <w:rsid w:val="00623402"/>
    <w:rsid w:val="006234F0"/>
    <w:rsid w:val="006235C7"/>
    <w:rsid w:val="006235DD"/>
    <w:rsid w:val="00623826"/>
    <w:rsid w:val="0062399D"/>
    <w:rsid w:val="006239F8"/>
    <w:rsid w:val="00623A01"/>
    <w:rsid w:val="00623A07"/>
    <w:rsid w:val="00623A16"/>
    <w:rsid w:val="00623A6D"/>
    <w:rsid w:val="00623A7C"/>
    <w:rsid w:val="00623BBB"/>
    <w:rsid w:val="00623BD0"/>
    <w:rsid w:val="00623CD8"/>
    <w:rsid w:val="00623D56"/>
    <w:rsid w:val="00623F26"/>
    <w:rsid w:val="00623F32"/>
    <w:rsid w:val="00623FA2"/>
    <w:rsid w:val="00624295"/>
    <w:rsid w:val="00624326"/>
    <w:rsid w:val="00624365"/>
    <w:rsid w:val="006244F9"/>
    <w:rsid w:val="0062458F"/>
    <w:rsid w:val="00624640"/>
    <w:rsid w:val="00624646"/>
    <w:rsid w:val="006246F6"/>
    <w:rsid w:val="0062477B"/>
    <w:rsid w:val="00624947"/>
    <w:rsid w:val="00624956"/>
    <w:rsid w:val="006249BF"/>
    <w:rsid w:val="00624A72"/>
    <w:rsid w:val="00624AF4"/>
    <w:rsid w:val="00624B34"/>
    <w:rsid w:val="00624B83"/>
    <w:rsid w:val="00624BE2"/>
    <w:rsid w:val="00624C73"/>
    <w:rsid w:val="00624D2F"/>
    <w:rsid w:val="00624EA0"/>
    <w:rsid w:val="00624FC1"/>
    <w:rsid w:val="006250C2"/>
    <w:rsid w:val="006251F3"/>
    <w:rsid w:val="00625262"/>
    <w:rsid w:val="006252B0"/>
    <w:rsid w:val="006252D9"/>
    <w:rsid w:val="00625337"/>
    <w:rsid w:val="0062540A"/>
    <w:rsid w:val="0062548E"/>
    <w:rsid w:val="006254E9"/>
    <w:rsid w:val="00625519"/>
    <w:rsid w:val="00625566"/>
    <w:rsid w:val="006255A8"/>
    <w:rsid w:val="006255AA"/>
    <w:rsid w:val="006256AD"/>
    <w:rsid w:val="006256E7"/>
    <w:rsid w:val="0062579A"/>
    <w:rsid w:val="00625847"/>
    <w:rsid w:val="00625850"/>
    <w:rsid w:val="006258E1"/>
    <w:rsid w:val="0062592E"/>
    <w:rsid w:val="00625B71"/>
    <w:rsid w:val="00625B93"/>
    <w:rsid w:val="00625C25"/>
    <w:rsid w:val="00625CAD"/>
    <w:rsid w:val="00625D4A"/>
    <w:rsid w:val="00625EFD"/>
    <w:rsid w:val="00625F0E"/>
    <w:rsid w:val="00625FC5"/>
    <w:rsid w:val="00625FCA"/>
    <w:rsid w:val="00626142"/>
    <w:rsid w:val="00626144"/>
    <w:rsid w:val="0062614C"/>
    <w:rsid w:val="006263DA"/>
    <w:rsid w:val="0062642C"/>
    <w:rsid w:val="00626481"/>
    <w:rsid w:val="006264B8"/>
    <w:rsid w:val="00626567"/>
    <w:rsid w:val="006265DC"/>
    <w:rsid w:val="0062698B"/>
    <w:rsid w:val="006269DC"/>
    <w:rsid w:val="00626A3D"/>
    <w:rsid w:val="00626A4E"/>
    <w:rsid w:val="00626A96"/>
    <w:rsid w:val="00626A98"/>
    <w:rsid w:val="00626AD6"/>
    <w:rsid w:val="00626B25"/>
    <w:rsid w:val="00626B6D"/>
    <w:rsid w:val="00626BBC"/>
    <w:rsid w:val="00626DE3"/>
    <w:rsid w:val="00626EB6"/>
    <w:rsid w:val="00626F88"/>
    <w:rsid w:val="00626FA0"/>
    <w:rsid w:val="00627019"/>
    <w:rsid w:val="00627196"/>
    <w:rsid w:val="00627320"/>
    <w:rsid w:val="00627485"/>
    <w:rsid w:val="0062750B"/>
    <w:rsid w:val="006275A1"/>
    <w:rsid w:val="006275AA"/>
    <w:rsid w:val="006275B6"/>
    <w:rsid w:val="00627734"/>
    <w:rsid w:val="00627808"/>
    <w:rsid w:val="0062785D"/>
    <w:rsid w:val="00627897"/>
    <w:rsid w:val="006278A5"/>
    <w:rsid w:val="0062790E"/>
    <w:rsid w:val="00627940"/>
    <w:rsid w:val="00627A6E"/>
    <w:rsid w:val="00627B91"/>
    <w:rsid w:val="00627C57"/>
    <w:rsid w:val="00627CFF"/>
    <w:rsid w:val="00627D36"/>
    <w:rsid w:val="00627D98"/>
    <w:rsid w:val="00627DD6"/>
    <w:rsid w:val="00627ED1"/>
    <w:rsid w:val="00627FB0"/>
    <w:rsid w:val="00627FBC"/>
    <w:rsid w:val="006300B3"/>
    <w:rsid w:val="006300BE"/>
    <w:rsid w:val="006300F0"/>
    <w:rsid w:val="006300F1"/>
    <w:rsid w:val="00630111"/>
    <w:rsid w:val="00630212"/>
    <w:rsid w:val="00630266"/>
    <w:rsid w:val="00630298"/>
    <w:rsid w:val="006302DD"/>
    <w:rsid w:val="006305EC"/>
    <w:rsid w:val="00630717"/>
    <w:rsid w:val="006307BB"/>
    <w:rsid w:val="00630825"/>
    <w:rsid w:val="0063089A"/>
    <w:rsid w:val="006308A8"/>
    <w:rsid w:val="006308E9"/>
    <w:rsid w:val="006308EE"/>
    <w:rsid w:val="00630951"/>
    <w:rsid w:val="00630980"/>
    <w:rsid w:val="006309F6"/>
    <w:rsid w:val="00630A24"/>
    <w:rsid w:val="00630B33"/>
    <w:rsid w:val="00630B6F"/>
    <w:rsid w:val="00630BE0"/>
    <w:rsid w:val="00630C32"/>
    <w:rsid w:val="00630C79"/>
    <w:rsid w:val="00630E25"/>
    <w:rsid w:val="00630E38"/>
    <w:rsid w:val="00630E81"/>
    <w:rsid w:val="00631170"/>
    <w:rsid w:val="006311AC"/>
    <w:rsid w:val="006311FE"/>
    <w:rsid w:val="0063130B"/>
    <w:rsid w:val="0063136F"/>
    <w:rsid w:val="00631498"/>
    <w:rsid w:val="006316E3"/>
    <w:rsid w:val="00631764"/>
    <w:rsid w:val="00631853"/>
    <w:rsid w:val="00631A19"/>
    <w:rsid w:val="00631CE2"/>
    <w:rsid w:val="00631D53"/>
    <w:rsid w:val="00631D82"/>
    <w:rsid w:val="00631E87"/>
    <w:rsid w:val="00631ED2"/>
    <w:rsid w:val="00631F8F"/>
    <w:rsid w:val="00632060"/>
    <w:rsid w:val="006320C4"/>
    <w:rsid w:val="0063211B"/>
    <w:rsid w:val="00632183"/>
    <w:rsid w:val="0063224C"/>
    <w:rsid w:val="0063226C"/>
    <w:rsid w:val="00632274"/>
    <w:rsid w:val="0063264F"/>
    <w:rsid w:val="00632658"/>
    <w:rsid w:val="006328D3"/>
    <w:rsid w:val="00632905"/>
    <w:rsid w:val="00632909"/>
    <w:rsid w:val="00632AEE"/>
    <w:rsid w:val="00632AFB"/>
    <w:rsid w:val="00632B21"/>
    <w:rsid w:val="00632C38"/>
    <w:rsid w:val="00632D2D"/>
    <w:rsid w:val="00632DAF"/>
    <w:rsid w:val="00632DDD"/>
    <w:rsid w:val="00632EC3"/>
    <w:rsid w:val="006330EF"/>
    <w:rsid w:val="0063315F"/>
    <w:rsid w:val="006331E3"/>
    <w:rsid w:val="0063336F"/>
    <w:rsid w:val="006334F9"/>
    <w:rsid w:val="00633503"/>
    <w:rsid w:val="0063355E"/>
    <w:rsid w:val="00633563"/>
    <w:rsid w:val="006335CE"/>
    <w:rsid w:val="0063374D"/>
    <w:rsid w:val="0063385E"/>
    <w:rsid w:val="00633880"/>
    <w:rsid w:val="0063388F"/>
    <w:rsid w:val="006338F2"/>
    <w:rsid w:val="00633937"/>
    <w:rsid w:val="00633A51"/>
    <w:rsid w:val="00633AD8"/>
    <w:rsid w:val="00633B86"/>
    <w:rsid w:val="00633BA3"/>
    <w:rsid w:val="00633BEE"/>
    <w:rsid w:val="00633D1C"/>
    <w:rsid w:val="00633E6D"/>
    <w:rsid w:val="00633F66"/>
    <w:rsid w:val="0063431D"/>
    <w:rsid w:val="00634343"/>
    <w:rsid w:val="006343D4"/>
    <w:rsid w:val="00634478"/>
    <w:rsid w:val="006344A9"/>
    <w:rsid w:val="00634584"/>
    <w:rsid w:val="006345B6"/>
    <w:rsid w:val="006347AF"/>
    <w:rsid w:val="00634A6D"/>
    <w:rsid w:val="00634B40"/>
    <w:rsid w:val="00634B99"/>
    <w:rsid w:val="00634BAC"/>
    <w:rsid w:val="00634C30"/>
    <w:rsid w:val="00634CAA"/>
    <w:rsid w:val="00634CE1"/>
    <w:rsid w:val="00634DC9"/>
    <w:rsid w:val="00634E2A"/>
    <w:rsid w:val="00634E62"/>
    <w:rsid w:val="00634ECC"/>
    <w:rsid w:val="00634F79"/>
    <w:rsid w:val="00634FE9"/>
    <w:rsid w:val="00634FFF"/>
    <w:rsid w:val="006350F8"/>
    <w:rsid w:val="00635159"/>
    <w:rsid w:val="00635166"/>
    <w:rsid w:val="006352CE"/>
    <w:rsid w:val="006352CF"/>
    <w:rsid w:val="00635359"/>
    <w:rsid w:val="006353C5"/>
    <w:rsid w:val="0063571A"/>
    <w:rsid w:val="00635773"/>
    <w:rsid w:val="00635885"/>
    <w:rsid w:val="00635902"/>
    <w:rsid w:val="00635951"/>
    <w:rsid w:val="00635B86"/>
    <w:rsid w:val="00635B9D"/>
    <w:rsid w:val="00635C81"/>
    <w:rsid w:val="00635D46"/>
    <w:rsid w:val="00635D84"/>
    <w:rsid w:val="00635E4F"/>
    <w:rsid w:val="00635E93"/>
    <w:rsid w:val="00635EB2"/>
    <w:rsid w:val="00635F0D"/>
    <w:rsid w:val="006360B8"/>
    <w:rsid w:val="006360C1"/>
    <w:rsid w:val="00636163"/>
    <w:rsid w:val="00636224"/>
    <w:rsid w:val="0063623C"/>
    <w:rsid w:val="00636271"/>
    <w:rsid w:val="00636379"/>
    <w:rsid w:val="0063638F"/>
    <w:rsid w:val="006365EF"/>
    <w:rsid w:val="006365FE"/>
    <w:rsid w:val="006366AF"/>
    <w:rsid w:val="0063671A"/>
    <w:rsid w:val="006368DA"/>
    <w:rsid w:val="0063696B"/>
    <w:rsid w:val="006369B0"/>
    <w:rsid w:val="006369BE"/>
    <w:rsid w:val="00636A63"/>
    <w:rsid w:val="00636B2A"/>
    <w:rsid w:val="00636BC8"/>
    <w:rsid w:val="00636C96"/>
    <w:rsid w:val="00636CC9"/>
    <w:rsid w:val="00636CFF"/>
    <w:rsid w:val="00636F02"/>
    <w:rsid w:val="00636F62"/>
    <w:rsid w:val="00636F89"/>
    <w:rsid w:val="00637024"/>
    <w:rsid w:val="00637049"/>
    <w:rsid w:val="0063712D"/>
    <w:rsid w:val="00637140"/>
    <w:rsid w:val="00637170"/>
    <w:rsid w:val="00637185"/>
    <w:rsid w:val="006371D3"/>
    <w:rsid w:val="006372D6"/>
    <w:rsid w:val="006372E9"/>
    <w:rsid w:val="0063735E"/>
    <w:rsid w:val="006373A2"/>
    <w:rsid w:val="0063775C"/>
    <w:rsid w:val="00637764"/>
    <w:rsid w:val="00637805"/>
    <w:rsid w:val="0063784E"/>
    <w:rsid w:val="00637863"/>
    <w:rsid w:val="00637899"/>
    <w:rsid w:val="0063790C"/>
    <w:rsid w:val="006379E0"/>
    <w:rsid w:val="00637A3A"/>
    <w:rsid w:val="00637A54"/>
    <w:rsid w:val="00637A8A"/>
    <w:rsid w:val="00637B99"/>
    <w:rsid w:val="00637BCE"/>
    <w:rsid w:val="00637C58"/>
    <w:rsid w:val="00637CB8"/>
    <w:rsid w:val="00637CFA"/>
    <w:rsid w:val="00637D77"/>
    <w:rsid w:val="00637E66"/>
    <w:rsid w:val="00637EB7"/>
    <w:rsid w:val="00637F7C"/>
    <w:rsid w:val="00637F8E"/>
    <w:rsid w:val="00637FE3"/>
    <w:rsid w:val="0064004A"/>
    <w:rsid w:val="006400D3"/>
    <w:rsid w:val="006400F5"/>
    <w:rsid w:val="0064019B"/>
    <w:rsid w:val="006401CD"/>
    <w:rsid w:val="00640244"/>
    <w:rsid w:val="006402B4"/>
    <w:rsid w:val="00640382"/>
    <w:rsid w:val="006403C3"/>
    <w:rsid w:val="0064041A"/>
    <w:rsid w:val="00640537"/>
    <w:rsid w:val="00640879"/>
    <w:rsid w:val="006408A3"/>
    <w:rsid w:val="0064090E"/>
    <w:rsid w:val="00640950"/>
    <w:rsid w:val="00640AF0"/>
    <w:rsid w:val="00640B71"/>
    <w:rsid w:val="00640B76"/>
    <w:rsid w:val="00640C53"/>
    <w:rsid w:val="00640F40"/>
    <w:rsid w:val="00640FAB"/>
    <w:rsid w:val="00641020"/>
    <w:rsid w:val="006411BD"/>
    <w:rsid w:val="00641546"/>
    <w:rsid w:val="006415DF"/>
    <w:rsid w:val="006415F7"/>
    <w:rsid w:val="0064179C"/>
    <w:rsid w:val="0064182A"/>
    <w:rsid w:val="00641861"/>
    <w:rsid w:val="00641884"/>
    <w:rsid w:val="00641AE8"/>
    <w:rsid w:val="00641B29"/>
    <w:rsid w:val="00641BB0"/>
    <w:rsid w:val="00641D22"/>
    <w:rsid w:val="00641D43"/>
    <w:rsid w:val="00641DC8"/>
    <w:rsid w:val="00641DD3"/>
    <w:rsid w:val="00641F27"/>
    <w:rsid w:val="0064207E"/>
    <w:rsid w:val="00642095"/>
    <w:rsid w:val="006420F2"/>
    <w:rsid w:val="00642150"/>
    <w:rsid w:val="0064243D"/>
    <w:rsid w:val="0064251E"/>
    <w:rsid w:val="00642697"/>
    <w:rsid w:val="006426BD"/>
    <w:rsid w:val="0064271D"/>
    <w:rsid w:val="006427D8"/>
    <w:rsid w:val="00642880"/>
    <w:rsid w:val="006428AD"/>
    <w:rsid w:val="0064294A"/>
    <w:rsid w:val="00642983"/>
    <w:rsid w:val="00642A04"/>
    <w:rsid w:val="00642A28"/>
    <w:rsid w:val="00642A5F"/>
    <w:rsid w:val="00642A7C"/>
    <w:rsid w:val="00642ADA"/>
    <w:rsid w:val="00642BED"/>
    <w:rsid w:val="00642D19"/>
    <w:rsid w:val="00642D2D"/>
    <w:rsid w:val="00642DF6"/>
    <w:rsid w:val="00642F80"/>
    <w:rsid w:val="00642FFE"/>
    <w:rsid w:val="006431B8"/>
    <w:rsid w:val="006431C4"/>
    <w:rsid w:val="006432B4"/>
    <w:rsid w:val="006432D2"/>
    <w:rsid w:val="006432DE"/>
    <w:rsid w:val="00643346"/>
    <w:rsid w:val="0064338E"/>
    <w:rsid w:val="006434EC"/>
    <w:rsid w:val="0064354F"/>
    <w:rsid w:val="00643594"/>
    <w:rsid w:val="00643635"/>
    <w:rsid w:val="0064366B"/>
    <w:rsid w:val="006436B3"/>
    <w:rsid w:val="00643737"/>
    <w:rsid w:val="0064373C"/>
    <w:rsid w:val="0064376F"/>
    <w:rsid w:val="006437C9"/>
    <w:rsid w:val="00643896"/>
    <w:rsid w:val="006438DC"/>
    <w:rsid w:val="006439EA"/>
    <w:rsid w:val="00643BAE"/>
    <w:rsid w:val="00643C51"/>
    <w:rsid w:val="00643C5A"/>
    <w:rsid w:val="00643C66"/>
    <w:rsid w:val="00643C73"/>
    <w:rsid w:val="00643D44"/>
    <w:rsid w:val="00643FB2"/>
    <w:rsid w:val="00643FF8"/>
    <w:rsid w:val="006441A8"/>
    <w:rsid w:val="0064433E"/>
    <w:rsid w:val="006443B4"/>
    <w:rsid w:val="006443F2"/>
    <w:rsid w:val="00644442"/>
    <w:rsid w:val="00644620"/>
    <w:rsid w:val="006446FE"/>
    <w:rsid w:val="0064471C"/>
    <w:rsid w:val="006448C4"/>
    <w:rsid w:val="006449AE"/>
    <w:rsid w:val="00644A13"/>
    <w:rsid w:val="00644B0D"/>
    <w:rsid w:val="00644B70"/>
    <w:rsid w:val="00644C78"/>
    <w:rsid w:val="00644D41"/>
    <w:rsid w:val="00644D73"/>
    <w:rsid w:val="00644DE3"/>
    <w:rsid w:val="00644DF6"/>
    <w:rsid w:val="00644EE7"/>
    <w:rsid w:val="0064503F"/>
    <w:rsid w:val="006450A0"/>
    <w:rsid w:val="00645204"/>
    <w:rsid w:val="006452E2"/>
    <w:rsid w:val="00645303"/>
    <w:rsid w:val="006454DD"/>
    <w:rsid w:val="00645656"/>
    <w:rsid w:val="00645789"/>
    <w:rsid w:val="006457B6"/>
    <w:rsid w:val="0064584A"/>
    <w:rsid w:val="006459E2"/>
    <w:rsid w:val="00645A2C"/>
    <w:rsid w:val="00645B9D"/>
    <w:rsid w:val="00645CDA"/>
    <w:rsid w:val="00645CFF"/>
    <w:rsid w:val="00645D16"/>
    <w:rsid w:val="00645D7A"/>
    <w:rsid w:val="00645E9E"/>
    <w:rsid w:val="00645F11"/>
    <w:rsid w:val="00645F96"/>
    <w:rsid w:val="00646094"/>
    <w:rsid w:val="00646198"/>
    <w:rsid w:val="0064629D"/>
    <w:rsid w:val="006462B1"/>
    <w:rsid w:val="00646366"/>
    <w:rsid w:val="0064652A"/>
    <w:rsid w:val="0064659A"/>
    <w:rsid w:val="006465BD"/>
    <w:rsid w:val="006466BB"/>
    <w:rsid w:val="006466C8"/>
    <w:rsid w:val="00646755"/>
    <w:rsid w:val="00646814"/>
    <w:rsid w:val="00646993"/>
    <w:rsid w:val="00646A31"/>
    <w:rsid w:val="00646A8F"/>
    <w:rsid w:val="00646AA6"/>
    <w:rsid w:val="00646AD3"/>
    <w:rsid w:val="00646BCF"/>
    <w:rsid w:val="00646CE9"/>
    <w:rsid w:val="00646D19"/>
    <w:rsid w:val="00646D7F"/>
    <w:rsid w:val="00646DF8"/>
    <w:rsid w:val="00646E60"/>
    <w:rsid w:val="00646E94"/>
    <w:rsid w:val="00646EA1"/>
    <w:rsid w:val="00646F28"/>
    <w:rsid w:val="00646F67"/>
    <w:rsid w:val="0064703F"/>
    <w:rsid w:val="00647155"/>
    <w:rsid w:val="00647196"/>
    <w:rsid w:val="00647217"/>
    <w:rsid w:val="00647250"/>
    <w:rsid w:val="006473AD"/>
    <w:rsid w:val="0064759B"/>
    <w:rsid w:val="00647655"/>
    <w:rsid w:val="006476A5"/>
    <w:rsid w:val="006476A9"/>
    <w:rsid w:val="00647736"/>
    <w:rsid w:val="00647763"/>
    <w:rsid w:val="006477CA"/>
    <w:rsid w:val="00647807"/>
    <w:rsid w:val="006478F2"/>
    <w:rsid w:val="006479EF"/>
    <w:rsid w:val="00647C10"/>
    <w:rsid w:val="00647CC7"/>
    <w:rsid w:val="00647D30"/>
    <w:rsid w:val="00647E91"/>
    <w:rsid w:val="00647EE5"/>
    <w:rsid w:val="00647FAB"/>
    <w:rsid w:val="00647FB1"/>
    <w:rsid w:val="0065007E"/>
    <w:rsid w:val="00650130"/>
    <w:rsid w:val="00650154"/>
    <w:rsid w:val="006501F8"/>
    <w:rsid w:val="00650219"/>
    <w:rsid w:val="0065025A"/>
    <w:rsid w:val="006502D6"/>
    <w:rsid w:val="006502FA"/>
    <w:rsid w:val="0065031D"/>
    <w:rsid w:val="00650496"/>
    <w:rsid w:val="0065051A"/>
    <w:rsid w:val="00650683"/>
    <w:rsid w:val="006506B1"/>
    <w:rsid w:val="006507ED"/>
    <w:rsid w:val="00650810"/>
    <w:rsid w:val="00650890"/>
    <w:rsid w:val="0065091F"/>
    <w:rsid w:val="0065095C"/>
    <w:rsid w:val="0065095D"/>
    <w:rsid w:val="00650AAC"/>
    <w:rsid w:val="00650B3D"/>
    <w:rsid w:val="00650BA4"/>
    <w:rsid w:val="00650C4D"/>
    <w:rsid w:val="00650CAC"/>
    <w:rsid w:val="00650D3B"/>
    <w:rsid w:val="00650D67"/>
    <w:rsid w:val="00650DC7"/>
    <w:rsid w:val="00650E2B"/>
    <w:rsid w:val="006510F0"/>
    <w:rsid w:val="00651136"/>
    <w:rsid w:val="00651260"/>
    <w:rsid w:val="00651301"/>
    <w:rsid w:val="00651334"/>
    <w:rsid w:val="00651350"/>
    <w:rsid w:val="006513D9"/>
    <w:rsid w:val="0065140B"/>
    <w:rsid w:val="00651565"/>
    <w:rsid w:val="00651580"/>
    <w:rsid w:val="00651617"/>
    <w:rsid w:val="00651645"/>
    <w:rsid w:val="00651663"/>
    <w:rsid w:val="00651668"/>
    <w:rsid w:val="00651769"/>
    <w:rsid w:val="00651779"/>
    <w:rsid w:val="00651819"/>
    <w:rsid w:val="00651911"/>
    <w:rsid w:val="00651936"/>
    <w:rsid w:val="006519AE"/>
    <w:rsid w:val="006519B6"/>
    <w:rsid w:val="00651A7C"/>
    <w:rsid w:val="00651B6F"/>
    <w:rsid w:val="00651C67"/>
    <w:rsid w:val="00651D1E"/>
    <w:rsid w:val="00651E14"/>
    <w:rsid w:val="00651F00"/>
    <w:rsid w:val="00652009"/>
    <w:rsid w:val="00652060"/>
    <w:rsid w:val="006521B2"/>
    <w:rsid w:val="00652255"/>
    <w:rsid w:val="00652268"/>
    <w:rsid w:val="0065227A"/>
    <w:rsid w:val="00652288"/>
    <w:rsid w:val="006522B1"/>
    <w:rsid w:val="00652316"/>
    <w:rsid w:val="006524E0"/>
    <w:rsid w:val="0065260F"/>
    <w:rsid w:val="00652646"/>
    <w:rsid w:val="0065267F"/>
    <w:rsid w:val="006526AE"/>
    <w:rsid w:val="00652783"/>
    <w:rsid w:val="00652966"/>
    <w:rsid w:val="006529DF"/>
    <w:rsid w:val="00652A0E"/>
    <w:rsid w:val="00652C33"/>
    <w:rsid w:val="00652CA7"/>
    <w:rsid w:val="00652D15"/>
    <w:rsid w:val="00652E8D"/>
    <w:rsid w:val="00652EC3"/>
    <w:rsid w:val="00652F6C"/>
    <w:rsid w:val="00652F8F"/>
    <w:rsid w:val="00653146"/>
    <w:rsid w:val="006531F4"/>
    <w:rsid w:val="006533B3"/>
    <w:rsid w:val="006533D8"/>
    <w:rsid w:val="00653438"/>
    <w:rsid w:val="00653447"/>
    <w:rsid w:val="0065344C"/>
    <w:rsid w:val="0065364A"/>
    <w:rsid w:val="00653680"/>
    <w:rsid w:val="006536F1"/>
    <w:rsid w:val="006537A0"/>
    <w:rsid w:val="006537B7"/>
    <w:rsid w:val="006538D1"/>
    <w:rsid w:val="0065390D"/>
    <w:rsid w:val="00653C1F"/>
    <w:rsid w:val="00653D3C"/>
    <w:rsid w:val="00653D44"/>
    <w:rsid w:val="00653D8D"/>
    <w:rsid w:val="00653DFE"/>
    <w:rsid w:val="00653E52"/>
    <w:rsid w:val="00653E8C"/>
    <w:rsid w:val="00653EAB"/>
    <w:rsid w:val="00653F24"/>
    <w:rsid w:val="006540C4"/>
    <w:rsid w:val="0065423A"/>
    <w:rsid w:val="006542D4"/>
    <w:rsid w:val="006543A2"/>
    <w:rsid w:val="006543D5"/>
    <w:rsid w:val="0065467C"/>
    <w:rsid w:val="0065468E"/>
    <w:rsid w:val="006546EF"/>
    <w:rsid w:val="00654710"/>
    <w:rsid w:val="00654855"/>
    <w:rsid w:val="00654A0E"/>
    <w:rsid w:val="00654A2C"/>
    <w:rsid w:val="00654A38"/>
    <w:rsid w:val="00654A90"/>
    <w:rsid w:val="00654ACA"/>
    <w:rsid w:val="00654C3D"/>
    <w:rsid w:val="00654FAB"/>
    <w:rsid w:val="0065506B"/>
    <w:rsid w:val="006550B3"/>
    <w:rsid w:val="006552E6"/>
    <w:rsid w:val="00655333"/>
    <w:rsid w:val="0065533A"/>
    <w:rsid w:val="0065535F"/>
    <w:rsid w:val="0065536B"/>
    <w:rsid w:val="006553D6"/>
    <w:rsid w:val="0065550F"/>
    <w:rsid w:val="00655581"/>
    <w:rsid w:val="0065559A"/>
    <w:rsid w:val="0065561D"/>
    <w:rsid w:val="00655641"/>
    <w:rsid w:val="006556DF"/>
    <w:rsid w:val="00655712"/>
    <w:rsid w:val="00655785"/>
    <w:rsid w:val="00655844"/>
    <w:rsid w:val="00655890"/>
    <w:rsid w:val="006559F7"/>
    <w:rsid w:val="00655A79"/>
    <w:rsid w:val="00655AC6"/>
    <w:rsid w:val="00655AD5"/>
    <w:rsid w:val="00655AF9"/>
    <w:rsid w:val="00655D12"/>
    <w:rsid w:val="00655D73"/>
    <w:rsid w:val="00655DFF"/>
    <w:rsid w:val="00655E75"/>
    <w:rsid w:val="00655F11"/>
    <w:rsid w:val="00655FAA"/>
    <w:rsid w:val="0065611C"/>
    <w:rsid w:val="0065616C"/>
    <w:rsid w:val="00656198"/>
    <w:rsid w:val="0065627F"/>
    <w:rsid w:val="006562E2"/>
    <w:rsid w:val="0065632E"/>
    <w:rsid w:val="006563DD"/>
    <w:rsid w:val="006564F7"/>
    <w:rsid w:val="00656500"/>
    <w:rsid w:val="00656511"/>
    <w:rsid w:val="00656565"/>
    <w:rsid w:val="006565CF"/>
    <w:rsid w:val="0065663F"/>
    <w:rsid w:val="0065673C"/>
    <w:rsid w:val="00656AC7"/>
    <w:rsid w:val="00656B71"/>
    <w:rsid w:val="00656C08"/>
    <w:rsid w:val="00656C88"/>
    <w:rsid w:val="00656EB6"/>
    <w:rsid w:val="00656EF9"/>
    <w:rsid w:val="00656FBC"/>
    <w:rsid w:val="006570C4"/>
    <w:rsid w:val="006570D8"/>
    <w:rsid w:val="00657104"/>
    <w:rsid w:val="006572AE"/>
    <w:rsid w:val="006573EB"/>
    <w:rsid w:val="0065742F"/>
    <w:rsid w:val="00657472"/>
    <w:rsid w:val="0065761A"/>
    <w:rsid w:val="00657747"/>
    <w:rsid w:val="0065775E"/>
    <w:rsid w:val="00657762"/>
    <w:rsid w:val="00657766"/>
    <w:rsid w:val="0065776D"/>
    <w:rsid w:val="00657927"/>
    <w:rsid w:val="006579E1"/>
    <w:rsid w:val="00657A0A"/>
    <w:rsid w:val="00657A85"/>
    <w:rsid w:val="00657B74"/>
    <w:rsid w:val="00657B8A"/>
    <w:rsid w:val="00657BBD"/>
    <w:rsid w:val="00657D4A"/>
    <w:rsid w:val="00657D50"/>
    <w:rsid w:val="00657E95"/>
    <w:rsid w:val="00660037"/>
    <w:rsid w:val="006600E0"/>
    <w:rsid w:val="006601DB"/>
    <w:rsid w:val="0066020D"/>
    <w:rsid w:val="0066026C"/>
    <w:rsid w:val="00660516"/>
    <w:rsid w:val="006605DD"/>
    <w:rsid w:val="006605F9"/>
    <w:rsid w:val="00660670"/>
    <w:rsid w:val="00660701"/>
    <w:rsid w:val="006609C7"/>
    <w:rsid w:val="006609DC"/>
    <w:rsid w:val="00660A21"/>
    <w:rsid w:val="00660A38"/>
    <w:rsid w:val="00660B3D"/>
    <w:rsid w:val="00660BBC"/>
    <w:rsid w:val="00660C9C"/>
    <w:rsid w:val="00660CB4"/>
    <w:rsid w:val="00660D9F"/>
    <w:rsid w:val="006610B1"/>
    <w:rsid w:val="00661190"/>
    <w:rsid w:val="00661238"/>
    <w:rsid w:val="0066125E"/>
    <w:rsid w:val="0066129E"/>
    <w:rsid w:val="006612A7"/>
    <w:rsid w:val="006614E4"/>
    <w:rsid w:val="00661580"/>
    <w:rsid w:val="006616C8"/>
    <w:rsid w:val="0066180E"/>
    <w:rsid w:val="0066186F"/>
    <w:rsid w:val="00661898"/>
    <w:rsid w:val="00661926"/>
    <w:rsid w:val="0066192D"/>
    <w:rsid w:val="00661990"/>
    <w:rsid w:val="006619AB"/>
    <w:rsid w:val="006619E2"/>
    <w:rsid w:val="00661A30"/>
    <w:rsid w:val="00661AB4"/>
    <w:rsid w:val="00661B03"/>
    <w:rsid w:val="00661B62"/>
    <w:rsid w:val="00661BB9"/>
    <w:rsid w:val="00661BBC"/>
    <w:rsid w:val="00661BF2"/>
    <w:rsid w:val="00661C19"/>
    <w:rsid w:val="00661C76"/>
    <w:rsid w:val="00661D08"/>
    <w:rsid w:val="00661D53"/>
    <w:rsid w:val="0066218F"/>
    <w:rsid w:val="006623A6"/>
    <w:rsid w:val="00662565"/>
    <w:rsid w:val="006625E0"/>
    <w:rsid w:val="00662665"/>
    <w:rsid w:val="006628E4"/>
    <w:rsid w:val="00662959"/>
    <w:rsid w:val="00662B7A"/>
    <w:rsid w:val="00662BC9"/>
    <w:rsid w:val="00662BEC"/>
    <w:rsid w:val="00662C7B"/>
    <w:rsid w:val="00662E70"/>
    <w:rsid w:val="00662F3A"/>
    <w:rsid w:val="00662F95"/>
    <w:rsid w:val="00662FA6"/>
    <w:rsid w:val="0066306A"/>
    <w:rsid w:val="0066309C"/>
    <w:rsid w:val="006630E0"/>
    <w:rsid w:val="00663127"/>
    <w:rsid w:val="006631D3"/>
    <w:rsid w:val="00663257"/>
    <w:rsid w:val="00663278"/>
    <w:rsid w:val="0066331C"/>
    <w:rsid w:val="006633D6"/>
    <w:rsid w:val="006634C4"/>
    <w:rsid w:val="00663502"/>
    <w:rsid w:val="0066354F"/>
    <w:rsid w:val="006635C3"/>
    <w:rsid w:val="006636C9"/>
    <w:rsid w:val="006636CF"/>
    <w:rsid w:val="006636DF"/>
    <w:rsid w:val="00663777"/>
    <w:rsid w:val="00663853"/>
    <w:rsid w:val="00663879"/>
    <w:rsid w:val="006638A0"/>
    <w:rsid w:val="00663A47"/>
    <w:rsid w:val="00663B36"/>
    <w:rsid w:val="00663B5D"/>
    <w:rsid w:val="00663B96"/>
    <w:rsid w:val="00663BE3"/>
    <w:rsid w:val="00663C05"/>
    <w:rsid w:val="00663C33"/>
    <w:rsid w:val="00663DEA"/>
    <w:rsid w:val="00663E14"/>
    <w:rsid w:val="00663E35"/>
    <w:rsid w:val="00663F8D"/>
    <w:rsid w:val="00663FB8"/>
    <w:rsid w:val="00664018"/>
    <w:rsid w:val="00664043"/>
    <w:rsid w:val="006640E9"/>
    <w:rsid w:val="00664122"/>
    <w:rsid w:val="00664193"/>
    <w:rsid w:val="006641AD"/>
    <w:rsid w:val="00664310"/>
    <w:rsid w:val="006643F4"/>
    <w:rsid w:val="00664482"/>
    <w:rsid w:val="006645A0"/>
    <w:rsid w:val="00664625"/>
    <w:rsid w:val="00664645"/>
    <w:rsid w:val="006647A0"/>
    <w:rsid w:val="006647C6"/>
    <w:rsid w:val="006647FF"/>
    <w:rsid w:val="006648A9"/>
    <w:rsid w:val="00664906"/>
    <w:rsid w:val="006649D1"/>
    <w:rsid w:val="006649EE"/>
    <w:rsid w:val="00664B66"/>
    <w:rsid w:val="00664C00"/>
    <w:rsid w:val="00664C98"/>
    <w:rsid w:val="00664D01"/>
    <w:rsid w:val="00664D2F"/>
    <w:rsid w:val="00664E97"/>
    <w:rsid w:val="006650B7"/>
    <w:rsid w:val="006651A3"/>
    <w:rsid w:val="00665287"/>
    <w:rsid w:val="00665343"/>
    <w:rsid w:val="006653A2"/>
    <w:rsid w:val="00665423"/>
    <w:rsid w:val="00665434"/>
    <w:rsid w:val="00665553"/>
    <w:rsid w:val="00665623"/>
    <w:rsid w:val="0066564F"/>
    <w:rsid w:val="0066571B"/>
    <w:rsid w:val="0066579C"/>
    <w:rsid w:val="006657C4"/>
    <w:rsid w:val="00665990"/>
    <w:rsid w:val="006659C2"/>
    <w:rsid w:val="00665A13"/>
    <w:rsid w:val="00665A4A"/>
    <w:rsid w:val="00665A52"/>
    <w:rsid w:val="00665A68"/>
    <w:rsid w:val="00665B30"/>
    <w:rsid w:val="00665BF0"/>
    <w:rsid w:val="00665C4C"/>
    <w:rsid w:val="00665C73"/>
    <w:rsid w:val="00665DA7"/>
    <w:rsid w:val="00665F63"/>
    <w:rsid w:val="006661A1"/>
    <w:rsid w:val="0066624D"/>
    <w:rsid w:val="0066639A"/>
    <w:rsid w:val="0066645C"/>
    <w:rsid w:val="00666462"/>
    <w:rsid w:val="006664F0"/>
    <w:rsid w:val="00666642"/>
    <w:rsid w:val="00666660"/>
    <w:rsid w:val="006666E8"/>
    <w:rsid w:val="006668F6"/>
    <w:rsid w:val="0066690B"/>
    <w:rsid w:val="0066697C"/>
    <w:rsid w:val="00666993"/>
    <w:rsid w:val="00666A77"/>
    <w:rsid w:val="00666A97"/>
    <w:rsid w:val="00666AC3"/>
    <w:rsid w:val="00666AE0"/>
    <w:rsid w:val="00666B10"/>
    <w:rsid w:val="00666B20"/>
    <w:rsid w:val="00666B5B"/>
    <w:rsid w:val="00666B8E"/>
    <w:rsid w:val="00666B91"/>
    <w:rsid w:val="00666D2C"/>
    <w:rsid w:val="00666D5B"/>
    <w:rsid w:val="00666D80"/>
    <w:rsid w:val="00666D81"/>
    <w:rsid w:val="00666ED0"/>
    <w:rsid w:val="00667033"/>
    <w:rsid w:val="00667060"/>
    <w:rsid w:val="00667266"/>
    <w:rsid w:val="006673D2"/>
    <w:rsid w:val="00667521"/>
    <w:rsid w:val="0066760A"/>
    <w:rsid w:val="00667642"/>
    <w:rsid w:val="006679D7"/>
    <w:rsid w:val="00667A1B"/>
    <w:rsid w:val="00667A9E"/>
    <w:rsid w:val="00667AB7"/>
    <w:rsid w:val="00667B22"/>
    <w:rsid w:val="00667B4C"/>
    <w:rsid w:val="00667C68"/>
    <w:rsid w:val="00667D4B"/>
    <w:rsid w:val="00667D53"/>
    <w:rsid w:val="00667D59"/>
    <w:rsid w:val="00667D69"/>
    <w:rsid w:val="00667D98"/>
    <w:rsid w:val="00667DE1"/>
    <w:rsid w:val="00667E62"/>
    <w:rsid w:val="00667FA3"/>
    <w:rsid w:val="00667FEB"/>
    <w:rsid w:val="00670047"/>
    <w:rsid w:val="006700E4"/>
    <w:rsid w:val="006700F6"/>
    <w:rsid w:val="006702B3"/>
    <w:rsid w:val="00670340"/>
    <w:rsid w:val="00670381"/>
    <w:rsid w:val="00670393"/>
    <w:rsid w:val="00670477"/>
    <w:rsid w:val="0067058C"/>
    <w:rsid w:val="006705BB"/>
    <w:rsid w:val="006707FB"/>
    <w:rsid w:val="006708F8"/>
    <w:rsid w:val="00670995"/>
    <w:rsid w:val="006709B8"/>
    <w:rsid w:val="00670A34"/>
    <w:rsid w:val="00670A89"/>
    <w:rsid w:val="00670AB8"/>
    <w:rsid w:val="00670AE9"/>
    <w:rsid w:val="00670BBC"/>
    <w:rsid w:val="00670C33"/>
    <w:rsid w:val="00670C86"/>
    <w:rsid w:val="00670D12"/>
    <w:rsid w:val="00670D55"/>
    <w:rsid w:val="00670D6B"/>
    <w:rsid w:val="00670E6F"/>
    <w:rsid w:val="0067101E"/>
    <w:rsid w:val="006710B5"/>
    <w:rsid w:val="006710C1"/>
    <w:rsid w:val="006711CE"/>
    <w:rsid w:val="00671216"/>
    <w:rsid w:val="006714C5"/>
    <w:rsid w:val="006715F3"/>
    <w:rsid w:val="0067162D"/>
    <w:rsid w:val="00671631"/>
    <w:rsid w:val="00671696"/>
    <w:rsid w:val="00671706"/>
    <w:rsid w:val="00671725"/>
    <w:rsid w:val="00671A52"/>
    <w:rsid w:val="00671A94"/>
    <w:rsid w:val="00671C44"/>
    <w:rsid w:val="00671C57"/>
    <w:rsid w:val="00671CCD"/>
    <w:rsid w:val="00671E72"/>
    <w:rsid w:val="00671F47"/>
    <w:rsid w:val="00671F57"/>
    <w:rsid w:val="00671FDC"/>
    <w:rsid w:val="00672015"/>
    <w:rsid w:val="0067208A"/>
    <w:rsid w:val="00672092"/>
    <w:rsid w:val="006721C8"/>
    <w:rsid w:val="006721EF"/>
    <w:rsid w:val="006722D2"/>
    <w:rsid w:val="00672304"/>
    <w:rsid w:val="0067257D"/>
    <w:rsid w:val="006725ED"/>
    <w:rsid w:val="00672690"/>
    <w:rsid w:val="006726A4"/>
    <w:rsid w:val="00672702"/>
    <w:rsid w:val="00672704"/>
    <w:rsid w:val="0067270A"/>
    <w:rsid w:val="006727F8"/>
    <w:rsid w:val="006728BE"/>
    <w:rsid w:val="00672A19"/>
    <w:rsid w:val="00672A42"/>
    <w:rsid w:val="00672A5F"/>
    <w:rsid w:val="00672BCC"/>
    <w:rsid w:val="00672C93"/>
    <w:rsid w:val="00672DB6"/>
    <w:rsid w:val="00672DFE"/>
    <w:rsid w:val="00672E9D"/>
    <w:rsid w:val="00672FF0"/>
    <w:rsid w:val="0067304E"/>
    <w:rsid w:val="00673070"/>
    <w:rsid w:val="00673127"/>
    <w:rsid w:val="0067317D"/>
    <w:rsid w:val="0067326F"/>
    <w:rsid w:val="00673270"/>
    <w:rsid w:val="00673298"/>
    <w:rsid w:val="00673403"/>
    <w:rsid w:val="00673532"/>
    <w:rsid w:val="00673536"/>
    <w:rsid w:val="00673572"/>
    <w:rsid w:val="006735F2"/>
    <w:rsid w:val="00673764"/>
    <w:rsid w:val="00673772"/>
    <w:rsid w:val="0067390D"/>
    <w:rsid w:val="006739B8"/>
    <w:rsid w:val="00673ACF"/>
    <w:rsid w:val="00673BAA"/>
    <w:rsid w:val="00673C0E"/>
    <w:rsid w:val="00673CC6"/>
    <w:rsid w:val="00673D0D"/>
    <w:rsid w:val="00673D4B"/>
    <w:rsid w:val="00673D96"/>
    <w:rsid w:val="00673DF6"/>
    <w:rsid w:val="00673E9D"/>
    <w:rsid w:val="0067411D"/>
    <w:rsid w:val="006741D6"/>
    <w:rsid w:val="00674219"/>
    <w:rsid w:val="006743EA"/>
    <w:rsid w:val="00674477"/>
    <w:rsid w:val="006745E3"/>
    <w:rsid w:val="006745E5"/>
    <w:rsid w:val="006745EE"/>
    <w:rsid w:val="00674634"/>
    <w:rsid w:val="006746CF"/>
    <w:rsid w:val="0067479C"/>
    <w:rsid w:val="006748D6"/>
    <w:rsid w:val="00674988"/>
    <w:rsid w:val="00674B69"/>
    <w:rsid w:val="00674B97"/>
    <w:rsid w:val="00674C1D"/>
    <w:rsid w:val="00674C90"/>
    <w:rsid w:val="00674D13"/>
    <w:rsid w:val="00674D95"/>
    <w:rsid w:val="00674D9D"/>
    <w:rsid w:val="00674E7F"/>
    <w:rsid w:val="00674EAE"/>
    <w:rsid w:val="00674F39"/>
    <w:rsid w:val="00674FA1"/>
    <w:rsid w:val="00675064"/>
    <w:rsid w:val="006750E9"/>
    <w:rsid w:val="006750F2"/>
    <w:rsid w:val="0067510C"/>
    <w:rsid w:val="0067514A"/>
    <w:rsid w:val="006751A0"/>
    <w:rsid w:val="0067528B"/>
    <w:rsid w:val="006752C6"/>
    <w:rsid w:val="006752EF"/>
    <w:rsid w:val="00675485"/>
    <w:rsid w:val="00675647"/>
    <w:rsid w:val="00675677"/>
    <w:rsid w:val="00675759"/>
    <w:rsid w:val="006757A6"/>
    <w:rsid w:val="006757CC"/>
    <w:rsid w:val="0067587D"/>
    <w:rsid w:val="006759B0"/>
    <w:rsid w:val="00675A38"/>
    <w:rsid w:val="00675A3C"/>
    <w:rsid w:val="00675A92"/>
    <w:rsid w:val="00675B2E"/>
    <w:rsid w:val="00675CE5"/>
    <w:rsid w:val="00675D37"/>
    <w:rsid w:val="00675D5D"/>
    <w:rsid w:val="00675D9E"/>
    <w:rsid w:val="00675DAA"/>
    <w:rsid w:val="00675DAC"/>
    <w:rsid w:val="00675EF8"/>
    <w:rsid w:val="00675FFE"/>
    <w:rsid w:val="00676064"/>
    <w:rsid w:val="006760B3"/>
    <w:rsid w:val="0067620A"/>
    <w:rsid w:val="0067628A"/>
    <w:rsid w:val="006762BE"/>
    <w:rsid w:val="00676381"/>
    <w:rsid w:val="006763B8"/>
    <w:rsid w:val="0067644A"/>
    <w:rsid w:val="00676535"/>
    <w:rsid w:val="0067655F"/>
    <w:rsid w:val="0067664A"/>
    <w:rsid w:val="006767DA"/>
    <w:rsid w:val="006767EB"/>
    <w:rsid w:val="006769F1"/>
    <w:rsid w:val="00676A59"/>
    <w:rsid w:val="00676AB5"/>
    <w:rsid w:val="00676AC3"/>
    <w:rsid w:val="00676B20"/>
    <w:rsid w:val="00676B4F"/>
    <w:rsid w:val="00676B63"/>
    <w:rsid w:val="00676BD3"/>
    <w:rsid w:val="00676C22"/>
    <w:rsid w:val="00676C90"/>
    <w:rsid w:val="00676E44"/>
    <w:rsid w:val="00676F24"/>
    <w:rsid w:val="00676FE0"/>
    <w:rsid w:val="006770A4"/>
    <w:rsid w:val="006770BA"/>
    <w:rsid w:val="00677140"/>
    <w:rsid w:val="00677147"/>
    <w:rsid w:val="0067728D"/>
    <w:rsid w:val="0067730D"/>
    <w:rsid w:val="0067737B"/>
    <w:rsid w:val="00677496"/>
    <w:rsid w:val="006776F5"/>
    <w:rsid w:val="0067776F"/>
    <w:rsid w:val="00677843"/>
    <w:rsid w:val="006778E6"/>
    <w:rsid w:val="0067794D"/>
    <w:rsid w:val="00677974"/>
    <w:rsid w:val="00677A0E"/>
    <w:rsid w:val="00677A2F"/>
    <w:rsid w:val="00677A61"/>
    <w:rsid w:val="00677AAA"/>
    <w:rsid w:val="00677AB5"/>
    <w:rsid w:val="00677BEA"/>
    <w:rsid w:val="00677C71"/>
    <w:rsid w:val="00677C72"/>
    <w:rsid w:val="00677DAA"/>
    <w:rsid w:val="00677DAE"/>
    <w:rsid w:val="00677F0B"/>
    <w:rsid w:val="00677FEC"/>
    <w:rsid w:val="006800DB"/>
    <w:rsid w:val="006800DC"/>
    <w:rsid w:val="00680132"/>
    <w:rsid w:val="006801C7"/>
    <w:rsid w:val="006801CC"/>
    <w:rsid w:val="006801FA"/>
    <w:rsid w:val="0068029B"/>
    <w:rsid w:val="006802E5"/>
    <w:rsid w:val="006802EA"/>
    <w:rsid w:val="00680310"/>
    <w:rsid w:val="00680314"/>
    <w:rsid w:val="00680348"/>
    <w:rsid w:val="006804E6"/>
    <w:rsid w:val="006806D1"/>
    <w:rsid w:val="006806D9"/>
    <w:rsid w:val="006806F6"/>
    <w:rsid w:val="00680705"/>
    <w:rsid w:val="00680736"/>
    <w:rsid w:val="00680742"/>
    <w:rsid w:val="00680766"/>
    <w:rsid w:val="0068084C"/>
    <w:rsid w:val="0068098F"/>
    <w:rsid w:val="006809C2"/>
    <w:rsid w:val="00680A3B"/>
    <w:rsid w:val="00680A4F"/>
    <w:rsid w:val="00680A66"/>
    <w:rsid w:val="00680CE0"/>
    <w:rsid w:val="00680F1F"/>
    <w:rsid w:val="00680F46"/>
    <w:rsid w:val="00681114"/>
    <w:rsid w:val="0068116F"/>
    <w:rsid w:val="00681181"/>
    <w:rsid w:val="006813E3"/>
    <w:rsid w:val="00681449"/>
    <w:rsid w:val="006814AF"/>
    <w:rsid w:val="006814DE"/>
    <w:rsid w:val="00681554"/>
    <w:rsid w:val="006816B6"/>
    <w:rsid w:val="006816C1"/>
    <w:rsid w:val="006816EF"/>
    <w:rsid w:val="006816F6"/>
    <w:rsid w:val="00681759"/>
    <w:rsid w:val="006817AC"/>
    <w:rsid w:val="0068185B"/>
    <w:rsid w:val="00681982"/>
    <w:rsid w:val="00681A29"/>
    <w:rsid w:val="00681BE1"/>
    <w:rsid w:val="00681C20"/>
    <w:rsid w:val="00681C2E"/>
    <w:rsid w:val="00681C55"/>
    <w:rsid w:val="00681C63"/>
    <w:rsid w:val="00681D24"/>
    <w:rsid w:val="00681D66"/>
    <w:rsid w:val="00681D96"/>
    <w:rsid w:val="00681DFE"/>
    <w:rsid w:val="00681EAD"/>
    <w:rsid w:val="00681EF1"/>
    <w:rsid w:val="00681FCD"/>
    <w:rsid w:val="00682033"/>
    <w:rsid w:val="0068204A"/>
    <w:rsid w:val="00682058"/>
    <w:rsid w:val="00682099"/>
    <w:rsid w:val="006821B2"/>
    <w:rsid w:val="00682531"/>
    <w:rsid w:val="006825DF"/>
    <w:rsid w:val="0068263E"/>
    <w:rsid w:val="006826ED"/>
    <w:rsid w:val="006827B4"/>
    <w:rsid w:val="00682865"/>
    <w:rsid w:val="006829F9"/>
    <w:rsid w:val="00682A2F"/>
    <w:rsid w:val="00682A89"/>
    <w:rsid w:val="00682ADD"/>
    <w:rsid w:val="00682BE7"/>
    <w:rsid w:val="00682DC2"/>
    <w:rsid w:val="00682E10"/>
    <w:rsid w:val="0068300D"/>
    <w:rsid w:val="00683076"/>
    <w:rsid w:val="006833BD"/>
    <w:rsid w:val="006835F9"/>
    <w:rsid w:val="00683653"/>
    <w:rsid w:val="00683674"/>
    <w:rsid w:val="0068368C"/>
    <w:rsid w:val="006836D7"/>
    <w:rsid w:val="0068370F"/>
    <w:rsid w:val="00683744"/>
    <w:rsid w:val="0068378D"/>
    <w:rsid w:val="00683797"/>
    <w:rsid w:val="006837F4"/>
    <w:rsid w:val="0068396B"/>
    <w:rsid w:val="006839C7"/>
    <w:rsid w:val="00683A33"/>
    <w:rsid w:val="00683B12"/>
    <w:rsid w:val="00683B89"/>
    <w:rsid w:val="00683BC3"/>
    <w:rsid w:val="00683BEA"/>
    <w:rsid w:val="00683C0D"/>
    <w:rsid w:val="00683CDC"/>
    <w:rsid w:val="00683D36"/>
    <w:rsid w:val="00683D71"/>
    <w:rsid w:val="00683E1F"/>
    <w:rsid w:val="00683E55"/>
    <w:rsid w:val="00683F7A"/>
    <w:rsid w:val="00684044"/>
    <w:rsid w:val="006840A8"/>
    <w:rsid w:val="006840D6"/>
    <w:rsid w:val="00684123"/>
    <w:rsid w:val="00684133"/>
    <w:rsid w:val="00684182"/>
    <w:rsid w:val="006841F4"/>
    <w:rsid w:val="00684297"/>
    <w:rsid w:val="006842C2"/>
    <w:rsid w:val="00684330"/>
    <w:rsid w:val="006843EB"/>
    <w:rsid w:val="006844EB"/>
    <w:rsid w:val="0068459C"/>
    <w:rsid w:val="006845A8"/>
    <w:rsid w:val="006847AF"/>
    <w:rsid w:val="006847E4"/>
    <w:rsid w:val="0068481F"/>
    <w:rsid w:val="0068485C"/>
    <w:rsid w:val="0068487E"/>
    <w:rsid w:val="006848B1"/>
    <w:rsid w:val="0068491D"/>
    <w:rsid w:val="00684920"/>
    <w:rsid w:val="00684924"/>
    <w:rsid w:val="0068492B"/>
    <w:rsid w:val="00684973"/>
    <w:rsid w:val="006849ED"/>
    <w:rsid w:val="00684BC9"/>
    <w:rsid w:val="00684CD4"/>
    <w:rsid w:val="00684CD6"/>
    <w:rsid w:val="00684CD9"/>
    <w:rsid w:val="00684E2E"/>
    <w:rsid w:val="00684E91"/>
    <w:rsid w:val="00684F88"/>
    <w:rsid w:val="00685135"/>
    <w:rsid w:val="006852B7"/>
    <w:rsid w:val="006853A7"/>
    <w:rsid w:val="006853EA"/>
    <w:rsid w:val="00685594"/>
    <w:rsid w:val="006855FD"/>
    <w:rsid w:val="00685677"/>
    <w:rsid w:val="0068583D"/>
    <w:rsid w:val="00685A22"/>
    <w:rsid w:val="00685B1A"/>
    <w:rsid w:val="00685B31"/>
    <w:rsid w:val="00685C38"/>
    <w:rsid w:val="00685C7D"/>
    <w:rsid w:val="00685C9E"/>
    <w:rsid w:val="00685CD7"/>
    <w:rsid w:val="00685DDA"/>
    <w:rsid w:val="00685E87"/>
    <w:rsid w:val="0068610C"/>
    <w:rsid w:val="00686168"/>
    <w:rsid w:val="00686309"/>
    <w:rsid w:val="00686648"/>
    <w:rsid w:val="00686693"/>
    <w:rsid w:val="006866DA"/>
    <w:rsid w:val="006866DE"/>
    <w:rsid w:val="006868A8"/>
    <w:rsid w:val="006868D5"/>
    <w:rsid w:val="00686992"/>
    <w:rsid w:val="00686B74"/>
    <w:rsid w:val="00686BF1"/>
    <w:rsid w:val="00686C34"/>
    <w:rsid w:val="00686C66"/>
    <w:rsid w:val="00686CA8"/>
    <w:rsid w:val="00686D36"/>
    <w:rsid w:val="00686DD7"/>
    <w:rsid w:val="00686E65"/>
    <w:rsid w:val="00686FE3"/>
    <w:rsid w:val="00687027"/>
    <w:rsid w:val="006870A9"/>
    <w:rsid w:val="006870C0"/>
    <w:rsid w:val="006870F7"/>
    <w:rsid w:val="00687278"/>
    <w:rsid w:val="006873D5"/>
    <w:rsid w:val="00687453"/>
    <w:rsid w:val="006874D4"/>
    <w:rsid w:val="006874EA"/>
    <w:rsid w:val="0068754C"/>
    <w:rsid w:val="0068756F"/>
    <w:rsid w:val="006875BF"/>
    <w:rsid w:val="00687600"/>
    <w:rsid w:val="00687786"/>
    <w:rsid w:val="006879BD"/>
    <w:rsid w:val="00687C18"/>
    <w:rsid w:val="00687C86"/>
    <w:rsid w:val="00687CC0"/>
    <w:rsid w:val="00687E0F"/>
    <w:rsid w:val="00687E98"/>
    <w:rsid w:val="00687FA8"/>
    <w:rsid w:val="00687FCD"/>
    <w:rsid w:val="0069000C"/>
    <w:rsid w:val="00690066"/>
    <w:rsid w:val="006900A3"/>
    <w:rsid w:val="006900B4"/>
    <w:rsid w:val="006903D0"/>
    <w:rsid w:val="00690457"/>
    <w:rsid w:val="00690523"/>
    <w:rsid w:val="0069055B"/>
    <w:rsid w:val="0069057A"/>
    <w:rsid w:val="0069066D"/>
    <w:rsid w:val="00690702"/>
    <w:rsid w:val="006907B4"/>
    <w:rsid w:val="0069084A"/>
    <w:rsid w:val="00690A73"/>
    <w:rsid w:val="00690AEB"/>
    <w:rsid w:val="00690B72"/>
    <w:rsid w:val="00690BD9"/>
    <w:rsid w:val="00690BEF"/>
    <w:rsid w:val="00690D7C"/>
    <w:rsid w:val="00690F8E"/>
    <w:rsid w:val="00690FF8"/>
    <w:rsid w:val="00691051"/>
    <w:rsid w:val="006913E8"/>
    <w:rsid w:val="006913EC"/>
    <w:rsid w:val="00691430"/>
    <w:rsid w:val="00691575"/>
    <w:rsid w:val="006915E7"/>
    <w:rsid w:val="0069171A"/>
    <w:rsid w:val="006917E5"/>
    <w:rsid w:val="006918D5"/>
    <w:rsid w:val="006919C6"/>
    <w:rsid w:val="00691AAA"/>
    <w:rsid w:val="00691C23"/>
    <w:rsid w:val="00691EEA"/>
    <w:rsid w:val="00691FF1"/>
    <w:rsid w:val="00692020"/>
    <w:rsid w:val="006920E6"/>
    <w:rsid w:val="00692129"/>
    <w:rsid w:val="00692214"/>
    <w:rsid w:val="006922EB"/>
    <w:rsid w:val="0069230F"/>
    <w:rsid w:val="00692336"/>
    <w:rsid w:val="0069241C"/>
    <w:rsid w:val="00692426"/>
    <w:rsid w:val="0069243A"/>
    <w:rsid w:val="00692597"/>
    <w:rsid w:val="00692634"/>
    <w:rsid w:val="006926B4"/>
    <w:rsid w:val="006927BC"/>
    <w:rsid w:val="00692840"/>
    <w:rsid w:val="006929FD"/>
    <w:rsid w:val="00692A5D"/>
    <w:rsid w:val="00692A93"/>
    <w:rsid w:val="00692AC1"/>
    <w:rsid w:val="00692BB5"/>
    <w:rsid w:val="00692C6C"/>
    <w:rsid w:val="00692D1E"/>
    <w:rsid w:val="00692D33"/>
    <w:rsid w:val="00692DDC"/>
    <w:rsid w:val="00692E24"/>
    <w:rsid w:val="00692ED7"/>
    <w:rsid w:val="00692EE5"/>
    <w:rsid w:val="00692F72"/>
    <w:rsid w:val="00692F8F"/>
    <w:rsid w:val="0069316C"/>
    <w:rsid w:val="0069319E"/>
    <w:rsid w:val="006931FC"/>
    <w:rsid w:val="006932BB"/>
    <w:rsid w:val="006932F0"/>
    <w:rsid w:val="00693331"/>
    <w:rsid w:val="0069337B"/>
    <w:rsid w:val="006933F3"/>
    <w:rsid w:val="0069345C"/>
    <w:rsid w:val="0069353B"/>
    <w:rsid w:val="006935FC"/>
    <w:rsid w:val="0069363C"/>
    <w:rsid w:val="00693694"/>
    <w:rsid w:val="00693707"/>
    <w:rsid w:val="0069376A"/>
    <w:rsid w:val="006937D4"/>
    <w:rsid w:val="0069383F"/>
    <w:rsid w:val="006938E0"/>
    <w:rsid w:val="0069390D"/>
    <w:rsid w:val="0069395B"/>
    <w:rsid w:val="00693A59"/>
    <w:rsid w:val="00693B02"/>
    <w:rsid w:val="00693C3F"/>
    <w:rsid w:val="00693D00"/>
    <w:rsid w:val="00693D39"/>
    <w:rsid w:val="00693D8A"/>
    <w:rsid w:val="00693E58"/>
    <w:rsid w:val="00694055"/>
    <w:rsid w:val="0069409E"/>
    <w:rsid w:val="006940BF"/>
    <w:rsid w:val="0069416D"/>
    <w:rsid w:val="0069427F"/>
    <w:rsid w:val="006943F2"/>
    <w:rsid w:val="006944EE"/>
    <w:rsid w:val="00694676"/>
    <w:rsid w:val="006946CD"/>
    <w:rsid w:val="006946E9"/>
    <w:rsid w:val="006946FE"/>
    <w:rsid w:val="00694710"/>
    <w:rsid w:val="00694783"/>
    <w:rsid w:val="006947AC"/>
    <w:rsid w:val="006948F9"/>
    <w:rsid w:val="00694941"/>
    <w:rsid w:val="00694971"/>
    <w:rsid w:val="00694974"/>
    <w:rsid w:val="00694A9C"/>
    <w:rsid w:val="00694B10"/>
    <w:rsid w:val="00694BE3"/>
    <w:rsid w:val="00694CB1"/>
    <w:rsid w:val="00694CDF"/>
    <w:rsid w:val="00694D9E"/>
    <w:rsid w:val="00694E26"/>
    <w:rsid w:val="00694E41"/>
    <w:rsid w:val="00694EF7"/>
    <w:rsid w:val="00694F3D"/>
    <w:rsid w:val="00695014"/>
    <w:rsid w:val="0069509E"/>
    <w:rsid w:val="006950C3"/>
    <w:rsid w:val="006950C7"/>
    <w:rsid w:val="006951F3"/>
    <w:rsid w:val="00695263"/>
    <w:rsid w:val="0069526A"/>
    <w:rsid w:val="006952C1"/>
    <w:rsid w:val="006953C3"/>
    <w:rsid w:val="00695496"/>
    <w:rsid w:val="0069549A"/>
    <w:rsid w:val="006954F5"/>
    <w:rsid w:val="00695665"/>
    <w:rsid w:val="00695672"/>
    <w:rsid w:val="0069567A"/>
    <w:rsid w:val="0069568D"/>
    <w:rsid w:val="006957B1"/>
    <w:rsid w:val="006957D2"/>
    <w:rsid w:val="00695A7E"/>
    <w:rsid w:val="00695AF8"/>
    <w:rsid w:val="00695B20"/>
    <w:rsid w:val="00695C8D"/>
    <w:rsid w:val="00695E16"/>
    <w:rsid w:val="00695EE9"/>
    <w:rsid w:val="00696104"/>
    <w:rsid w:val="00696110"/>
    <w:rsid w:val="00696124"/>
    <w:rsid w:val="006961D4"/>
    <w:rsid w:val="00696277"/>
    <w:rsid w:val="0069633D"/>
    <w:rsid w:val="0069637E"/>
    <w:rsid w:val="0069637F"/>
    <w:rsid w:val="0069639D"/>
    <w:rsid w:val="00696434"/>
    <w:rsid w:val="00696471"/>
    <w:rsid w:val="0069651C"/>
    <w:rsid w:val="0069665D"/>
    <w:rsid w:val="0069681F"/>
    <w:rsid w:val="00696860"/>
    <w:rsid w:val="00696892"/>
    <w:rsid w:val="006968BE"/>
    <w:rsid w:val="006968D4"/>
    <w:rsid w:val="006969E6"/>
    <w:rsid w:val="00696BBA"/>
    <w:rsid w:val="00696E32"/>
    <w:rsid w:val="00696E6D"/>
    <w:rsid w:val="00696EBC"/>
    <w:rsid w:val="00697091"/>
    <w:rsid w:val="00697191"/>
    <w:rsid w:val="006971B6"/>
    <w:rsid w:val="006971DB"/>
    <w:rsid w:val="006973BF"/>
    <w:rsid w:val="006974D6"/>
    <w:rsid w:val="0069756A"/>
    <w:rsid w:val="00697689"/>
    <w:rsid w:val="0069770E"/>
    <w:rsid w:val="00697745"/>
    <w:rsid w:val="006977DA"/>
    <w:rsid w:val="006977E9"/>
    <w:rsid w:val="00697857"/>
    <w:rsid w:val="006979E9"/>
    <w:rsid w:val="00697ACF"/>
    <w:rsid w:val="00697B0A"/>
    <w:rsid w:val="00697B0C"/>
    <w:rsid w:val="00697B29"/>
    <w:rsid w:val="00697C88"/>
    <w:rsid w:val="00697D41"/>
    <w:rsid w:val="00697D54"/>
    <w:rsid w:val="00697D8A"/>
    <w:rsid w:val="00697E05"/>
    <w:rsid w:val="00697E0B"/>
    <w:rsid w:val="00697FBF"/>
    <w:rsid w:val="006A000B"/>
    <w:rsid w:val="006A0202"/>
    <w:rsid w:val="006A0208"/>
    <w:rsid w:val="006A0277"/>
    <w:rsid w:val="006A033E"/>
    <w:rsid w:val="006A0441"/>
    <w:rsid w:val="006A046A"/>
    <w:rsid w:val="006A0477"/>
    <w:rsid w:val="006A0495"/>
    <w:rsid w:val="006A04E0"/>
    <w:rsid w:val="006A04E9"/>
    <w:rsid w:val="006A0504"/>
    <w:rsid w:val="006A0605"/>
    <w:rsid w:val="006A0733"/>
    <w:rsid w:val="006A077C"/>
    <w:rsid w:val="006A07D8"/>
    <w:rsid w:val="006A080F"/>
    <w:rsid w:val="006A096F"/>
    <w:rsid w:val="006A0A52"/>
    <w:rsid w:val="006A0AD8"/>
    <w:rsid w:val="006A0B4F"/>
    <w:rsid w:val="006A0BEF"/>
    <w:rsid w:val="006A0C9B"/>
    <w:rsid w:val="006A0D42"/>
    <w:rsid w:val="006A0D61"/>
    <w:rsid w:val="006A0E45"/>
    <w:rsid w:val="006A0EA5"/>
    <w:rsid w:val="006A0F1D"/>
    <w:rsid w:val="006A0F49"/>
    <w:rsid w:val="006A0F5E"/>
    <w:rsid w:val="006A11E7"/>
    <w:rsid w:val="006A12E5"/>
    <w:rsid w:val="006A1305"/>
    <w:rsid w:val="006A134B"/>
    <w:rsid w:val="006A1487"/>
    <w:rsid w:val="006A14C0"/>
    <w:rsid w:val="006A150C"/>
    <w:rsid w:val="006A1658"/>
    <w:rsid w:val="006A16A0"/>
    <w:rsid w:val="006A175E"/>
    <w:rsid w:val="006A1764"/>
    <w:rsid w:val="006A18B6"/>
    <w:rsid w:val="006A19C7"/>
    <w:rsid w:val="006A1A15"/>
    <w:rsid w:val="006A1A4F"/>
    <w:rsid w:val="006A1AD8"/>
    <w:rsid w:val="006A1AF8"/>
    <w:rsid w:val="006A1B74"/>
    <w:rsid w:val="006A1C49"/>
    <w:rsid w:val="006A1C96"/>
    <w:rsid w:val="006A1CDE"/>
    <w:rsid w:val="006A1D2D"/>
    <w:rsid w:val="006A1EDC"/>
    <w:rsid w:val="006A1F2F"/>
    <w:rsid w:val="006A1FAE"/>
    <w:rsid w:val="006A2088"/>
    <w:rsid w:val="006A20B9"/>
    <w:rsid w:val="006A2118"/>
    <w:rsid w:val="006A211B"/>
    <w:rsid w:val="006A218B"/>
    <w:rsid w:val="006A21D1"/>
    <w:rsid w:val="006A222D"/>
    <w:rsid w:val="006A22A1"/>
    <w:rsid w:val="006A230B"/>
    <w:rsid w:val="006A2428"/>
    <w:rsid w:val="006A2445"/>
    <w:rsid w:val="006A2473"/>
    <w:rsid w:val="006A24D4"/>
    <w:rsid w:val="006A260C"/>
    <w:rsid w:val="006A2693"/>
    <w:rsid w:val="006A26FB"/>
    <w:rsid w:val="006A2738"/>
    <w:rsid w:val="006A2882"/>
    <w:rsid w:val="006A2969"/>
    <w:rsid w:val="006A297E"/>
    <w:rsid w:val="006A2A57"/>
    <w:rsid w:val="006A2B3B"/>
    <w:rsid w:val="006A2BE6"/>
    <w:rsid w:val="006A2C21"/>
    <w:rsid w:val="006A2DAE"/>
    <w:rsid w:val="006A2E77"/>
    <w:rsid w:val="006A2F4D"/>
    <w:rsid w:val="006A2FD7"/>
    <w:rsid w:val="006A3089"/>
    <w:rsid w:val="006A30FD"/>
    <w:rsid w:val="006A31E5"/>
    <w:rsid w:val="006A320D"/>
    <w:rsid w:val="006A3221"/>
    <w:rsid w:val="006A3223"/>
    <w:rsid w:val="006A33EA"/>
    <w:rsid w:val="006A358A"/>
    <w:rsid w:val="006A3727"/>
    <w:rsid w:val="006A377B"/>
    <w:rsid w:val="006A39B9"/>
    <w:rsid w:val="006A39F5"/>
    <w:rsid w:val="006A3A6A"/>
    <w:rsid w:val="006A3AC2"/>
    <w:rsid w:val="006A3B5D"/>
    <w:rsid w:val="006A3C0C"/>
    <w:rsid w:val="006A3C23"/>
    <w:rsid w:val="006A3C77"/>
    <w:rsid w:val="006A3CC4"/>
    <w:rsid w:val="006A3D37"/>
    <w:rsid w:val="006A3D91"/>
    <w:rsid w:val="006A3E0D"/>
    <w:rsid w:val="006A3E87"/>
    <w:rsid w:val="006A3EEF"/>
    <w:rsid w:val="006A3F46"/>
    <w:rsid w:val="006A3F56"/>
    <w:rsid w:val="006A4006"/>
    <w:rsid w:val="006A4013"/>
    <w:rsid w:val="006A4022"/>
    <w:rsid w:val="006A404A"/>
    <w:rsid w:val="006A4098"/>
    <w:rsid w:val="006A40B3"/>
    <w:rsid w:val="006A4149"/>
    <w:rsid w:val="006A41F9"/>
    <w:rsid w:val="006A4240"/>
    <w:rsid w:val="006A42F8"/>
    <w:rsid w:val="006A430C"/>
    <w:rsid w:val="006A4314"/>
    <w:rsid w:val="006A4342"/>
    <w:rsid w:val="006A4357"/>
    <w:rsid w:val="006A43A8"/>
    <w:rsid w:val="006A43CC"/>
    <w:rsid w:val="006A44D2"/>
    <w:rsid w:val="006A4768"/>
    <w:rsid w:val="006A47D1"/>
    <w:rsid w:val="006A4833"/>
    <w:rsid w:val="006A4857"/>
    <w:rsid w:val="006A4865"/>
    <w:rsid w:val="006A494F"/>
    <w:rsid w:val="006A49C6"/>
    <w:rsid w:val="006A4A2E"/>
    <w:rsid w:val="006A4B6F"/>
    <w:rsid w:val="006A4E34"/>
    <w:rsid w:val="006A4EFF"/>
    <w:rsid w:val="006A4FA4"/>
    <w:rsid w:val="006A4FBE"/>
    <w:rsid w:val="006A50EA"/>
    <w:rsid w:val="006A50FA"/>
    <w:rsid w:val="006A5272"/>
    <w:rsid w:val="006A5320"/>
    <w:rsid w:val="006A53DF"/>
    <w:rsid w:val="006A54A5"/>
    <w:rsid w:val="006A557A"/>
    <w:rsid w:val="006A55B4"/>
    <w:rsid w:val="006A5770"/>
    <w:rsid w:val="006A5864"/>
    <w:rsid w:val="006A588A"/>
    <w:rsid w:val="006A58B6"/>
    <w:rsid w:val="006A5AFF"/>
    <w:rsid w:val="006A5B0F"/>
    <w:rsid w:val="006A5D87"/>
    <w:rsid w:val="006A5DD7"/>
    <w:rsid w:val="006A5E89"/>
    <w:rsid w:val="006A5EC0"/>
    <w:rsid w:val="006A5ED6"/>
    <w:rsid w:val="006A5F29"/>
    <w:rsid w:val="006A5F6D"/>
    <w:rsid w:val="006A5F73"/>
    <w:rsid w:val="006A5FF3"/>
    <w:rsid w:val="006A6118"/>
    <w:rsid w:val="006A613F"/>
    <w:rsid w:val="006A61E2"/>
    <w:rsid w:val="006A63DA"/>
    <w:rsid w:val="006A64AC"/>
    <w:rsid w:val="006A64CE"/>
    <w:rsid w:val="006A650D"/>
    <w:rsid w:val="006A654F"/>
    <w:rsid w:val="006A65B8"/>
    <w:rsid w:val="006A65DF"/>
    <w:rsid w:val="006A6622"/>
    <w:rsid w:val="006A66EC"/>
    <w:rsid w:val="006A67F9"/>
    <w:rsid w:val="006A68F9"/>
    <w:rsid w:val="006A69BA"/>
    <w:rsid w:val="006A6A64"/>
    <w:rsid w:val="006A6AF3"/>
    <w:rsid w:val="006A6B8B"/>
    <w:rsid w:val="006A6BB2"/>
    <w:rsid w:val="006A6C12"/>
    <w:rsid w:val="006A6C26"/>
    <w:rsid w:val="006A6C64"/>
    <w:rsid w:val="006A6DDF"/>
    <w:rsid w:val="006A6F15"/>
    <w:rsid w:val="006A6F6C"/>
    <w:rsid w:val="006A6F8A"/>
    <w:rsid w:val="006A6F97"/>
    <w:rsid w:val="006A7188"/>
    <w:rsid w:val="006A7270"/>
    <w:rsid w:val="006A7359"/>
    <w:rsid w:val="006A7369"/>
    <w:rsid w:val="006A73AF"/>
    <w:rsid w:val="006A7477"/>
    <w:rsid w:val="006A7498"/>
    <w:rsid w:val="006A7520"/>
    <w:rsid w:val="006A7546"/>
    <w:rsid w:val="006A7580"/>
    <w:rsid w:val="006A771C"/>
    <w:rsid w:val="006A7791"/>
    <w:rsid w:val="006A7876"/>
    <w:rsid w:val="006A787E"/>
    <w:rsid w:val="006A7C03"/>
    <w:rsid w:val="006A7CBA"/>
    <w:rsid w:val="006A7D4D"/>
    <w:rsid w:val="006A7F29"/>
    <w:rsid w:val="006A7FAE"/>
    <w:rsid w:val="006A7FBA"/>
    <w:rsid w:val="006A7FE5"/>
    <w:rsid w:val="006A7FF0"/>
    <w:rsid w:val="006B013D"/>
    <w:rsid w:val="006B0167"/>
    <w:rsid w:val="006B03C7"/>
    <w:rsid w:val="006B0530"/>
    <w:rsid w:val="006B0583"/>
    <w:rsid w:val="006B05D5"/>
    <w:rsid w:val="006B05F5"/>
    <w:rsid w:val="006B0604"/>
    <w:rsid w:val="006B0683"/>
    <w:rsid w:val="006B06A0"/>
    <w:rsid w:val="006B078E"/>
    <w:rsid w:val="006B084F"/>
    <w:rsid w:val="006B08F5"/>
    <w:rsid w:val="006B0908"/>
    <w:rsid w:val="006B0BDB"/>
    <w:rsid w:val="006B0C79"/>
    <w:rsid w:val="006B0CC4"/>
    <w:rsid w:val="006B0CC5"/>
    <w:rsid w:val="006B0D7B"/>
    <w:rsid w:val="006B0E12"/>
    <w:rsid w:val="006B0E9F"/>
    <w:rsid w:val="006B0EBF"/>
    <w:rsid w:val="006B1019"/>
    <w:rsid w:val="006B1098"/>
    <w:rsid w:val="006B10E7"/>
    <w:rsid w:val="006B1134"/>
    <w:rsid w:val="006B1143"/>
    <w:rsid w:val="006B1164"/>
    <w:rsid w:val="006B11D9"/>
    <w:rsid w:val="006B11DC"/>
    <w:rsid w:val="006B12AE"/>
    <w:rsid w:val="006B13B6"/>
    <w:rsid w:val="006B149D"/>
    <w:rsid w:val="006B14B6"/>
    <w:rsid w:val="006B15A1"/>
    <w:rsid w:val="006B1623"/>
    <w:rsid w:val="006B1674"/>
    <w:rsid w:val="006B1693"/>
    <w:rsid w:val="006B172F"/>
    <w:rsid w:val="006B17DC"/>
    <w:rsid w:val="006B1808"/>
    <w:rsid w:val="006B1824"/>
    <w:rsid w:val="006B186E"/>
    <w:rsid w:val="006B1ACD"/>
    <w:rsid w:val="006B1AFB"/>
    <w:rsid w:val="006B1B29"/>
    <w:rsid w:val="006B1C05"/>
    <w:rsid w:val="006B1C6E"/>
    <w:rsid w:val="006B1CFE"/>
    <w:rsid w:val="006B1D1D"/>
    <w:rsid w:val="006B1E70"/>
    <w:rsid w:val="006B1E75"/>
    <w:rsid w:val="006B1EB3"/>
    <w:rsid w:val="006B1EEA"/>
    <w:rsid w:val="006B1F87"/>
    <w:rsid w:val="006B1FEA"/>
    <w:rsid w:val="006B2081"/>
    <w:rsid w:val="006B20EE"/>
    <w:rsid w:val="006B218E"/>
    <w:rsid w:val="006B21D7"/>
    <w:rsid w:val="006B22A4"/>
    <w:rsid w:val="006B22C5"/>
    <w:rsid w:val="006B2381"/>
    <w:rsid w:val="006B24AE"/>
    <w:rsid w:val="006B25BB"/>
    <w:rsid w:val="006B26DE"/>
    <w:rsid w:val="006B2715"/>
    <w:rsid w:val="006B2725"/>
    <w:rsid w:val="006B272D"/>
    <w:rsid w:val="006B29F4"/>
    <w:rsid w:val="006B2ADC"/>
    <w:rsid w:val="006B2AEE"/>
    <w:rsid w:val="006B2B04"/>
    <w:rsid w:val="006B2B3B"/>
    <w:rsid w:val="006B2B82"/>
    <w:rsid w:val="006B2B98"/>
    <w:rsid w:val="006B2BA9"/>
    <w:rsid w:val="006B2BD9"/>
    <w:rsid w:val="006B2BDC"/>
    <w:rsid w:val="006B2BED"/>
    <w:rsid w:val="006B2D56"/>
    <w:rsid w:val="006B2D97"/>
    <w:rsid w:val="006B2EDC"/>
    <w:rsid w:val="006B2F09"/>
    <w:rsid w:val="006B2F2F"/>
    <w:rsid w:val="006B301E"/>
    <w:rsid w:val="006B3224"/>
    <w:rsid w:val="006B332B"/>
    <w:rsid w:val="006B33A9"/>
    <w:rsid w:val="006B33CF"/>
    <w:rsid w:val="006B3421"/>
    <w:rsid w:val="006B3510"/>
    <w:rsid w:val="006B355F"/>
    <w:rsid w:val="006B3705"/>
    <w:rsid w:val="006B370F"/>
    <w:rsid w:val="006B3716"/>
    <w:rsid w:val="006B371F"/>
    <w:rsid w:val="006B383E"/>
    <w:rsid w:val="006B3887"/>
    <w:rsid w:val="006B39B2"/>
    <w:rsid w:val="006B39FA"/>
    <w:rsid w:val="006B3B62"/>
    <w:rsid w:val="006B3D15"/>
    <w:rsid w:val="006B3DF3"/>
    <w:rsid w:val="006B3DFB"/>
    <w:rsid w:val="006B400A"/>
    <w:rsid w:val="006B424E"/>
    <w:rsid w:val="006B4256"/>
    <w:rsid w:val="006B4289"/>
    <w:rsid w:val="006B4322"/>
    <w:rsid w:val="006B4622"/>
    <w:rsid w:val="006B4646"/>
    <w:rsid w:val="006B46F8"/>
    <w:rsid w:val="006B4826"/>
    <w:rsid w:val="006B4837"/>
    <w:rsid w:val="006B488D"/>
    <w:rsid w:val="006B48AC"/>
    <w:rsid w:val="006B4B2A"/>
    <w:rsid w:val="006B4B3C"/>
    <w:rsid w:val="006B4C2E"/>
    <w:rsid w:val="006B4C78"/>
    <w:rsid w:val="006B4CF6"/>
    <w:rsid w:val="006B4D74"/>
    <w:rsid w:val="006B4E73"/>
    <w:rsid w:val="006B4EC4"/>
    <w:rsid w:val="006B4F75"/>
    <w:rsid w:val="006B5012"/>
    <w:rsid w:val="006B50FD"/>
    <w:rsid w:val="006B5153"/>
    <w:rsid w:val="006B51C5"/>
    <w:rsid w:val="006B52A9"/>
    <w:rsid w:val="006B5300"/>
    <w:rsid w:val="006B5440"/>
    <w:rsid w:val="006B5562"/>
    <w:rsid w:val="006B559A"/>
    <w:rsid w:val="006B5716"/>
    <w:rsid w:val="006B583D"/>
    <w:rsid w:val="006B586B"/>
    <w:rsid w:val="006B5875"/>
    <w:rsid w:val="006B58F4"/>
    <w:rsid w:val="006B5B8D"/>
    <w:rsid w:val="006B5B8F"/>
    <w:rsid w:val="006B5BD8"/>
    <w:rsid w:val="006B5F69"/>
    <w:rsid w:val="006B5FCD"/>
    <w:rsid w:val="006B60AF"/>
    <w:rsid w:val="006B60B7"/>
    <w:rsid w:val="006B60C3"/>
    <w:rsid w:val="006B60ED"/>
    <w:rsid w:val="006B628F"/>
    <w:rsid w:val="006B6378"/>
    <w:rsid w:val="006B6423"/>
    <w:rsid w:val="006B644C"/>
    <w:rsid w:val="006B65B2"/>
    <w:rsid w:val="006B66A5"/>
    <w:rsid w:val="006B66C8"/>
    <w:rsid w:val="006B68C5"/>
    <w:rsid w:val="006B68D8"/>
    <w:rsid w:val="006B6965"/>
    <w:rsid w:val="006B6A2E"/>
    <w:rsid w:val="006B6A66"/>
    <w:rsid w:val="006B6AF0"/>
    <w:rsid w:val="006B6B0B"/>
    <w:rsid w:val="006B6B7F"/>
    <w:rsid w:val="006B6BD5"/>
    <w:rsid w:val="006B6C5B"/>
    <w:rsid w:val="006B6CED"/>
    <w:rsid w:val="006B6E51"/>
    <w:rsid w:val="006B6F31"/>
    <w:rsid w:val="006B7010"/>
    <w:rsid w:val="006B717E"/>
    <w:rsid w:val="006B7218"/>
    <w:rsid w:val="006B721A"/>
    <w:rsid w:val="006B7373"/>
    <w:rsid w:val="006B73E3"/>
    <w:rsid w:val="006B74C4"/>
    <w:rsid w:val="006B7500"/>
    <w:rsid w:val="006B7526"/>
    <w:rsid w:val="006B7536"/>
    <w:rsid w:val="006B75B0"/>
    <w:rsid w:val="006B7829"/>
    <w:rsid w:val="006B7837"/>
    <w:rsid w:val="006B784A"/>
    <w:rsid w:val="006B7971"/>
    <w:rsid w:val="006B79C0"/>
    <w:rsid w:val="006B7A36"/>
    <w:rsid w:val="006B7A8B"/>
    <w:rsid w:val="006B7AC8"/>
    <w:rsid w:val="006B7C43"/>
    <w:rsid w:val="006B7C63"/>
    <w:rsid w:val="006B7D3A"/>
    <w:rsid w:val="006B7D83"/>
    <w:rsid w:val="006B7DD2"/>
    <w:rsid w:val="006B7FF8"/>
    <w:rsid w:val="006C00B6"/>
    <w:rsid w:val="006C00EB"/>
    <w:rsid w:val="006C0369"/>
    <w:rsid w:val="006C0473"/>
    <w:rsid w:val="006C05C7"/>
    <w:rsid w:val="006C06D2"/>
    <w:rsid w:val="006C06EB"/>
    <w:rsid w:val="006C0736"/>
    <w:rsid w:val="006C0779"/>
    <w:rsid w:val="006C0792"/>
    <w:rsid w:val="006C07F1"/>
    <w:rsid w:val="006C0890"/>
    <w:rsid w:val="006C093C"/>
    <w:rsid w:val="006C0990"/>
    <w:rsid w:val="006C09AD"/>
    <w:rsid w:val="006C09F0"/>
    <w:rsid w:val="006C0A8E"/>
    <w:rsid w:val="006C0C0A"/>
    <w:rsid w:val="006C0CB9"/>
    <w:rsid w:val="006C0CCF"/>
    <w:rsid w:val="006C0D07"/>
    <w:rsid w:val="006C0F24"/>
    <w:rsid w:val="006C0F6A"/>
    <w:rsid w:val="006C0F76"/>
    <w:rsid w:val="006C0FCC"/>
    <w:rsid w:val="006C101C"/>
    <w:rsid w:val="006C1051"/>
    <w:rsid w:val="006C1068"/>
    <w:rsid w:val="006C1159"/>
    <w:rsid w:val="006C1166"/>
    <w:rsid w:val="006C134E"/>
    <w:rsid w:val="006C1358"/>
    <w:rsid w:val="006C13DF"/>
    <w:rsid w:val="006C13E6"/>
    <w:rsid w:val="006C1504"/>
    <w:rsid w:val="006C1597"/>
    <w:rsid w:val="006C1614"/>
    <w:rsid w:val="006C162E"/>
    <w:rsid w:val="006C17AC"/>
    <w:rsid w:val="006C18AD"/>
    <w:rsid w:val="006C1941"/>
    <w:rsid w:val="006C19F5"/>
    <w:rsid w:val="006C1AB8"/>
    <w:rsid w:val="006C1D03"/>
    <w:rsid w:val="006C1D23"/>
    <w:rsid w:val="006C1D46"/>
    <w:rsid w:val="006C1D8C"/>
    <w:rsid w:val="006C1F50"/>
    <w:rsid w:val="006C1F73"/>
    <w:rsid w:val="006C1FBF"/>
    <w:rsid w:val="006C20A5"/>
    <w:rsid w:val="006C20C8"/>
    <w:rsid w:val="006C261C"/>
    <w:rsid w:val="006C2690"/>
    <w:rsid w:val="006C26BF"/>
    <w:rsid w:val="006C2715"/>
    <w:rsid w:val="006C27C0"/>
    <w:rsid w:val="006C2824"/>
    <w:rsid w:val="006C2920"/>
    <w:rsid w:val="006C2989"/>
    <w:rsid w:val="006C29CD"/>
    <w:rsid w:val="006C2AD1"/>
    <w:rsid w:val="006C2B67"/>
    <w:rsid w:val="006C2B6D"/>
    <w:rsid w:val="006C2EA6"/>
    <w:rsid w:val="006C2F9C"/>
    <w:rsid w:val="006C301E"/>
    <w:rsid w:val="006C3196"/>
    <w:rsid w:val="006C3275"/>
    <w:rsid w:val="006C3284"/>
    <w:rsid w:val="006C32BF"/>
    <w:rsid w:val="006C32E9"/>
    <w:rsid w:val="006C3409"/>
    <w:rsid w:val="006C34D1"/>
    <w:rsid w:val="006C361B"/>
    <w:rsid w:val="006C36D7"/>
    <w:rsid w:val="006C36DD"/>
    <w:rsid w:val="006C3843"/>
    <w:rsid w:val="006C3856"/>
    <w:rsid w:val="006C3932"/>
    <w:rsid w:val="006C3A79"/>
    <w:rsid w:val="006C3B02"/>
    <w:rsid w:val="006C3B33"/>
    <w:rsid w:val="006C3CF9"/>
    <w:rsid w:val="006C3E11"/>
    <w:rsid w:val="006C3F74"/>
    <w:rsid w:val="006C401F"/>
    <w:rsid w:val="006C4214"/>
    <w:rsid w:val="006C4300"/>
    <w:rsid w:val="006C4310"/>
    <w:rsid w:val="006C435C"/>
    <w:rsid w:val="006C4374"/>
    <w:rsid w:val="006C44D3"/>
    <w:rsid w:val="006C44E4"/>
    <w:rsid w:val="006C453F"/>
    <w:rsid w:val="006C4579"/>
    <w:rsid w:val="006C46A2"/>
    <w:rsid w:val="006C4715"/>
    <w:rsid w:val="006C4DA5"/>
    <w:rsid w:val="006C4E6D"/>
    <w:rsid w:val="006C4E85"/>
    <w:rsid w:val="006C4E98"/>
    <w:rsid w:val="006C4EC2"/>
    <w:rsid w:val="006C4EFC"/>
    <w:rsid w:val="006C4F63"/>
    <w:rsid w:val="006C50C5"/>
    <w:rsid w:val="006C5164"/>
    <w:rsid w:val="006C51D5"/>
    <w:rsid w:val="006C538A"/>
    <w:rsid w:val="006C53D2"/>
    <w:rsid w:val="006C547F"/>
    <w:rsid w:val="006C54A6"/>
    <w:rsid w:val="006C55A7"/>
    <w:rsid w:val="006C581F"/>
    <w:rsid w:val="006C5906"/>
    <w:rsid w:val="006C59EC"/>
    <w:rsid w:val="006C5AA9"/>
    <w:rsid w:val="006C5B43"/>
    <w:rsid w:val="006C5D48"/>
    <w:rsid w:val="006C5D60"/>
    <w:rsid w:val="006C5F3D"/>
    <w:rsid w:val="006C5F86"/>
    <w:rsid w:val="006C5FB5"/>
    <w:rsid w:val="006C6016"/>
    <w:rsid w:val="006C6104"/>
    <w:rsid w:val="006C6241"/>
    <w:rsid w:val="006C63C0"/>
    <w:rsid w:val="006C63C9"/>
    <w:rsid w:val="006C6501"/>
    <w:rsid w:val="006C6574"/>
    <w:rsid w:val="006C657D"/>
    <w:rsid w:val="006C658B"/>
    <w:rsid w:val="006C6604"/>
    <w:rsid w:val="006C6608"/>
    <w:rsid w:val="006C6692"/>
    <w:rsid w:val="006C6693"/>
    <w:rsid w:val="006C66C7"/>
    <w:rsid w:val="006C6728"/>
    <w:rsid w:val="006C67AA"/>
    <w:rsid w:val="006C68B9"/>
    <w:rsid w:val="006C6A12"/>
    <w:rsid w:val="006C6ADD"/>
    <w:rsid w:val="006C6B67"/>
    <w:rsid w:val="006C6C51"/>
    <w:rsid w:val="006C6D16"/>
    <w:rsid w:val="006C6D26"/>
    <w:rsid w:val="006C6D32"/>
    <w:rsid w:val="006C6D4E"/>
    <w:rsid w:val="006C6DAC"/>
    <w:rsid w:val="006C6DC3"/>
    <w:rsid w:val="006C6E4C"/>
    <w:rsid w:val="006C6E51"/>
    <w:rsid w:val="006C6F74"/>
    <w:rsid w:val="006C6FCE"/>
    <w:rsid w:val="006C7084"/>
    <w:rsid w:val="006C7174"/>
    <w:rsid w:val="006C7275"/>
    <w:rsid w:val="006C7318"/>
    <w:rsid w:val="006C7346"/>
    <w:rsid w:val="006C73B7"/>
    <w:rsid w:val="006C7461"/>
    <w:rsid w:val="006C751A"/>
    <w:rsid w:val="006C75BC"/>
    <w:rsid w:val="006C776C"/>
    <w:rsid w:val="006C7796"/>
    <w:rsid w:val="006C78C1"/>
    <w:rsid w:val="006C7951"/>
    <w:rsid w:val="006C7B2B"/>
    <w:rsid w:val="006C7B63"/>
    <w:rsid w:val="006C7E46"/>
    <w:rsid w:val="006C7F03"/>
    <w:rsid w:val="006C7F2C"/>
    <w:rsid w:val="006C7F8C"/>
    <w:rsid w:val="006D0153"/>
    <w:rsid w:val="006D01EB"/>
    <w:rsid w:val="006D020C"/>
    <w:rsid w:val="006D0212"/>
    <w:rsid w:val="006D0213"/>
    <w:rsid w:val="006D02AA"/>
    <w:rsid w:val="006D034F"/>
    <w:rsid w:val="006D0363"/>
    <w:rsid w:val="006D0378"/>
    <w:rsid w:val="006D0450"/>
    <w:rsid w:val="006D04AC"/>
    <w:rsid w:val="006D0500"/>
    <w:rsid w:val="006D0701"/>
    <w:rsid w:val="006D0710"/>
    <w:rsid w:val="006D079C"/>
    <w:rsid w:val="006D0B7A"/>
    <w:rsid w:val="006D0B90"/>
    <w:rsid w:val="006D0BE1"/>
    <w:rsid w:val="006D0C1A"/>
    <w:rsid w:val="006D0C98"/>
    <w:rsid w:val="006D0CB5"/>
    <w:rsid w:val="006D0DA0"/>
    <w:rsid w:val="006D0E6D"/>
    <w:rsid w:val="006D0FCD"/>
    <w:rsid w:val="006D0FDB"/>
    <w:rsid w:val="006D108C"/>
    <w:rsid w:val="006D10F9"/>
    <w:rsid w:val="006D12E5"/>
    <w:rsid w:val="006D12F1"/>
    <w:rsid w:val="006D133C"/>
    <w:rsid w:val="006D13CB"/>
    <w:rsid w:val="006D1470"/>
    <w:rsid w:val="006D14B6"/>
    <w:rsid w:val="006D1562"/>
    <w:rsid w:val="006D15F5"/>
    <w:rsid w:val="006D1666"/>
    <w:rsid w:val="006D16D8"/>
    <w:rsid w:val="006D172F"/>
    <w:rsid w:val="006D1840"/>
    <w:rsid w:val="006D193F"/>
    <w:rsid w:val="006D19D5"/>
    <w:rsid w:val="006D1B15"/>
    <w:rsid w:val="006D1B29"/>
    <w:rsid w:val="006D1C13"/>
    <w:rsid w:val="006D1C2A"/>
    <w:rsid w:val="006D1C40"/>
    <w:rsid w:val="006D1E49"/>
    <w:rsid w:val="006D1EC4"/>
    <w:rsid w:val="006D1FF1"/>
    <w:rsid w:val="006D2066"/>
    <w:rsid w:val="006D20CF"/>
    <w:rsid w:val="006D2231"/>
    <w:rsid w:val="006D226D"/>
    <w:rsid w:val="006D22BD"/>
    <w:rsid w:val="006D22DB"/>
    <w:rsid w:val="006D2362"/>
    <w:rsid w:val="006D236E"/>
    <w:rsid w:val="006D2458"/>
    <w:rsid w:val="006D24E8"/>
    <w:rsid w:val="006D2553"/>
    <w:rsid w:val="006D269B"/>
    <w:rsid w:val="006D26A6"/>
    <w:rsid w:val="006D2962"/>
    <w:rsid w:val="006D29BC"/>
    <w:rsid w:val="006D29C8"/>
    <w:rsid w:val="006D2A78"/>
    <w:rsid w:val="006D2B1C"/>
    <w:rsid w:val="006D2B47"/>
    <w:rsid w:val="006D2B67"/>
    <w:rsid w:val="006D2C6B"/>
    <w:rsid w:val="006D2CAA"/>
    <w:rsid w:val="006D2CD0"/>
    <w:rsid w:val="006D2D0E"/>
    <w:rsid w:val="006D2DA6"/>
    <w:rsid w:val="006D2DC7"/>
    <w:rsid w:val="006D2DDF"/>
    <w:rsid w:val="006D2E77"/>
    <w:rsid w:val="006D2E7D"/>
    <w:rsid w:val="006D2EA3"/>
    <w:rsid w:val="006D2F23"/>
    <w:rsid w:val="006D2F7D"/>
    <w:rsid w:val="006D2FB2"/>
    <w:rsid w:val="006D30F6"/>
    <w:rsid w:val="006D3118"/>
    <w:rsid w:val="006D3282"/>
    <w:rsid w:val="006D33BF"/>
    <w:rsid w:val="006D3475"/>
    <w:rsid w:val="006D3492"/>
    <w:rsid w:val="006D34AE"/>
    <w:rsid w:val="006D352C"/>
    <w:rsid w:val="006D3597"/>
    <w:rsid w:val="006D3620"/>
    <w:rsid w:val="006D377D"/>
    <w:rsid w:val="006D3782"/>
    <w:rsid w:val="006D38F3"/>
    <w:rsid w:val="006D393B"/>
    <w:rsid w:val="006D3AAC"/>
    <w:rsid w:val="006D3ABA"/>
    <w:rsid w:val="006D3B60"/>
    <w:rsid w:val="006D3C9C"/>
    <w:rsid w:val="006D3C9F"/>
    <w:rsid w:val="006D3CC2"/>
    <w:rsid w:val="006D3CCC"/>
    <w:rsid w:val="006D3D6F"/>
    <w:rsid w:val="006D3DA5"/>
    <w:rsid w:val="006D3DC5"/>
    <w:rsid w:val="006D3DDE"/>
    <w:rsid w:val="006D3E38"/>
    <w:rsid w:val="006D3E3F"/>
    <w:rsid w:val="006D3F74"/>
    <w:rsid w:val="006D42E6"/>
    <w:rsid w:val="006D432E"/>
    <w:rsid w:val="006D4396"/>
    <w:rsid w:val="006D462B"/>
    <w:rsid w:val="006D4685"/>
    <w:rsid w:val="006D46C9"/>
    <w:rsid w:val="006D484E"/>
    <w:rsid w:val="006D4863"/>
    <w:rsid w:val="006D4896"/>
    <w:rsid w:val="006D48E1"/>
    <w:rsid w:val="006D494E"/>
    <w:rsid w:val="006D4A95"/>
    <w:rsid w:val="006D4B3A"/>
    <w:rsid w:val="006D4B3B"/>
    <w:rsid w:val="006D4C00"/>
    <w:rsid w:val="006D4CFD"/>
    <w:rsid w:val="006D4E38"/>
    <w:rsid w:val="006D4F79"/>
    <w:rsid w:val="006D4FFB"/>
    <w:rsid w:val="006D51C8"/>
    <w:rsid w:val="006D5215"/>
    <w:rsid w:val="006D52B9"/>
    <w:rsid w:val="006D52D6"/>
    <w:rsid w:val="006D5456"/>
    <w:rsid w:val="006D5467"/>
    <w:rsid w:val="006D5799"/>
    <w:rsid w:val="006D58F3"/>
    <w:rsid w:val="006D59E5"/>
    <w:rsid w:val="006D5AB3"/>
    <w:rsid w:val="006D5B0E"/>
    <w:rsid w:val="006D5B8E"/>
    <w:rsid w:val="006D5BBE"/>
    <w:rsid w:val="006D5CB2"/>
    <w:rsid w:val="006D5CF7"/>
    <w:rsid w:val="006D5DD5"/>
    <w:rsid w:val="006D5E74"/>
    <w:rsid w:val="006D5ECC"/>
    <w:rsid w:val="006D5F3F"/>
    <w:rsid w:val="006D5F4D"/>
    <w:rsid w:val="006D6258"/>
    <w:rsid w:val="006D625F"/>
    <w:rsid w:val="006D62BD"/>
    <w:rsid w:val="006D62E1"/>
    <w:rsid w:val="006D6395"/>
    <w:rsid w:val="006D63DA"/>
    <w:rsid w:val="006D6428"/>
    <w:rsid w:val="006D6470"/>
    <w:rsid w:val="006D6488"/>
    <w:rsid w:val="006D64A1"/>
    <w:rsid w:val="006D653A"/>
    <w:rsid w:val="006D6569"/>
    <w:rsid w:val="006D6657"/>
    <w:rsid w:val="006D66C1"/>
    <w:rsid w:val="006D66C3"/>
    <w:rsid w:val="006D66D6"/>
    <w:rsid w:val="006D6827"/>
    <w:rsid w:val="006D6837"/>
    <w:rsid w:val="006D6853"/>
    <w:rsid w:val="006D68E4"/>
    <w:rsid w:val="006D68F2"/>
    <w:rsid w:val="006D6A22"/>
    <w:rsid w:val="006D6A92"/>
    <w:rsid w:val="006D6AE8"/>
    <w:rsid w:val="006D6B11"/>
    <w:rsid w:val="006D6B3E"/>
    <w:rsid w:val="006D6BF6"/>
    <w:rsid w:val="006D6C71"/>
    <w:rsid w:val="006D6D7C"/>
    <w:rsid w:val="006D6DFF"/>
    <w:rsid w:val="006D6ED0"/>
    <w:rsid w:val="006D7112"/>
    <w:rsid w:val="006D711C"/>
    <w:rsid w:val="006D7187"/>
    <w:rsid w:val="006D71B4"/>
    <w:rsid w:val="006D7320"/>
    <w:rsid w:val="006D741C"/>
    <w:rsid w:val="006D7466"/>
    <w:rsid w:val="006D7477"/>
    <w:rsid w:val="006D749C"/>
    <w:rsid w:val="006D7520"/>
    <w:rsid w:val="006D7521"/>
    <w:rsid w:val="006D754C"/>
    <w:rsid w:val="006D759F"/>
    <w:rsid w:val="006D75D5"/>
    <w:rsid w:val="006D771D"/>
    <w:rsid w:val="006D7731"/>
    <w:rsid w:val="006D78D8"/>
    <w:rsid w:val="006D7AB7"/>
    <w:rsid w:val="006D7AF0"/>
    <w:rsid w:val="006D7BBD"/>
    <w:rsid w:val="006D7C9B"/>
    <w:rsid w:val="006D7C9D"/>
    <w:rsid w:val="006D7D02"/>
    <w:rsid w:val="006D7D1D"/>
    <w:rsid w:val="006D7D63"/>
    <w:rsid w:val="006D7DE2"/>
    <w:rsid w:val="006D7E25"/>
    <w:rsid w:val="006D7EA4"/>
    <w:rsid w:val="006D7FA0"/>
    <w:rsid w:val="006E01BC"/>
    <w:rsid w:val="006E024B"/>
    <w:rsid w:val="006E0289"/>
    <w:rsid w:val="006E0320"/>
    <w:rsid w:val="006E032C"/>
    <w:rsid w:val="006E0415"/>
    <w:rsid w:val="006E041C"/>
    <w:rsid w:val="006E045A"/>
    <w:rsid w:val="006E04CF"/>
    <w:rsid w:val="006E0596"/>
    <w:rsid w:val="006E0613"/>
    <w:rsid w:val="006E06AA"/>
    <w:rsid w:val="006E0769"/>
    <w:rsid w:val="006E077B"/>
    <w:rsid w:val="006E0A49"/>
    <w:rsid w:val="006E0B3E"/>
    <w:rsid w:val="006E0C15"/>
    <w:rsid w:val="006E0D7B"/>
    <w:rsid w:val="006E0D8A"/>
    <w:rsid w:val="006E0DF0"/>
    <w:rsid w:val="006E0DF6"/>
    <w:rsid w:val="006E0F46"/>
    <w:rsid w:val="006E0FEC"/>
    <w:rsid w:val="006E10DD"/>
    <w:rsid w:val="006E112B"/>
    <w:rsid w:val="006E1193"/>
    <w:rsid w:val="006E1204"/>
    <w:rsid w:val="006E1234"/>
    <w:rsid w:val="006E12F7"/>
    <w:rsid w:val="006E1369"/>
    <w:rsid w:val="006E16E9"/>
    <w:rsid w:val="006E1783"/>
    <w:rsid w:val="006E185E"/>
    <w:rsid w:val="006E1A40"/>
    <w:rsid w:val="006E1BB0"/>
    <w:rsid w:val="006E1CBE"/>
    <w:rsid w:val="006E1CE0"/>
    <w:rsid w:val="006E1CF4"/>
    <w:rsid w:val="006E1DCF"/>
    <w:rsid w:val="006E2082"/>
    <w:rsid w:val="006E20D4"/>
    <w:rsid w:val="006E20DC"/>
    <w:rsid w:val="006E20EF"/>
    <w:rsid w:val="006E20FE"/>
    <w:rsid w:val="006E2240"/>
    <w:rsid w:val="006E228D"/>
    <w:rsid w:val="006E239D"/>
    <w:rsid w:val="006E23A0"/>
    <w:rsid w:val="006E2422"/>
    <w:rsid w:val="006E24A8"/>
    <w:rsid w:val="006E2511"/>
    <w:rsid w:val="006E2589"/>
    <w:rsid w:val="006E260E"/>
    <w:rsid w:val="006E2855"/>
    <w:rsid w:val="006E28B0"/>
    <w:rsid w:val="006E28DF"/>
    <w:rsid w:val="006E28E4"/>
    <w:rsid w:val="006E298C"/>
    <w:rsid w:val="006E2A1E"/>
    <w:rsid w:val="006E2A36"/>
    <w:rsid w:val="006E2A47"/>
    <w:rsid w:val="006E2A6B"/>
    <w:rsid w:val="006E2C88"/>
    <w:rsid w:val="006E2CCC"/>
    <w:rsid w:val="006E2D63"/>
    <w:rsid w:val="006E2FEF"/>
    <w:rsid w:val="006E31A7"/>
    <w:rsid w:val="006E3293"/>
    <w:rsid w:val="006E32AA"/>
    <w:rsid w:val="006E32CE"/>
    <w:rsid w:val="006E3468"/>
    <w:rsid w:val="006E3553"/>
    <w:rsid w:val="006E355A"/>
    <w:rsid w:val="006E35EE"/>
    <w:rsid w:val="006E37C6"/>
    <w:rsid w:val="006E39C1"/>
    <w:rsid w:val="006E3A00"/>
    <w:rsid w:val="006E3C12"/>
    <w:rsid w:val="006E3C3C"/>
    <w:rsid w:val="006E3CDA"/>
    <w:rsid w:val="006E3D44"/>
    <w:rsid w:val="006E3D6C"/>
    <w:rsid w:val="006E3D6F"/>
    <w:rsid w:val="006E3E44"/>
    <w:rsid w:val="006E3ECC"/>
    <w:rsid w:val="006E3F11"/>
    <w:rsid w:val="006E3F6B"/>
    <w:rsid w:val="006E3FFD"/>
    <w:rsid w:val="006E4273"/>
    <w:rsid w:val="006E431C"/>
    <w:rsid w:val="006E4430"/>
    <w:rsid w:val="006E453B"/>
    <w:rsid w:val="006E46C6"/>
    <w:rsid w:val="006E471A"/>
    <w:rsid w:val="006E47E4"/>
    <w:rsid w:val="006E481B"/>
    <w:rsid w:val="006E4894"/>
    <w:rsid w:val="006E4933"/>
    <w:rsid w:val="006E4996"/>
    <w:rsid w:val="006E49A4"/>
    <w:rsid w:val="006E4BE7"/>
    <w:rsid w:val="006E4BE9"/>
    <w:rsid w:val="006E4C7E"/>
    <w:rsid w:val="006E4D17"/>
    <w:rsid w:val="006E4E07"/>
    <w:rsid w:val="006E4F81"/>
    <w:rsid w:val="006E51F1"/>
    <w:rsid w:val="006E5247"/>
    <w:rsid w:val="006E524D"/>
    <w:rsid w:val="006E5276"/>
    <w:rsid w:val="006E52F4"/>
    <w:rsid w:val="006E534E"/>
    <w:rsid w:val="006E5520"/>
    <w:rsid w:val="006E555F"/>
    <w:rsid w:val="006E5565"/>
    <w:rsid w:val="006E55AA"/>
    <w:rsid w:val="006E55D3"/>
    <w:rsid w:val="006E567A"/>
    <w:rsid w:val="006E5699"/>
    <w:rsid w:val="006E56D9"/>
    <w:rsid w:val="006E56DA"/>
    <w:rsid w:val="006E5856"/>
    <w:rsid w:val="006E5934"/>
    <w:rsid w:val="006E5BD7"/>
    <w:rsid w:val="006E5C4B"/>
    <w:rsid w:val="006E5C77"/>
    <w:rsid w:val="006E5D60"/>
    <w:rsid w:val="006E5DCF"/>
    <w:rsid w:val="006E5EA8"/>
    <w:rsid w:val="006E6000"/>
    <w:rsid w:val="006E6044"/>
    <w:rsid w:val="006E605F"/>
    <w:rsid w:val="006E6061"/>
    <w:rsid w:val="006E606B"/>
    <w:rsid w:val="006E60AA"/>
    <w:rsid w:val="006E60D1"/>
    <w:rsid w:val="006E6392"/>
    <w:rsid w:val="006E639C"/>
    <w:rsid w:val="006E639E"/>
    <w:rsid w:val="006E63FF"/>
    <w:rsid w:val="006E6522"/>
    <w:rsid w:val="006E66C0"/>
    <w:rsid w:val="006E68C3"/>
    <w:rsid w:val="006E692E"/>
    <w:rsid w:val="006E6A4A"/>
    <w:rsid w:val="006E6A76"/>
    <w:rsid w:val="006E6AE3"/>
    <w:rsid w:val="006E6AFD"/>
    <w:rsid w:val="006E6BEE"/>
    <w:rsid w:val="006E6BF6"/>
    <w:rsid w:val="006E6CFB"/>
    <w:rsid w:val="006E6D59"/>
    <w:rsid w:val="006E6E70"/>
    <w:rsid w:val="006E6EAE"/>
    <w:rsid w:val="006E6F40"/>
    <w:rsid w:val="006E6F90"/>
    <w:rsid w:val="006E7044"/>
    <w:rsid w:val="006E7147"/>
    <w:rsid w:val="006E7150"/>
    <w:rsid w:val="006E71AE"/>
    <w:rsid w:val="006E7243"/>
    <w:rsid w:val="006E72E4"/>
    <w:rsid w:val="006E72EB"/>
    <w:rsid w:val="006E732D"/>
    <w:rsid w:val="006E73EA"/>
    <w:rsid w:val="006E740F"/>
    <w:rsid w:val="006E75E0"/>
    <w:rsid w:val="006E7729"/>
    <w:rsid w:val="006E7874"/>
    <w:rsid w:val="006E78E6"/>
    <w:rsid w:val="006E7AB4"/>
    <w:rsid w:val="006E7AE3"/>
    <w:rsid w:val="006E7B89"/>
    <w:rsid w:val="006E7D2F"/>
    <w:rsid w:val="006E7FA8"/>
    <w:rsid w:val="006F002B"/>
    <w:rsid w:val="006F00E1"/>
    <w:rsid w:val="006F01E5"/>
    <w:rsid w:val="006F01EB"/>
    <w:rsid w:val="006F01F3"/>
    <w:rsid w:val="006F02AD"/>
    <w:rsid w:val="006F0378"/>
    <w:rsid w:val="006F039F"/>
    <w:rsid w:val="006F04B3"/>
    <w:rsid w:val="006F064F"/>
    <w:rsid w:val="006F065A"/>
    <w:rsid w:val="006F07D4"/>
    <w:rsid w:val="006F08DB"/>
    <w:rsid w:val="006F0A7F"/>
    <w:rsid w:val="006F0ACB"/>
    <w:rsid w:val="006F0AFA"/>
    <w:rsid w:val="006F0B43"/>
    <w:rsid w:val="006F0E0F"/>
    <w:rsid w:val="006F0E6E"/>
    <w:rsid w:val="006F0E86"/>
    <w:rsid w:val="006F102D"/>
    <w:rsid w:val="006F1102"/>
    <w:rsid w:val="006F1251"/>
    <w:rsid w:val="006F12A7"/>
    <w:rsid w:val="006F12AA"/>
    <w:rsid w:val="006F12AE"/>
    <w:rsid w:val="006F12BE"/>
    <w:rsid w:val="006F12C9"/>
    <w:rsid w:val="006F1392"/>
    <w:rsid w:val="006F13AB"/>
    <w:rsid w:val="006F13F5"/>
    <w:rsid w:val="006F1406"/>
    <w:rsid w:val="006F154B"/>
    <w:rsid w:val="006F1624"/>
    <w:rsid w:val="006F1758"/>
    <w:rsid w:val="006F1799"/>
    <w:rsid w:val="006F182E"/>
    <w:rsid w:val="006F18E6"/>
    <w:rsid w:val="006F1A06"/>
    <w:rsid w:val="006F1B52"/>
    <w:rsid w:val="006F1B78"/>
    <w:rsid w:val="006F1BAE"/>
    <w:rsid w:val="006F1BE4"/>
    <w:rsid w:val="006F1BE6"/>
    <w:rsid w:val="006F1C5D"/>
    <w:rsid w:val="006F1CB2"/>
    <w:rsid w:val="006F1CCF"/>
    <w:rsid w:val="006F1D54"/>
    <w:rsid w:val="006F1D6C"/>
    <w:rsid w:val="006F1E92"/>
    <w:rsid w:val="006F1EAE"/>
    <w:rsid w:val="006F1F11"/>
    <w:rsid w:val="006F1F4D"/>
    <w:rsid w:val="006F1F79"/>
    <w:rsid w:val="006F207E"/>
    <w:rsid w:val="006F20A6"/>
    <w:rsid w:val="006F21D8"/>
    <w:rsid w:val="006F22E0"/>
    <w:rsid w:val="006F232F"/>
    <w:rsid w:val="006F23D0"/>
    <w:rsid w:val="006F23FA"/>
    <w:rsid w:val="006F246F"/>
    <w:rsid w:val="006F268F"/>
    <w:rsid w:val="006F26D1"/>
    <w:rsid w:val="006F2796"/>
    <w:rsid w:val="006F27A6"/>
    <w:rsid w:val="006F27CE"/>
    <w:rsid w:val="006F27EF"/>
    <w:rsid w:val="006F2867"/>
    <w:rsid w:val="006F2924"/>
    <w:rsid w:val="006F295F"/>
    <w:rsid w:val="006F29A9"/>
    <w:rsid w:val="006F29FC"/>
    <w:rsid w:val="006F2A39"/>
    <w:rsid w:val="006F2D77"/>
    <w:rsid w:val="006F2E82"/>
    <w:rsid w:val="006F2EA1"/>
    <w:rsid w:val="006F2F01"/>
    <w:rsid w:val="006F2FAF"/>
    <w:rsid w:val="006F3037"/>
    <w:rsid w:val="006F3040"/>
    <w:rsid w:val="006F304B"/>
    <w:rsid w:val="006F316C"/>
    <w:rsid w:val="006F3269"/>
    <w:rsid w:val="006F329A"/>
    <w:rsid w:val="006F3361"/>
    <w:rsid w:val="006F34AD"/>
    <w:rsid w:val="006F3514"/>
    <w:rsid w:val="006F3592"/>
    <w:rsid w:val="006F36E9"/>
    <w:rsid w:val="006F36F6"/>
    <w:rsid w:val="006F3777"/>
    <w:rsid w:val="006F37EC"/>
    <w:rsid w:val="006F3948"/>
    <w:rsid w:val="006F39A4"/>
    <w:rsid w:val="006F39E0"/>
    <w:rsid w:val="006F3A16"/>
    <w:rsid w:val="006F3A29"/>
    <w:rsid w:val="006F3A33"/>
    <w:rsid w:val="006F3B5D"/>
    <w:rsid w:val="006F3BB8"/>
    <w:rsid w:val="006F3BD4"/>
    <w:rsid w:val="006F3BDD"/>
    <w:rsid w:val="006F3C20"/>
    <w:rsid w:val="006F3D61"/>
    <w:rsid w:val="006F3D8D"/>
    <w:rsid w:val="006F3F47"/>
    <w:rsid w:val="006F41D8"/>
    <w:rsid w:val="006F4254"/>
    <w:rsid w:val="006F4278"/>
    <w:rsid w:val="006F42DE"/>
    <w:rsid w:val="006F456C"/>
    <w:rsid w:val="006F45E0"/>
    <w:rsid w:val="006F46BD"/>
    <w:rsid w:val="006F4715"/>
    <w:rsid w:val="006F4913"/>
    <w:rsid w:val="006F49EC"/>
    <w:rsid w:val="006F4A8D"/>
    <w:rsid w:val="006F4ADF"/>
    <w:rsid w:val="006F4B30"/>
    <w:rsid w:val="006F4BB5"/>
    <w:rsid w:val="006F4C43"/>
    <w:rsid w:val="006F4CF8"/>
    <w:rsid w:val="006F4F85"/>
    <w:rsid w:val="006F51E3"/>
    <w:rsid w:val="006F525D"/>
    <w:rsid w:val="006F5268"/>
    <w:rsid w:val="006F5277"/>
    <w:rsid w:val="006F540B"/>
    <w:rsid w:val="006F542E"/>
    <w:rsid w:val="006F5487"/>
    <w:rsid w:val="006F549E"/>
    <w:rsid w:val="006F54F8"/>
    <w:rsid w:val="006F5545"/>
    <w:rsid w:val="006F5587"/>
    <w:rsid w:val="006F55F0"/>
    <w:rsid w:val="006F5649"/>
    <w:rsid w:val="006F5746"/>
    <w:rsid w:val="006F58B4"/>
    <w:rsid w:val="006F59A0"/>
    <w:rsid w:val="006F5A5E"/>
    <w:rsid w:val="006F5B87"/>
    <w:rsid w:val="006F5CCA"/>
    <w:rsid w:val="006F5D72"/>
    <w:rsid w:val="006F5D75"/>
    <w:rsid w:val="006F5D7B"/>
    <w:rsid w:val="006F5D87"/>
    <w:rsid w:val="006F5ECE"/>
    <w:rsid w:val="006F5FBA"/>
    <w:rsid w:val="006F5FC6"/>
    <w:rsid w:val="006F601C"/>
    <w:rsid w:val="006F615B"/>
    <w:rsid w:val="006F616C"/>
    <w:rsid w:val="006F622D"/>
    <w:rsid w:val="006F62B2"/>
    <w:rsid w:val="006F63C3"/>
    <w:rsid w:val="006F650D"/>
    <w:rsid w:val="006F684E"/>
    <w:rsid w:val="006F696B"/>
    <w:rsid w:val="006F69C3"/>
    <w:rsid w:val="006F6B30"/>
    <w:rsid w:val="006F6BF5"/>
    <w:rsid w:val="006F6D8D"/>
    <w:rsid w:val="006F6F11"/>
    <w:rsid w:val="006F6F16"/>
    <w:rsid w:val="006F6F17"/>
    <w:rsid w:val="006F6F1F"/>
    <w:rsid w:val="006F6F3E"/>
    <w:rsid w:val="006F7154"/>
    <w:rsid w:val="006F7178"/>
    <w:rsid w:val="006F72E4"/>
    <w:rsid w:val="006F7392"/>
    <w:rsid w:val="006F73D4"/>
    <w:rsid w:val="006F741D"/>
    <w:rsid w:val="006F750C"/>
    <w:rsid w:val="006F75BB"/>
    <w:rsid w:val="006F7621"/>
    <w:rsid w:val="006F7657"/>
    <w:rsid w:val="006F77EE"/>
    <w:rsid w:val="006F787B"/>
    <w:rsid w:val="006F78C5"/>
    <w:rsid w:val="006F79D4"/>
    <w:rsid w:val="006F7C35"/>
    <w:rsid w:val="006F7C5A"/>
    <w:rsid w:val="006F7D27"/>
    <w:rsid w:val="006F7EAE"/>
    <w:rsid w:val="00700090"/>
    <w:rsid w:val="00700197"/>
    <w:rsid w:val="00700391"/>
    <w:rsid w:val="007003B2"/>
    <w:rsid w:val="00700465"/>
    <w:rsid w:val="007004D3"/>
    <w:rsid w:val="00700520"/>
    <w:rsid w:val="007005F6"/>
    <w:rsid w:val="0070067F"/>
    <w:rsid w:val="00700697"/>
    <w:rsid w:val="0070069C"/>
    <w:rsid w:val="007006DB"/>
    <w:rsid w:val="00700709"/>
    <w:rsid w:val="0070089D"/>
    <w:rsid w:val="00700971"/>
    <w:rsid w:val="00700A08"/>
    <w:rsid w:val="00700A2C"/>
    <w:rsid w:val="00700A32"/>
    <w:rsid w:val="00700A3E"/>
    <w:rsid w:val="00700A65"/>
    <w:rsid w:val="00700B25"/>
    <w:rsid w:val="00700B66"/>
    <w:rsid w:val="00700BD0"/>
    <w:rsid w:val="00700C81"/>
    <w:rsid w:val="00700CD0"/>
    <w:rsid w:val="00700ECB"/>
    <w:rsid w:val="00700F16"/>
    <w:rsid w:val="00700F2D"/>
    <w:rsid w:val="00701007"/>
    <w:rsid w:val="007010F1"/>
    <w:rsid w:val="00701162"/>
    <w:rsid w:val="007011EB"/>
    <w:rsid w:val="007012C0"/>
    <w:rsid w:val="007012C7"/>
    <w:rsid w:val="0070142B"/>
    <w:rsid w:val="0070152E"/>
    <w:rsid w:val="00701588"/>
    <w:rsid w:val="007015C3"/>
    <w:rsid w:val="00701646"/>
    <w:rsid w:val="0070178C"/>
    <w:rsid w:val="007018BD"/>
    <w:rsid w:val="007019C7"/>
    <w:rsid w:val="00701B47"/>
    <w:rsid w:val="00701C52"/>
    <w:rsid w:val="00701CC7"/>
    <w:rsid w:val="00701CE4"/>
    <w:rsid w:val="00701CED"/>
    <w:rsid w:val="00701E20"/>
    <w:rsid w:val="00701EDC"/>
    <w:rsid w:val="00701FB4"/>
    <w:rsid w:val="00701FB6"/>
    <w:rsid w:val="00702295"/>
    <w:rsid w:val="00702332"/>
    <w:rsid w:val="00702363"/>
    <w:rsid w:val="007023EE"/>
    <w:rsid w:val="0070247A"/>
    <w:rsid w:val="00702528"/>
    <w:rsid w:val="0070253E"/>
    <w:rsid w:val="00702558"/>
    <w:rsid w:val="007026D6"/>
    <w:rsid w:val="00702749"/>
    <w:rsid w:val="00702837"/>
    <w:rsid w:val="007028FF"/>
    <w:rsid w:val="0070299E"/>
    <w:rsid w:val="00702A68"/>
    <w:rsid w:val="00702AC4"/>
    <w:rsid w:val="00702DE0"/>
    <w:rsid w:val="00702E95"/>
    <w:rsid w:val="0070302C"/>
    <w:rsid w:val="00703094"/>
    <w:rsid w:val="007030AA"/>
    <w:rsid w:val="0070314B"/>
    <w:rsid w:val="0070334F"/>
    <w:rsid w:val="0070339F"/>
    <w:rsid w:val="007033C6"/>
    <w:rsid w:val="00703499"/>
    <w:rsid w:val="00703526"/>
    <w:rsid w:val="00703665"/>
    <w:rsid w:val="0070368D"/>
    <w:rsid w:val="00703836"/>
    <w:rsid w:val="007038F3"/>
    <w:rsid w:val="0070394D"/>
    <w:rsid w:val="00703A3D"/>
    <w:rsid w:val="00703AF7"/>
    <w:rsid w:val="00703C04"/>
    <w:rsid w:val="00703C40"/>
    <w:rsid w:val="00703C5E"/>
    <w:rsid w:val="00703D0C"/>
    <w:rsid w:val="00703DC3"/>
    <w:rsid w:val="00703E76"/>
    <w:rsid w:val="00703F31"/>
    <w:rsid w:val="00703F91"/>
    <w:rsid w:val="00703FFD"/>
    <w:rsid w:val="0070405E"/>
    <w:rsid w:val="007040AB"/>
    <w:rsid w:val="007040D0"/>
    <w:rsid w:val="0070425A"/>
    <w:rsid w:val="00704297"/>
    <w:rsid w:val="007043F2"/>
    <w:rsid w:val="00704409"/>
    <w:rsid w:val="00704529"/>
    <w:rsid w:val="00704627"/>
    <w:rsid w:val="007046C6"/>
    <w:rsid w:val="00704737"/>
    <w:rsid w:val="00704812"/>
    <w:rsid w:val="00704968"/>
    <w:rsid w:val="007049B1"/>
    <w:rsid w:val="007049C2"/>
    <w:rsid w:val="00704AA1"/>
    <w:rsid w:val="00704AC8"/>
    <w:rsid w:val="00704B85"/>
    <w:rsid w:val="00704DD8"/>
    <w:rsid w:val="00704E40"/>
    <w:rsid w:val="00704E46"/>
    <w:rsid w:val="00704EE7"/>
    <w:rsid w:val="00704FCA"/>
    <w:rsid w:val="00704FDD"/>
    <w:rsid w:val="00705011"/>
    <w:rsid w:val="0070501F"/>
    <w:rsid w:val="00705087"/>
    <w:rsid w:val="0070511C"/>
    <w:rsid w:val="007053DE"/>
    <w:rsid w:val="00705422"/>
    <w:rsid w:val="00705468"/>
    <w:rsid w:val="007057F9"/>
    <w:rsid w:val="00705808"/>
    <w:rsid w:val="00705963"/>
    <w:rsid w:val="0070597E"/>
    <w:rsid w:val="00705B33"/>
    <w:rsid w:val="00705BEE"/>
    <w:rsid w:val="00705C2A"/>
    <w:rsid w:val="00705C2B"/>
    <w:rsid w:val="00705C80"/>
    <w:rsid w:val="00705C85"/>
    <w:rsid w:val="00705F47"/>
    <w:rsid w:val="00705FD0"/>
    <w:rsid w:val="0070613F"/>
    <w:rsid w:val="0070615E"/>
    <w:rsid w:val="00706190"/>
    <w:rsid w:val="00706235"/>
    <w:rsid w:val="0070636B"/>
    <w:rsid w:val="007063C8"/>
    <w:rsid w:val="00706406"/>
    <w:rsid w:val="00706447"/>
    <w:rsid w:val="00706461"/>
    <w:rsid w:val="0070646C"/>
    <w:rsid w:val="0070648F"/>
    <w:rsid w:val="007064ED"/>
    <w:rsid w:val="00706543"/>
    <w:rsid w:val="0070656B"/>
    <w:rsid w:val="0070659D"/>
    <w:rsid w:val="007065C2"/>
    <w:rsid w:val="00706728"/>
    <w:rsid w:val="00706784"/>
    <w:rsid w:val="00706884"/>
    <w:rsid w:val="0070691B"/>
    <w:rsid w:val="0070699A"/>
    <w:rsid w:val="007069A4"/>
    <w:rsid w:val="007069DA"/>
    <w:rsid w:val="00706BDE"/>
    <w:rsid w:val="00706C0F"/>
    <w:rsid w:val="00706C4B"/>
    <w:rsid w:val="00706E12"/>
    <w:rsid w:val="00706ECB"/>
    <w:rsid w:val="00706F81"/>
    <w:rsid w:val="00707006"/>
    <w:rsid w:val="007070F2"/>
    <w:rsid w:val="007071BD"/>
    <w:rsid w:val="007071FE"/>
    <w:rsid w:val="0070722E"/>
    <w:rsid w:val="00707252"/>
    <w:rsid w:val="00707283"/>
    <w:rsid w:val="00707345"/>
    <w:rsid w:val="0070739C"/>
    <w:rsid w:val="0070747B"/>
    <w:rsid w:val="007074F8"/>
    <w:rsid w:val="007075DD"/>
    <w:rsid w:val="00707604"/>
    <w:rsid w:val="0070760B"/>
    <w:rsid w:val="007076A5"/>
    <w:rsid w:val="007076F4"/>
    <w:rsid w:val="0070774B"/>
    <w:rsid w:val="00707830"/>
    <w:rsid w:val="007078FC"/>
    <w:rsid w:val="00707943"/>
    <w:rsid w:val="007079EC"/>
    <w:rsid w:val="00707A92"/>
    <w:rsid w:val="00707AA9"/>
    <w:rsid w:val="00707B0A"/>
    <w:rsid w:val="00707BB0"/>
    <w:rsid w:val="00707BF1"/>
    <w:rsid w:val="00707CBE"/>
    <w:rsid w:val="00707CDB"/>
    <w:rsid w:val="00707D6E"/>
    <w:rsid w:val="00707DA9"/>
    <w:rsid w:val="00707EC9"/>
    <w:rsid w:val="00710033"/>
    <w:rsid w:val="00710293"/>
    <w:rsid w:val="0071029C"/>
    <w:rsid w:val="0071039E"/>
    <w:rsid w:val="00710401"/>
    <w:rsid w:val="00710404"/>
    <w:rsid w:val="007104A0"/>
    <w:rsid w:val="0071060B"/>
    <w:rsid w:val="007106A1"/>
    <w:rsid w:val="007106C4"/>
    <w:rsid w:val="007106E3"/>
    <w:rsid w:val="0071073D"/>
    <w:rsid w:val="007107E7"/>
    <w:rsid w:val="007108CA"/>
    <w:rsid w:val="00710913"/>
    <w:rsid w:val="007109FB"/>
    <w:rsid w:val="00710A58"/>
    <w:rsid w:val="00710C9B"/>
    <w:rsid w:val="00710D51"/>
    <w:rsid w:val="00710DB5"/>
    <w:rsid w:val="00710F8D"/>
    <w:rsid w:val="00710FDF"/>
    <w:rsid w:val="007110D5"/>
    <w:rsid w:val="007111B6"/>
    <w:rsid w:val="007112F2"/>
    <w:rsid w:val="007113CD"/>
    <w:rsid w:val="00711414"/>
    <w:rsid w:val="00711421"/>
    <w:rsid w:val="007115C2"/>
    <w:rsid w:val="00711636"/>
    <w:rsid w:val="00711655"/>
    <w:rsid w:val="00711675"/>
    <w:rsid w:val="0071167E"/>
    <w:rsid w:val="007116AC"/>
    <w:rsid w:val="00711732"/>
    <w:rsid w:val="0071177D"/>
    <w:rsid w:val="00711909"/>
    <w:rsid w:val="00711A24"/>
    <w:rsid w:val="00711AE3"/>
    <w:rsid w:val="00711AF0"/>
    <w:rsid w:val="00711C07"/>
    <w:rsid w:val="00711CE8"/>
    <w:rsid w:val="00711DCD"/>
    <w:rsid w:val="00711E9A"/>
    <w:rsid w:val="00711F20"/>
    <w:rsid w:val="00711F21"/>
    <w:rsid w:val="007120D0"/>
    <w:rsid w:val="00712135"/>
    <w:rsid w:val="00712165"/>
    <w:rsid w:val="007121D3"/>
    <w:rsid w:val="00712283"/>
    <w:rsid w:val="007122FD"/>
    <w:rsid w:val="0071239B"/>
    <w:rsid w:val="007124A2"/>
    <w:rsid w:val="007124EE"/>
    <w:rsid w:val="007125C1"/>
    <w:rsid w:val="00712695"/>
    <w:rsid w:val="007126D8"/>
    <w:rsid w:val="007126EA"/>
    <w:rsid w:val="007127C1"/>
    <w:rsid w:val="007127FC"/>
    <w:rsid w:val="007127FF"/>
    <w:rsid w:val="007128CE"/>
    <w:rsid w:val="00712A04"/>
    <w:rsid w:val="00712A94"/>
    <w:rsid w:val="00712A96"/>
    <w:rsid w:val="00712AC1"/>
    <w:rsid w:val="00712BFE"/>
    <w:rsid w:val="00712CE6"/>
    <w:rsid w:val="00712D76"/>
    <w:rsid w:val="00712E7F"/>
    <w:rsid w:val="00712E89"/>
    <w:rsid w:val="00712ED5"/>
    <w:rsid w:val="00712F82"/>
    <w:rsid w:val="00713005"/>
    <w:rsid w:val="0071301B"/>
    <w:rsid w:val="0071317C"/>
    <w:rsid w:val="007131B9"/>
    <w:rsid w:val="00713244"/>
    <w:rsid w:val="007133B3"/>
    <w:rsid w:val="007133ED"/>
    <w:rsid w:val="007134A2"/>
    <w:rsid w:val="00713606"/>
    <w:rsid w:val="00713719"/>
    <w:rsid w:val="007137B3"/>
    <w:rsid w:val="007137CD"/>
    <w:rsid w:val="007137EC"/>
    <w:rsid w:val="007138B5"/>
    <w:rsid w:val="00713927"/>
    <w:rsid w:val="0071393A"/>
    <w:rsid w:val="00713B30"/>
    <w:rsid w:val="00713BDF"/>
    <w:rsid w:val="00713C92"/>
    <w:rsid w:val="00713F01"/>
    <w:rsid w:val="00713F4A"/>
    <w:rsid w:val="0071400A"/>
    <w:rsid w:val="00714075"/>
    <w:rsid w:val="007141CB"/>
    <w:rsid w:val="007141DD"/>
    <w:rsid w:val="00714278"/>
    <w:rsid w:val="0071429B"/>
    <w:rsid w:val="0071436A"/>
    <w:rsid w:val="00714392"/>
    <w:rsid w:val="007143A4"/>
    <w:rsid w:val="007143D8"/>
    <w:rsid w:val="00714561"/>
    <w:rsid w:val="00714644"/>
    <w:rsid w:val="00714674"/>
    <w:rsid w:val="0071471A"/>
    <w:rsid w:val="00714721"/>
    <w:rsid w:val="007148BC"/>
    <w:rsid w:val="007148D4"/>
    <w:rsid w:val="00714976"/>
    <w:rsid w:val="007149BC"/>
    <w:rsid w:val="007149E5"/>
    <w:rsid w:val="00714A9A"/>
    <w:rsid w:val="00714B84"/>
    <w:rsid w:val="00714BB4"/>
    <w:rsid w:val="00714BC6"/>
    <w:rsid w:val="00714BCB"/>
    <w:rsid w:val="00714CCD"/>
    <w:rsid w:val="00714CE6"/>
    <w:rsid w:val="00714DD0"/>
    <w:rsid w:val="00714DEF"/>
    <w:rsid w:val="00714E16"/>
    <w:rsid w:val="00714E69"/>
    <w:rsid w:val="00714E8C"/>
    <w:rsid w:val="00714EA0"/>
    <w:rsid w:val="00714F32"/>
    <w:rsid w:val="007150D5"/>
    <w:rsid w:val="00715109"/>
    <w:rsid w:val="0071514D"/>
    <w:rsid w:val="007151E4"/>
    <w:rsid w:val="00715200"/>
    <w:rsid w:val="00715395"/>
    <w:rsid w:val="00715430"/>
    <w:rsid w:val="00715444"/>
    <w:rsid w:val="007154A4"/>
    <w:rsid w:val="00715508"/>
    <w:rsid w:val="0071556E"/>
    <w:rsid w:val="00715579"/>
    <w:rsid w:val="007155F3"/>
    <w:rsid w:val="0071563E"/>
    <w:rsid w:val="00715811"/>
    <w:rsid w:val="0071583D"/>
    <w:rsid w:val="0071591C"/>
    <w:rsid w:val="00715989"/>
    <w:rsid w:val="00715991"/>
    <w:rsid w:val="007159D7"/>
    <w:rsid w:val="00715ADE"/>
    <w:rsid w:val="00715C1D"/>
    <w:rsid w:val="00715C58"/>
    <w:rsid w:val="00715CFE"/>
    <w:rsid w:val="00715FB5"/>
    <w:rsid w:val="00716206"/>
    <w:rsid w:val="007162A1"/>
    <w:rsid w:val="007162D6"/>
    <w:rsid w:val="0071637C"/>
    <w:rsid w:val="00716398"/>
    <w:rsid w:val="0071653B"/>
    <w:rsid w:val="00716548"/>
    <w:rsid w:val="00716558"/>
    <w:rsid w:val="0071656C"/>
    <w:rsid w:val="007167F3"/>
    <w:rsid w:val="00716804"/>
    <w:rsid w:val="00716880"/>
    <w:rsid w:val="007168F8"/>
    <w:rsid w:val="00716A17"/>
    <w:rsid w:val="00716AD8"/>
    <w:rsid w:val="00716B12"/>
    <w:rsid w:val="00716BFF"/>
    <w:rsid w:val="00716E1E"/>
    <w:rsid w:val="00716E54"/>
    <w:rsid w:val="00716ECE"/>
    <w:rsid w:val="00717058"/>
    <w:rsid w:val="007170FF"/>
    <w:rsid w:val="0071741D"/>
    <w:rsid w:val="00717444"/>
    <w:rsid w:val="0071761B"/>
    <w:rsid w:val="007176D6"/>
    <w:rsid w:val="0071770B"/>
    <w:rsid w:val="0071771A"/>
    <w:rsid w:val="00717736"/>
    <w:rsid w:val="00717776"/>
    <w:rsid w:val="00717792"/>
    <w:rsid w:val="007178D5"/>
    <w:rsid w:val="0071790A"/>
    <w:rsid w:val="00717958"/>
    <w:rsid w:val="00717ABB"/>
    <w:rsid w:val="00717AF0"/>
    <w:rsid w:val="00717BD7"/>
    <w:rsid w:val="00717D27"/>
    <w:rsid w:val="00717D82"/>
    <w:rsid w:val="00717E49"/>
    <w:rsid w:val="00717F55"/>
    <w:rsid w:val="0072003C"/>
    <w:rsid w:val="007200BA"/>
    <w:rsid w:val="00720157"/>
    <w:rsid w:val="007201A7"/>
    <w:rsid w:val="0072036D"/>
    <w:rsid w:val="00720380"/>
    <w:rsid w:val="00720451"/>
    <w:rsid w:val="00720494"/>
    <w:rsid w:val="00720519"/>
    <w:rsid w:val="0072052D"/>
    <w:rsid w:val="007205B7"/>
    <w:rsid w:val="007205BD"/>
    <w:rsid w:val="007205DA"/>
    <w:rsid w:val="00720797"/>
    <w:rsid w:val="00720824"/>
    <w:rsid w:val="00720841"/>
    <w:rsid w:val="0072084E"/>
    <w:rsid w:val="0072093A"/>
    <w:rsid w:val="007209F1"/>
    <w:rsid w:val="00720A87"/>
    <w:rsid w:val="00720B86"/>
    <w:rsid w:val="00720C26"/>
    <w:rsid w:val="00720DDD"/>
    <w:rsid w:val="00720E9D"/>
    <w:rsid w:val="00720ECE"/>
    <w:rsid w:val="00721230"/>
    <w:rsid w:val="007212F0"/>
    <w:rsid w:val="007213F4"/>
    <w:rsid w:val="0072140D"/>
    <w:rsid w:val="0072142C"/>
    <w:rsid w:val="0072142E"/>
    <w:rsid w:val="00721511"/>
    <w:rsid w:val="007215E5"/>
    <w:rsid w:val="0072171A"/>
    <w:rsid w:val="007217A9"/>
    <w:rsid w:val="007217AA"/>
    <w:rsid w:val="007217AF"/>
    <w:rsid w:val="00721995"/>
    <w:rsid w:val="00721A1E"/>
    <w:rsid w:val="00721A86"/>
    <w:rsid w:val="00721AFF"/>
    <w:rsid w:val="00721B8B"/>
    <w:rsid w:val="00721BB4"/>
    <w:rsid w:val="00721BE0"/>
    <w:rsid w:val="00721BE5"/>
    <w:rsid w:val="00721C18"/>
    <w:rsid w:val="00721D58"/>
    <w:rsid w:val="00721D64"/>
    <w:rsid w:val="00721F17"/>
    <w:rsid w:val="00721F36"/>
    <w:rsid w:val="0072204B"/>
    <w:rsid w:val="0072207F"/>
    <w:rsid w:val="00722100"/>
    <w:rsid w:val="00722114"/>
    <w:rsid w:val="0072213F"/>
    <w:rsid w:val="00722164"/>
    <w:rsid w:val="007221B4"/>
    <w:rsid w:val="007221DA"/>
    <w:rsid w:val="007223D9"/>
    <w:rsid w:val="00722469"/>
    <w:rsid w:val="00722478"/>
    <w:rsid w:val="007225EF"/>
    <w:rsid w:val="00722681"/>
    <w:rsid w:val="007226A4"/>
    <w:rsid w:val="007226A7"/>
    <w:rsid w:val="007226AA"/>
    <w:rsid w:val="0072279E"/>
    <w:rsid w:val="0072284F"/>
    <w:rsid w:val="0072290C"/>
    <w:rsid w:val="00722917"/>
    <w:rsid w:val="00722927"/>
    <w:rsid w:val="00722979"/>
    <w:rsid w:val="007229AA"/>
    <w:rsid w:val="00722A04"/>
    <w:rsid w:val="00722B9B"/>
    <w:rsid w:val="00722D50"/>
    <w:rsid w:val="00722D9B"/>
    <w:rsid w:val="00722E24"/>
    <w:rsid w:val="00722F1E"/>
    <w:rsid w:val="00722F33"/>
    <w:rsid w:val="00722FB5"/>
    <w:rsid w:val="00722FC9"/>
    <w:rsid w:val="00722FFD"/>
    <w:rsid w:val="00722FFE"/>
    <w:rsid w:val="00723003"/>
    <w:rsid w:val="0072306C"/>
    <w:rsid w:val="007230D6"/>
    <w:rsid w:val="007230E0"/>
    <w:rsid w:val="00723136"/>
    <w:rsid w:val="0072319E"/>
    <w:rsid w:val="007231A4"/>
    <w:rsid w:val="0072330B"/>
    <w:rsid w:val="0072334A"/>
    <w:rsid w:val="0072348D"/>
    <w:rsid w:val="00723515"/>
    <w:rsid w:val="00723518"/>
    <w:rsid w:val="00723626"/>
    <w:rsid w:val="00723736"/>
    <w:rsid w:val="007238FD"/>
    <w:rsid w:val="00723903"/>
    <w:rsid w:val="0072395A"/>
    <w:rsid w:val="00723A07"/>
    <w:rsid w:val="00723AC3"/>
    <w:rsid w:val="00723B24"/>
    <w:rsid w:val="00723BC2"/>
    <w:rsid w:val="00723C18"/>
    <w:rsid w:val="00723C53"/>
    <w:rsid w:val="00723D6B"/>
    <w:rsid w:val="00723E4B"/>
    <w:rsid w:val="00723EEF"/>
    <w:rsid w:val="007241F4"/>
    <w:rsid w:val="00724245"/>
    <w:rsid w:val="007243A4"/>
    <w:rsid w:val="0072444F"/>
    <w:rsid w:val="00724457"/>
    <w:rsid w:val="00724553"/>
    <w:rsid w:val="00724657"/>
    <w:rsid w:val="0072474F"/>
    <w:rsid w:val="007247F1"/>
    <w:rsid w:val="00724965"/>
    <w:rsid w:val="007249DB"/>
    <w:rsid w:val="00724A59"/>
    <w:rsid w:val="00724A85"/>
    <w:rsid w:val="00724C0C"/>
    <w:rsid w:val="00724C32"/>
    <w:rsid w:val="00724CA0"/>
    <w:rsid w:val="00724D07"/>
    <w:rsid w:val="00724DD7"/>
    <w:rsid w:val="00724DEE"/>
    <w:rsid w:val="00724E28"/>
    <w:rsid w:val="00724EF0"/>
    <w:rsid w:val="00724F6B"/>
    <w:rsid w:val="0072502E"/>
    <w:rsid w:val="007250C7"/>
    <w:rsid w:val="00725133"/>
    <w:rsid w:val="007251DE"/>
    <w:rsid w:val="00725371"/>
    <w:rsid w:val="00725412"/>
    <w:rsid w:val="00725460"/>
    <w:rsid w:val="007254BA"/>
    <w:rsid w:val="00725507"/>
    <w:rsid w:val="00725632"/>
    <w:rsid w:val="0072563F"/>
    <w:rsid w:val="007256BF"/>
    <w:rsid w:val="007257CF"/>
    <w:rsid w:val="007257FA"/>
    <w:rsid w:val="00725845"/>
    <w:rsid w:val="00725870"/>
    <w:rsid w:val="0072593D"/>
    <w:rsid w:val="00725AB5"/>
    <w:rsid w:val="00725B46"/>
    <w:rsid w:val="00725BBE"/>
    <w:rsid w:val="00725CCF"/>
    <w:rsid w:val="00725DDF"/>
    <w:rsid w:val="00725E03"/>
    <w:rsid w:val="00725E1B"/>
    <w:rsid w:val="00725EAE"/>
    <w:rsid w:val="00725F1F"/>
    <w:rsid w:val="00726077"/>
    <w:rsid w:val="00726197"/>
    <w:rsid w:val="00726376"/>
    <w:rsid w:val="0072637C"/>
    <w:rsid w:val="007263E2"/>
    <w:rsid w:val="00726429"/>
    <w:rsid w:val="0072661B"/>
    <w:rsid w:val="0072670F"/>
    <w:rsid w:val="0072694C"/>
    <w:rsid w:val="007269A9"/>
    <w:rsid w:val="007269C3"/>
    <w:rsid w:val="00726A18"/>
    <w:rsid w:val="00726A6D"/>
    <w:rsid w:val="00726ACA"/>
    <w:rsid w:val="00726BC8"/>
    <w:rsid w:val="00726D56"/>
    <w:rsid w:val="00726E04"/>
    <w:rsid w:val="00726E20"/>
    <w:rsid w:val="00727193"/>
    <w:rsid w:val="0072732B"/>
    <w:rsid w:val="00727369"/>
    <w:rsid w:val="00727586"/>
    <w:rsid w:val="007275CC"/>
    <w:rsid w:val="007275D4"/>
    <w:rsid w:val="00727615"/>
    <w:rsid w:val="00727682"/>
    <w:rsid w:val="00727710"/>
    <w:rsid w:val="0072775B"/>
    <w:rsid w:val="0072775D"/>
    <w:rsid w:val="0072778D"/>
    <w:rsid w:val="007278A7"/>
    <w:rsid w:val="007278C5"/>
    <w:rsid w:val="0072797A"/>
    <w:rsid w:val="00727A92"/>
    <w:rsid w:val="00727A99"/>
    <w:rsid w:val="00727AA7"/>
    <w:rsid w:val="00727B83"/>
    <w:rsid w:val="00727C0E"/>
    <w:rsid w:val="00727CB1"/>
    <w:rsid w:val="00727CCD"/>
    <w:rsid w:val="00727D30"/>
    <w:rsid w:val="00727D36"/>
    <w:rsid w:val="00727D96"/>
    <w:rsid w:val="00727F94"/>
    <w:rsid w:val="00727FA1"/>
    <w:rsid w:val="00730020"/>
    <w:rsid w:val="00730049"/>
    <w:rsid w:val="00730125"/>
    <w:rsid w:val="0073020E"/>
    <w:rsid w:val="007302DF"/>
    <w:rsid w:val="0073045C"/>
    <w:rsid w:val="00730464"/>
    <w:rsid w:val="0073057F"/>
    <w:rsid w:val="0073058F"/>
    <w:rsid w:val="007305CB"/>
    <w:rsid w:val="00730615"/>
    <w:rsid w:val="007306CA"/>
    <w:rsid w:val="007309F8"/>
    <w:rsid w:val="00730A46"/>
    <w:rsid w:val="00730BBB"/>
    <w:rsid w:val="00730BE7"/>
    <w:rsid w:val="00730F72"/>
    <w:rsid w:val="0073100B"/>
    <w:rsid w:val="00731045"/>
    <w:rsid w:val="00731054"/>
    <w:rsid w:val="0073108B"/>
    <w:rsid w:val="0073117A"/>
    <w:rsid w:val="007311C5"/>
    <w:rsid w:val="007311D0"/>
    <w:rsid w:val="00731209"/>
    <w:rsid w:val="0073126F"/>
    <w:rsid w:val="00731358"/>
    <w:rsid w:val="0073140C"/>
    <w:rsid w:val="00731592"/>
    <w:rsid w:val="00731593"/>
    <w:rsid w:val="007316A2"/>
    <w:rsid w:val="007316F9"/>
    <w:rsid w:val="007317BB"/>
    <w:rsid w:val="00731804"/>
    <w:rsid w:val="00731816"/>
    <w:rsid w:val="0073195F"/>
    <w:rsid w:val="007319AB"/>
    <w:rsid w:val="007319C2"/>
    <w:rsid w:val="00731BA8"/>
    <w:rsid w:val="00731CBC"/>
    <w:rsid w:val="00731CE2"/>
    <w:rsid w:val="00731D10"/>
    <w:rsid w:val="00731D68"/>
    <w:rsid w:val="00731D9B"/>
    <w:rsid w:val="00731DB9"/>
    <w:rsid w:val="00731F20"/>
    <w:rsid w:val="0073205F"/>
    <w:rsid w:val="00732068"/>
    <w:rsid w:val="0073207F"/>
    <w:rsid w:val="00732088"/>
    <w:rsid w:val="00732093"/>
    <w:rsid w:val="007320DB"/>
    <w:rsid w:val="00732127"/>
    <w:rsid w:val="007321CE"/>
    <w:rsid w:val="007321F3"/>
    <w:rsid w:val="0073229F"/>
    <w:rsid w:val="007323EF"/>
    <w:rsid w:val="0073244E"/>
    <w:rsid w:val="007324F0"/>
    <w:rsid w:val="0073252D"/>
    <w:rsid w:val="0073254F"/>
    <w:rsid w:val="00732626"/>
    <w:rsid w:val="00732644"/>
    <w:rsid w:val="007326C2"/>
    <w:rsid w:val="007327B3"/>
    <w:rsid w:val="00732809"/>
    <w:rsid w:val="00732817"/>
    <w:rsid w:val="007328F8"/>
    <w:rsid w:val="007329DE"/>
    <w:rsid w:val="00732A68"/>
    <w:rsid w:val="00732AC9"/>
    <w:rsid w:val="00732BB7"/>
    <w:rsid w:val="00732C97"/>
    <w:rsid w:val="00732CEB"/>
    <w:rsid w:val="00732CFA"/>
    <w:rsid w:val="00732DA8"/>
    <w:rsid w:val="00732E11"/>
    <w:rsid w:val="00732E2C"/>
    <w:rsid w:val="00732E65"/>
    <w:rsid w:val="00732F27"/>
    <w:rsid w:val="00732F69"/>
    <w:rsid w:val="00732FA4"/>
    <w:rsid w:val="007330FA"/>
    <w:rsid w:val="0073312F"/>
    <w:rsid w:val="007331C5"/>
    <w:rsid w:val="0073336A"/>
    <w:rsid w:val="00733394"/>
    <w:rsid w:val="00733398"/>
    <w:rsid w:val="00733577"/>
    <w:rsid w:val="00733652"/>
    <w:rsid w:val="0073368C"/>
    <w:rsid w:val="007336C4"/>
    <w:rsid w:val="00733753"/>
    <w:rsid w:val="007338E9"/>
    <w:rsid w:val="00733908"/>
    <w:rsid w:val="00733A23"/>
    <w:rsid w:val="00733AAA"/>
    <w:rsid w:val="00733AE3"/>
    <w:rsid w:val="00733BFF"/>
    <w:rsid w:val="00733C0E"/>
    <w:rsid w:val="00733C47"/>
    <w:rsid w:val="00733DA6"/>
    <w:rsid w:val="00733DFD"/>
    <w:rsid w:val="00733ECF"/>
    <w:rsid w:val="00734089"/>
    <w:rsid w:val="0073418B"/>
    <w:rsid w:val="00734226"/>
    <w:rsid w:val="0073435E"/>
    <w:rsid w:val="00734468"/>
    <w:rsid w:val="0073456A"/>
    <w:rsid w:val="00734594"/>
    <w:rsid w:val="00734617"/>
    <w:rsid w:val="00734683"/>
    <w:rsid w:val="0073468B"/>
    <w:rsid w:val="007346BF"/>
    <w:rsid w:val="00734747"/>
    <w:rsid w:val="00734765"/>
    <w:rsid w:val="00734934"/>
    <w:rsid w:val="007349E9"/>
    <w:rsid w:val="00734A61"/>
    <w:rsid w:val="00734AF3"/>
    <w:rsid w:val="00734B99"/>
    <w:rsid w:val="00734C45"/>
    <w:rsid w:val="00734C88"/>
    <w:rsid w:val="00734D13"/>
    <w:rsid w:val="00734DC6"/>
    <w:rsid w:val="00734E53"/>
    <w:rsid w:val="00734E7B"/>
    <w:rsid w:val="00734E89"/>
    <w:rsid w:val="00734FF5"/>
    <w:rsid w:val="0073503B"/>
    <w:rsid w:val="0073508A"/>
    <w:rsid w:val="007354F6"/>
    <w:rsid w:val="007354F8"/>
    <w:rsid w:val="00735588"/>
    <w:rsid w:val="00735615"/>
    <w:rsid w:val="007356DC"/>
    <w:rsid w:val="007358BA"/>
    <w:rsid w:val="00735955"/>
    <w:rsid w:val="0073597D"/>
    <w:rsid w:val="007359EC"/>
    <w:rsid w:val="00735A91"/>
    <w:rsid w:val="00735AEE"/>
    <w:rsid w:val="00735BFC"/>
    <w:rsid w:val="00735DA1"/>
    <w:rsid w:val="00735DAE"/>
    <w:rsid w:val="00735E60"/>
    <w:rsid w:val="00735E7B"/>
    <w:rsid w:val="00735E8D"/>
    <w:rsid w:val="00735ECF"/>
    <w:rsid w:val="00735EFA"/>
    <w:rsid w:val="00735F50"/>
    <w:rsid w:val="00735F72"/>
    <w:rsid w:val="0073613B"/>
    <w:rsid w:val="00736190"/>
    <w:rsid w:val="00736320"/>
    <w:rsid w:val="00736340"/>
    <w:rsid w:val="00736437"/>
    <w:rsid w:val="007365D5"/>
    <w:rsid w:val="007365ED"/>
    <w:rsid w:val="00736627"/>
    <w:rsid w:val="007366A7"/>
    <w:rsid w:val="0073683B"/>
    <w:rsid w:val="007368A2"/>
    <w:rsid w:val="007369AC"/>
    <w:rsid w:val="00736A0C"/>
    <w:rsid w:val="00736B38"/>
    <w:rsid w:val="00736C15"/>
    <w:rsid w:val="00736CB5"/>
    <w:rsid w:val="00736CC5"/>
    <w:rsid w:val="00736DE9"/>
    <w:rsid w:val="00736E99"/>
    <w:rsid w:val="00736EB9"/>
    <w:rsid w:val="00736F33"/>
    <w:rsid w:val="00736F58"/>
    <w:rsid w:val="00736F8C"/>
    <w:rsid w:val="00736F95"/>
    <w:rsid w:val="00736FCF"/>
    <w:rsid w:val="00737221"/>
    <w:rsid w:val="00737222"/>
    <w:rsid w:val="00737315"/>
    <w:rsid w:val="0073760B"/>
    <w:rsid w:val="007376F5"/>
    <w:rsid w:val="0073775D"/>
    <w:rsid w:val="007377CF"/>
    <w:rsid w:val="007377E5"/>
    <w:rsid w:val="00737866"/>
    <w:rsid w:val="0073796A"/>
    <w:rsid w:val="007379A5"/>
    <w:rsid w:val="00737A9C"/>
    <w:rsid w:val="00737AF6"/>
    <w:rsid w:val="00737C4A"/>
    <w:rsid w:val="00737D3D"/>
    <w:rsid w:val="00737D63"/>
    <w:rsid w:val="00737DC7"/>
    <w:rsid w:val="00737DF5"/>
    <w:rsid w:val="00737E34"/>
    <w:rsid w:val="00737F15"/>
    <w:rsid w:val="007400A6"/>
    <w:rsid w:val="0074018F"/>
    <w:rsid w:val="00740208"/>
    <w:rsid w:val="0074020A"/>
    <w:rsid w:val="00740275"/>
    <w:rsid w:val="007403F2"/>
    <w:rsid w:val="0074040E"/>
    <w:rsid w:val="0074054A"/>
    <w:rsid w:val="007405E4"/>
    <w:rsid w:val="007406CB"/>
    <w:rsid w:val="0074079E"/>
    <w:rsid w:val="007407BC"/>
    <w:rsid w:val="0074080D"/>
    <w:rsid w:val="007408BD"/>
    <w:rsid w:val="0074093F"/>
    <w:rsid w:val="00740B07"/>
    <w:rsid w:val="00740BD4"/>
    <w:rsid w:val="00740C0A"/>
    <w:rsid w:val="00740C58"/>
    <w:rsid w:val="00740C75"/>
    <w:rsid w:val="00740C9D"/>
    <w:rsid w:val="00740CA1"/>
    <w:rsid w:val="00740D1B"/>
    <w:rsid w:val="00740DC1"/>
    <w:rsid w:val="00740EB4"/>
    <w:rsid w:val="00740ED3"/>
    <w:rsid w:val="00740FBD"/>
    <w:rsid w:val="00741071"/>
    <w:rsid w:val="007410A2"/>
    <w:rsid w:val="0074120F"/>
    <w:rsid w:val="00741268"/>
    <w:rsid w:val="00741471"/>
    <w:rsid w:val="007414CE"/>
    <w:rsid w:val="0074151A"/>
    <w:rsid w:val="0074162F"/>
    <w:rsid w:val="0074169F"/>
    <w:rsid w:val="0074170A"/>
    <w:rsid w:val="007417A2"/>
    <w:rsid w:val="007417F8"/>
    <w:rsid w:val="0074180A"/>
    <w:rsid w:val="00741969"/>
    <w:rsid w:val="00741B51"/>
    <w:rsid w:val="00741BA0"/>
    <w:rsid w:val="00741E0F"/>
    <w:rsid w:val="00741E34"/>
    <w:rsid w:val="00741E80"/>
    <w:rsid w:val="00741EB4"/>
    <w:rsid w:val="00741F43"/>
    <w:rsid w:val="00742439"/>
    <w:rsid w:val="0074259C"/>
    <w:rsid w:val="00742734"/>
    <w:rsid w:val="00742756"/>
    <w:rsid w:val="007427DA"/>
    <w:rsid w:val="00742835"/>
    <w:rsid w:val="0074284A"/>
    <w:rsid w:val="00742854"/>
    <w:rsid w:val="00742865"/>
    <w:rsid w:val="0074294C"/>
    <w:rsid w:val="0074299E"/>
    <w:rsid w:val="007429BD"/>
    <w:rsid w:val="007429C2"/>
    <w:rsid w:val="007429D4"/>
    <w:rsid w:val="00742A1D"/>
    <w:rsid w:val="00742A52"/>
    <w:rsid w:val="00742C59"/>
    <w:rsid w:val="00742C7D"/>
    <w:rsid w:val="00742E02"/>
    <w:rsid w:val="00742E77"/>
    <w:rsid w:val="00742F2C"/>
    <w:rsid w:val="00742F6F"/>
    <w:rsid w:val="0074307C"/>
    <w:rsid w:val="00743084"/>
    <w:rsid w:val="0074308B"/>
    <w:rsid w:val="00743222"/>
    <w:rsid w:val="007432E1"/>
    <w:rsid w:val="007432E3"/>
    <w:rsid w:val="007432EC"/>
    <w:rsid w:val="00743355"/>
    <w:rsid w:val="00743497"/>
    <w:rsid w:val="007435DC"/>
    <w:rsid w:val="007435ED"/>
    <w:rsid w:val="007435EF"/>
    <w:rsid w:val="0074377B"/>
    <w:rsid w:val="0074396C"/>
    <w:rsid w:val="00743A10"/>
    <w:rsid w:val="00743A8C"/>
    <w:rsid w:val="00743AF1"/>
    <w:rsid w:val="00743BB8"/>
    <w:rsid w:val="00743C3D"/>
    <w:rsid w:val="00743C79"/>
    <w:rsid w:val="00743CE2"/>
    <w:rsid w:val="00743D7B"/>
    <w:rsid w:val="00743ED0"/>
    <w:rsid w:val="00743FA4"/>
    <w:rsid w:val="00744228"/>
    <w:rsid w:val="0074428A"/>
    <w:rsid w:val="007442AE"/>
    <w:rsid w:val="0074434C"/>
    <w:rsid w:val="0074434D"/>
    <w:rsid w:val="00744497"/>
    <w:rsid w:val="007444D1"/>
    <w:rsid w:val="00744580"/>
    <w:rsid w:val="007445A1"/>
    <w:rsid w:val="007445BC"/>
    <w:rsid w:val="007445C1"/>
    <w:rsid w:val="00744649"/>
    <w:rsid w:val="0074464A"/>
    <w:rsid w:val="007446EE"/>
    <w:rsid w:val="007447BA"/>
    <w:rsid w:val="0074484D"/>
    <w:rsid w:val="0074488C"/>
    <w:rsid w:val="007448E4"/>
    <w:rsid w:val="007448ED"/>
    <w:rsid w:val="00744929"/>
    <w:rsid w:val="00744A22"/>
    <w:rsid w:val="00744AA5"/>
    <w:rsid w:val="00744AD2"/>
    <w:rsid w:val="00744C44"/>
    <w:rsid w:val="00744EFA"/>
    <w:rsid w:val="00744F1C"/>
    <w:rsid w:val="00744F3C"/>
    <w:rsid w:val="0074501E"/>
    <w:rsid w:val="0074503D"/>
    <w:rsid w:val="007450CF"/>
    <w:rsid w:val="007450E0"/>
    <w:rsid w:val="0074510A"/>
    <w:rsid w:val="0074517E"/>
    <w:rsid w:val="0074518E"/>
    <w:rsid w:val="00745271"/>
    <w:rsid w:val="007452E7"/>
    <w:rsid w:val="00745305"/>
    <w:rsid w:val="00745377"/>
    <w:rsid w:val="007453E2"/>
    <w:rsid w:val="00745456"/>
    <w:rsid w:val="007454F7"/>
    <w:rsid w:val="00745541"/>
    <w:rsid w:val="0074554E"/>
    <w:rsid w:val="00745568"/>
    <w:rsid w:val="00745652"/>
    <w:rsid w:val="0074585D"/>
    <w:rsid w:val="00745A98"/>
    <w:rsid w:val="00745B8C"/>
    <w:rsid w:val="00745C37"/>
    <w:rsid w:val="00745CB6"/>
    <w:rsid w:val="00745D77"/>
    <w:rsid w:val="00745DB3"/>
    <w:rsid w:val="00745E75"/>
    <w:rsid w:val="00745EDA"/>
    <w:rsid w:val="00745F22"/>
    <w:rsid w:val="00745FEF"/>
    <w:rsid w:val="007460A0"/>
    <w:rsid w:val="007460D8"/>
    <w:rsid w:val="00746113"/>
    <w:rsid w:val="00746124"/>
    <w:rsid w:val="0074618F"/>
    <w:rsid w:val="007461F6"/>
    <w:rsid w:val="0074624A"/>
    <w:rsid w:val="007464A5"/>
    <w:rsid w:val="007465A9"/>
    <w:rsid w:val="007465EE"/>
    <w:rsid w:val="00746612"/>
    <w:rsid w:val="00746627"/>
    <w:rsid w:val="00746687"/>
    <w:rsid w:val="007466F1"/>
    <w:rsid w:val="007466FF"/>
    <w:rsid w:val="007467CE"/>
    <w:rsid w:val="00746825"/>
    <w:rsid w:val="007468D1"/>
    <w:rsid w:val="00746A29"/>
    <w:rsid w:val="00746B05"/>
    <w:rsid w:val="00746B47"/>
    <w:rsid w:val="00746B6C"/>
    <w:rsid w:val="00746BE3"/>
    <w:rsid w:val="00746BE5"/>
    <w:rsid w:val="00746C41"/>
    <w:rsid w:val="00746CF9"/>
    <w:rsid w:val="00746D46"/>
    <w:rsid w:val="00746DE7"/>
    <w:rsid w:val="00746E8C"/>
    <w:rsid w:val="00746E8E"/>
    <w:rsid w:val="00746F5C"/>
    <w:rsid w:val="00746FB5"/>
    <w:rsid w:val="00746FC2"/>
    <w:rsid w:val="00746FFE"/>
    <w:rsid w:val="0074707B"/>
    <w:rsid w:val="007470AD"/>
    <w:rsid w:val="007470AF"/>
    <w:rsid w:val="00747186"/>
    <w:rsid w:val="007471AD"/>
    <w:rsid w:val="007471BC"/>
    <w:rsid w:val="00747276"/>
    <w:rsid w:val="00747302"/>
    <w:rsid w:val="007473D8"/>
    <w:rsid w:val="007474C1"/>
    <w:rsid w:val="007474D1"/>
    <w:rsid w:val="0074774C"/>
    <w:rsid w:val="0074777E"/>
    <w:rsid w:val="007477AA"/>
    <w:rsid w:val="007477B3"/>
    <w:rsid w:val="0074781A"/>
    <w:rsid w:val="00747881"/>
    <w:rsid w:val="0074789F"/>
    <w:rsid w:val="00747C4D"/>
    <w:rsid w:val="00747C51"/>
    <w:rsid w:val="00747E40"/>
    <w:rsid w:val="00747FF7"/>
    <w:rsid w:val="0075009B"/>
    <w:rsid w:val="007500E0"/>
    <w:rsid w:val="007501C7"/>
    <w:rsid w:val="007501E9"/>
    <w:rsid w:val="0075031D"/>
    <w:rsid w:val="0075037F"/>
    <w:rsid w:val="00750382"/>
    <w:rsid w:val="00750399"/>
    <w:rsid w:val="00750446"/>
    <w:rsid w:val="007504FF"/>
    <w:rsid w:val="00750507"/>
    <w:rsid w:val="00750530"/>
    <w:rsid w:val="0075054C"/>
    <w:rsid w:val="007505C5"/>
    <w:rsid w:val="0075060D"/>
    <w:rsid w:val="007507BC"/>
    <w:rsid w:val="0075081E"/>
    <w:rsid w:val="0075088E"/>
    <w:rsid w:val="00750952"/>
    <w:rsid w:val="00750990"/>
    <w:rsid w:val="00750B5B"/>
    <w:rsid w:val="00750BD6"/>
    <w:rsid w:val="00750C0A"/>
    <w:rsid w:val="00750D5A"/>
    <w:rsid w:val="00750E07"/>
    <w:rsid w:val="00750E2F"/>
    <w:rsid w:val="00750E32"/>
    <w:rsid w:val="00750F88"/>
    <w:rsid w:val="00750F8F"/>
    <w:rsid w:val="0075102F"/>
    <w:rsid w:val="007511FA"/>
    <w:rsid w:val="0075125D"/>
    <w:rsid w:val="007512B1"/>
    <w:rsid w:val="00751351"/>
    <w:rsid w:val="00751355"/>
    <w:rsid w:val="007513EF"/>
    <w:rsid w:val="007513F7"/>
    <w:rsid w:val="007513FE"/>
    <w:rsid w:val="00751505"/>
    <w:rsid w:val="0075159A"/>
    <w:rsid w:val="007515AF"/>
    <w:rsid w:val="007515FC"/>
    <w:rsid w:val="00751624"/>
    <w:rsid w:val="00751694"/>
    <w:rsid w:val="007516AA"/>
    <w:rsid w:val="007517E5"/>
    <w:rsid w:val="007517EE"/>
    <w:rsid w:val="00751976"/>
    <w:rsid w:val="007519A7"/>
    <w:rsid w:val="00751A61"/>
    <w:rsid w:val="00751AA8"/>
    <w:rsid w:val="00751AE5"/>
    <w:rsid w:val="00751B65"/>
    <w:rsid w:val="00751C94"/>
    <w:rsid w:val="00751D0E"/>
    <w:rsid w:val="00751E57"/>
    <w:rsid w:val="00751F97"/>
    <w:rsid w:val="0075206A"/>
    <w:rsid w:val="00752210"/>
    <w:rsid w:val="0075233D"/>
    <w:rsid w:val="0075238B"/>
    <w:rsid w:val="00752425"/>
    <w:rsid w:val="007524DA"/>
    <w:rsid w:val="00752614"/>
    <w:rsid w:val="0075274C"/>
    <w:rsid w:val="0075282A"/>
    <w:rsid w:val="00752882"/>
    <w:rsid w:val="007529BD"/>
    <w:rsid w:val="00752A1A"/>
    <w:rsid w:val="00752A6A"/>
    <w:rsid w:val="00752C81"/>
    <w:rsid w:val="00752D19"/>
    <w:rsid w:val="00752DAC"/>
    <w:rsid w:val="00752E45"/>
    <w:rsid w:val="00752EE2"/>
    <w:rsid w:val="00753069"/>
    <w:rsid w:val="00753088"/>
    <w:rsid w:val="0075310E"/>
    <w:rsid w:val="0075315A"/>
    <w:rsid w:val="0075323E"/>
    <w:rsid w:val="007534D1"/>
    <w:rsid w:val="007534FB"/>
    <w:rsid w:val="00753636"/>
    <w:rsid w:val="0075364A"/>
    <w:rsid w:val="007536E9"/>
    <w:rsid w:val="0075387A"/>
    <w:rsid w:val="00753B70"/>
    <w:rsid w:val="00753C64"/>
    <w:rsid w:val="00753C8B"/>
    <w:rsid w:val="00753D3C"/>
    <w:rsid w:val="00753DC1"/>
    <w:rsid w:val="00753DCD"/>
    <w:rsid w:val="00753DE9"/>
    <w:rsid w:val="00753E05"/>
    <w:rsid w:val="00753E6E"/>
    <w:rsid w:val="00753EFB"/>
    <w:rsid w:val="00754089"/>
    <w:rsid w:val="00754165"/>
    <w:rsid w:val="007541D1"/>
    <w:rsid w:val="00754234"/>
    <w:rsid w:val="00754344"/>
    <w:rsid w:val="00754409"/>
    <w:rsid w:val="007545A4"/>
    <w:rsid w:val="007545B1"/>
    <w:rsid w:val="00754612"/>
    <w:rsid w:val="00754628"/>
    <w:rsid w:val="007546E9"/>
    <w:rsid w:val="007546F5"/>
    <w:rsid w:val="00754763"/>
    <w:rsid w:val="00754795"/>
    <w:rsid w:val="0075488C"/>
    <w:rsid w:val="00754937"/>
    <w:rsid w:val="0075493D"/>
    <w:rsid w:val="00754956"/>
    <w:rsid w:val="00754A0D"/>
    <w:rsid w:val="00754A61"/>
    <w:rsid w:val="00754BC4"/>
    <w:rsid w:val="00754D95"/>
    <w:rsid w:val="0075506F"/>
    <w:rsid w:val="007550B7"/>
    <w:rsid w:val="007551E9"/>
    <w:rsid w:val="00755271"/>
    <w:rsid w:val="007552C1"/>
    <w:rsid w:val="00755377"/>
    <w:rsid w:val="0075537C"/>
    <w:rsid w:val="007553C8"/>
    <w:rsid w:val="00755620"/>
    <w:rsid w:val="00755627"/>
    <w:rsid w:val="00755758"/>
    <w:rsid w:val="00755803"/>
    <w:rsid w:val="0075587B"/>
    <w:rsid w:val="007558A8"/>
    <w:rsid w:val="007558E1"/>
    <w:rsid w:val="007559FB"/>
    <w:rsid w:val="00755A09"/>
    <w:rsid w:val="00755A99"/>
    <w:rsid w:val="00755AF3"/>
    <w:rsid w:val="00755CF3"/>
    <w:rsid w:val="00755D0A"/>
    <w:rsid w:val="00755E2C"/>
    <w:rsid w:val="00755ED1"/>
    <w:rsid w:val="00755F7A"/>
    <w:rsid w:val="00755F7B"/>
    <w:rsid w:val="00755FA2"/>
    <w:rsid w:val="007562B4"/>
    <w:rsid w:val="007562E2"/>
    <w:rsid w:val="0075630F"/>
    <w:rsid w:val="0075648D"/>
    <w:rsid w:val="007564A2"/>
    <w:rsid w:val="007564AA"/>
    <w:rsid w:val="007564DF"/>
    <w:rsid w:val="00756532"/>
    <w:rsid w:val="0075655E"/>
    <w:rsid w:val="007565AB"/>
    <w:rsid w:val="007565AF"/>
    <w:rsid w:val="00756785"/>
    <w:rsid w:val="00756829"/>
    <w:rsid w:val="00756885"/>
    <w:rsid w:val="007568A6"/>
    <w:rsid w:val="00756941"/>
    <w:rsid w:val="007569C6"/>
    <w:rsid w:val="00756B27"/>
    <w:rsid w:val="00756BA8"/>
    <w:rsid w:val="00756BCD"/>
    <w:rsid w:val="00756BFA"/>
    <w:rsid w:val="00756CD3"/>
    <w:rsid w:val="00756DA3"/>
    <w:rsid w:val="00756E17"/>
    <w:rsid w:val="00756E55"/>
    <w:rsid w:val="00756FA7"/>
    <w:rsid w:val="007571FD"/>
    <w:rsid w:val="007572AB"/>
    <w:rsid w:val="007573B5"/>
    <w:rsid w:val="007575C8"/>
    <w:rsid w:val="0075762C"/>
    <w:rsid w:val="0075764A"/>
    <w:rsid w:val="007576A3"/>
    <w:rsid w:val="00757760"/>
    <w:rsid w:val="007577C2"/>
    <w:rsid w:val="00757823"/>
    <w:rsid w:val="00757847"/>
    <w:rsid w:val="0075795C"/>
    <w:rsid w:val="00757A5A"/>
    <w:rsid w:val="00757AA2"/>
    <w:rsid w:val="00757B6B"/>
    <w:rsid w:val="00757C14"/>
    <w:rsid w:val="00757DC8"/>
    <w:rsid w:val="00757ED0"/>
    <w:rsid w:val="00757F04"/>
    <w:rsid w:val="00757F28"/>
    <w:rsid w:val="00757F72"/>
    <w:rsid w:val="007600B0"/>
    <w:rsid w:val="007600B1"/>
    <w:rsid w:val="007600B4"/>
    <w:rsid w:val="00760146"/>
    <w:rsid w:val="007601BA"/>
    <w:rsid w:val="00760293"/>
    <w:rsid w:val="007602C2"/>
    <w:rsid w:val="007602C6"/>
    <w:rsid w:val="00760357"/>
    <w:rsid w:val="00760387"/>
    <w:rsid w:val="007603FC"/>
    <w:rsid w:val="00760416"/>
    <w:rsid w:val="00760466"/>
    <w:rsid w:val="007606DF"/>
    <w:rsid w:val="007606EA"/>
    <w:rsid w:val="0076078A"/>
    <w:rsid w:val="00760923"/>
    <w:rsid w:val="00760A2A"/>
    <w:rsid w:val="00760A6E"/>
    <w:rsid w:val="00760CAC"/>
    <w:rsid w:val="00760F76"/>
    <w:rsid w:val="007610A9"/>
    <w:rsid w:val="0076131B"/>
    <w:rsid w:val="007615DD"/>
    <w:rsid w:val="007616B3"/>
    <w:rsid w:val="007616C9"/>
    <w:rsid w:val="00761822"/>
    <w:rsid w:val="007618E9"/>
    <w:rsid w:val="00761994"/>
    <w:rsid w:val="007619D7"/>
    <w:rsid w:val="00761A5C"/>
    <w:rsid w:val="00761A94"/>
    <w:rsid w:val="00761A97"/>
    <w:rsid w:val="00761AFE"/>
    <w:rsid w:val="00761BC3"/>
    <w:rsid w:val="00761BE9"/>
    <w:rsid w:val="00761E01"/>
    <w:rsid w:val="00761FFE"/>
    <w:rsid w:val="007622D2"/>
    <w:rsid w:val="00762316"/>
    <w:rsid w:val="0076231B"/>
    <w:rsid w:val="00762410"/>
    <w:rsid w:val="0076244D"/>
    <w:rsid w:val="007624DD"/>
    <w:rsid w:val="0076256B"/>
    <w:rsid w:val="0076276B"/>
    <w:rsid w:val="0076276E"/>
    <w:rsid w:val="0076289F"/>
    <w:rsid w:val="007628B1"/>
    <w:rsid w:val="00762A71"/>
    <w:rsid w:val="00762C4A"/>
    <w:rsid w:val="00762CA5"/>
    <w:rsid w:val="00762D3F"/>
    <w:rsid w:val="00762F2B"/>
    <w:rsid w:val="00763111"/>
    <w:rsid w:val="00763181"/>
    <w:rsid w:val="0076318D"/>
    <w:rsid w:val="007631BF"/>
    <w:rsid w:val="0076328E"/>
    <w:rsid w:val="007632AB"/>
    <w:rsid w:val="00763378"/>
    <w:rsid w:val="00763466"/>
    <w:rsid w:val="00763509"/>
    <w:rsid w:val="00763595"/>
    <w:rsid w:val="007636E8"/>
    <w:rsid w:val="00763744"/>
    <w:rsid w:val="007637B5"/>
    <w:rsid w:val="007637C4"/>
    <w:rsid w:val="007637CD"/>
    <w:rsid w:val="0076392E"/>
    <w:rsid w:val="00763A5D"/>
    <w:rsid w:val="00763AF1"/>
    <w:rsid w:val="00763B1F"/>
    <w:rsid w:val="00763B23"/>
    <w:rsid w:val="00763BF3"/>
    <w:rsid w:val="00763C13"/>
    <w:rsid w:val="00763C9B"/>
    <w:rsid w:val="00763CC9"/>
    <w:rsid w:val="00763D60"/>
    <w:rsid w:val="00763D7C"/>
    <w:rsid w:val="00763DFC"/>
    <w:rsid w:val="00763E2B"/>
    <w:rsid w:val="00763E48"/>
    <w:rsid w:val="00763F58"/>
    <w:rsid w:val="007640E6"/>
    <w:rsid w:val="00764146"/>
    <w:rsid w:val="00764158"/>
    <w:rsid w:val="0076422B"/>
    <w:rsid w:val="00764243"/>
    <w:rsid w:val="00764319"/>
    <w:rsid w:val="007644AC"/>
    <w:rsid w:val="007645F9"/>
    <w:rsid w:val="0076472B"/>
    <w:rsid w:val="0076477C"/>
    <w:rsid w:val="007647A7"/>
    <w:rsid w:val="007648E2"/>
    <w:rsid w:val="007648FB"/>
    <w:rsid w:val="0076490F"/>
    <w:rsid w:val="00764999"/>
    <w:rsid w:val="00764A76"/>
    <w:rsid w:val="00764B2B"/>
    <w:rsid w:val="00764CED"/>
    <w:rsid w:val="00764DB1"/>
    <w:rsid w:val="00764E54"/>
    <w:rsid w:val="00764F2D"/>
    <w:rsid w:val="00764F8A"/>
    <w:rsid w:val="00765198"/>
    <w:rsid w:val="007651C9"/>
    <w:rsid w:val="007651EE"/>
    <w:rsid w:val="007652CA"/>
    <w:rsid w:val="0076533F"/>
    <w:rsid w:val="0076542A"/>
    <w:rsid w:val="007654DE"/>
    <w:rsid w:val="0076556B"/>
    <w:rsid w:val="007655F4"/>
    <w:rsid w:val="0076561E"/>
    <w:rsid w:val="0076570B"/>
    <w:rsid w:val="007657EB"/>
    <w:rsid w:val="00765811"/>
    <w:rsid w:val="007658BB"/>
    <w:rsid w:val="00765A61"/>
    <w:rsid w:val="00765B0A"/>
    <w:rsid w:val="00765B1D"/>
    <w:rsid w:val="00765B4E"/>
    <w:rsid w:val="00765C15"/>
    <w:rsid w:val="00765C20"/>
    <w:rsid w:val="00765CDF"/>
    <w:rsid w:val="00765E1D"/>
    <w:rsid w:val="00765F41"/>
    <w:rsid w:val="00766016"/>
    <w:rsid w:val="00766025"/>
    <w:rsid w:val="007660AC"/>
    <w:rsid w:val="007661B0"/>
    <w:rsid w:val="0076629F"/>
    <w:rsid w:val="007662D8"/>
    <w:rsid w:val="007663B5"/>
    <w:rsid w:val="007663E7"/>
    <w:rsid w:val="0076660B"/>
    <w:rsid w:val="0076666C"/>
    <w:rsid w:val="0076670F"/>
    <w:rsid w:val="007667C9"/>
    <w:rsid w:val="00766A8B"/>
    <w:rsid w:val="00766B0B"/>
    <w:rsid w:val="00766B89"/>
    <w:rsid w:val="00766BFC"/>
    <w:rsid w:val="00766C3B"/>
    <w:rsid w:val="00766C97"/>
    <w:rsid w:val="00766D0E"/>
    <w:rsid w:val="00766D3D"/>
    <w:rsid w:val="00766F38"/>
    <w:rsid w:val="00766F68"/>
    <w:rsid w:val="007670F8"/>
    <w:rsid w:val="0076716A"/>
    <w:rsid w:val="0076717E"/>
    <w:rsid w:val="0076729B"/>
    <w:rsid w:val="007672A9"/>
    <w:rsid w:val="00767353"/>
    <w:rsid w:val="007673B6"/>
    <w:rsid w:val="007674A5"/>
    <w:rsid w:val="007674F8"/>
    <w:rsid w:val="0076763A"/>
    <w:rsid w:val="0076769D"/>
    <w:rsid w:val="007677C3"/>
    <w:rsid w:val="0076786D"/>
    <w:rsid w:val="00767A04"/>
    <w:rsid w:val="00767A4F"/>
    <w:rsid w:val="00767BE0"/>
    <w:rsid w:val="00767BFA"/>
    <w:rsid w:val="00767D06"/>
    <w:rsid w:val="00767D4D"/>
    <w:rsid w:val="00767DB3"/>
    <w:rsid w:val="00767DB6"/>
    <w:rsid w:val="00767F96"/>
    <w:rsid w:val="00770043"/>
    <w:rsid w:val="00770056"/>
    <w:rsid w:val="007700A3"/>
    <w:rsid w:val="0077027E"/>
    <w:rsid w:val="00770341"/>
    <w:rsid w:val="00770381"/>
    <w:rsid w:val="007703C7"/>
    <w:rsid w:val="0077043E"/>
    <w:rsid w:val="007704E6"/>
    <w:rsid w:val="0077078A"/>
    <w:rsid w:val="00770898"/>
    <w:rsid w:val="007708B1"/>
    <w:rsid w:val="00770968"/>
    <w:rsid w:val="00770A47"/>
    <w:rsid w:val="00770AAE"/>
    <w:rsid w:val="00770CD5"/>
    <w:rsid w:val="00770CE1"/>
    <w:rsid w:val="00770CF6"/>
    <w:rsid w:val="00770D5A"/>
    <w:rsid w:val="00770DF5"/>
    <w:rsid w:val="00770EC5"/>
    <w:rsid w:val="00770F4A"/>
    <w:rsid w:val="00770F9B"/>
    <w:rsid w:val="00770FAD"/>
    <w:rsid w:val="00770FCD"/>
    <w:rsid w:val="00770FCE"/>
    <w:rsid w:val="0077102E"/>
    <w:rsid w:val="007711AA"/>
    <w:rsid w:val="0077128A"/>
    <w:rsid w:val="0077128B"/>
    <w:rsid w:val="00771358"/>
    <w:rsid w:val="007714C7"/>
    <w:rsid w:val="0077157D"/>
    <w:rsid w:val="00771980"/>
    <w:rsid w:val="00771ADE"/>
    <w:rsid w:val="00771C51"/>
    <w:rsid w:val="00771CEC"/>
    <w:rsid w:val="00771D18"/>
    <w:rsid w:val="00771DCC"/>
    <w:rsid w:val="00771E6C"/>
    <w:rsid w:val="00771F16"/>
    <w:rsid w:val="00771F8B"/>
    <w:rsid w:val="00771FC9"/>
    <w:rsid w:val="007720D1"/>
    <w:rsid w:val="007722B3"/>
    <w:rsid w:val="007722EB"/>
    <w:rsid w:val="0077233F"/>
    <w:rsid w:val="007723B0"/>
    <w:rsid w:val="00772505"/>
    <w:rsid w:val="007726E2"/>
    <w:rsid w:val="00772821"/>
    <w:rsid w:val="0077289D"/>
    <w:rsid w:val="00772997"/>
    <w:rsid w:val="007729F8"/>
    <w:rsid w:val="00772A25"/>
    <w:rsid w:val="00772B46"/>
    <w:rsid w:val="00772B55"/>
    <w:rsid w:val="00772DF2"/>
    <w:rsid w:val="00772E45"/>
    <w:rsid w:val="00772E97"/>
    <w:rsid w:val="00772EAE"/>
    <w:rsid w:val="00772F40"/>
    <w:rsid w:val="00773132"/>
    <w:rsid w:val="0077317C"/>
    <w:rsid w:val="0077319A"/>
    <w:rsid w:val="0077327B"/>
    <w:rsid w:val="007732A6"/>
    <w:rsid w:val="00773353"/>
    <w:rsid w:val="0077335E"/>
    <w:rsid w:val="007733B9"/>
    <w:rsid w:val="00773453"/>
    <w:rsid w:val="007734DB"/>
    <w:rsid w:val="007734E8"/>
    <w:rsid w:val="007735B7"/>
    <w:rsid w:val="0077363C"/>
    <w:rsid w:val="0077368C"/>
    <w:rsid w:val="00773752"/>
    <w:rsid w:val="00773821"/>
    <w:rsid w:val="0077388B"/>
    <w:rsid w:val="00773AD4"/>
    <w:rsid w:val="00773B6B"/>
    <w:rsid w:val="00773B8C"/>
    <w:rsid w:val="00773C75"/>
    <w:rsid w:val="00773CD8"/>
    <w:rsid w:val="00773DA9"/>
    <w:rsid w:val="00773DDD"/>
    <w:rsid w:val="00773FD7"/>
    <w:rsid w:val="00774009"/>
    <w:rsid w:val="007741C1"/>
    <w:rsid w:val="00774200"/>
    <w:rsid w:val="00774250"/>
    <w:rsid w:val="00774252"/>
    <w:rsid w:val="00774292"/>
    <w:rsid w:val="007742BA"/>
    <w:rsid w:val="007742CB"/>
    <w:rsid w:val="00774337"/>
    <w:rsid w:val="0077437D"/>
    <w:rsid w:val="00774386"/>
    <w:rsid w:val="007743AB"/>
    <w:rsid w:val="00774414"/>
    <w:rsid w:val="0077441B"/>
    <w:rsid w:val="00774423"/>
    <w:rsid w:val="0077443D"/>
    <w:rsid w:val="007744D4"/>
    <w:rsid w:val="00774579"/>
    <w:rsid w:val="00774596"/>
    <w:rsid w:val="007745C8"/>
    <w:rsid w:val="00774670"/>
    <w:rsid w:val="007747E8"/>
    <w:rsid w:val="00774898"/>
    <w:rsid w:val="00774938"/>
    <w:rsid w:val="00774B21"/>
    <w:rsid w:val="00774B2A"/>
    <w:rsid w:val="00774B7E"/>
    <w:rsid w:val="00774BB5"/>
    <w:rsid w:val="00774BEB"/>
    <w:rsid w:val="00774C03"/>
    <w:rsid w:val="00774C3D"/>
    <w:rsid w:val="00774D63"/>
    <w:rsid w:val="00774D86"/>
    <w:rsid w:val="00774DCA"/>
    <w:rsid w:val="00774EB1"/>
    <w:rsid w:val="00774ECA"/>
    <w:rsid w:val="00774EEE"/>
    <w:rsid w:val="00774F4A"/>
    <w:rsid w:val="00774F88"/>
    <w:rsid w:val="00774FC7"/>
    <w:rsid w:val="00774FD3"/>
    <w:rsid w:val="00774FED"/>
    <w:rsid w:val="0077502A"/>
    <w:rsid w:val="0077504A"/>
    <w:rsid w:val="007750BC"/>
    <w:rsid w:val="00775156"/>
    <w:rsid w:val="00775182"/>
    <w:rsid w:val="0077543D"/>
    <w:rsid w:val="00775569"/>
    <w:rsid w:val="007755AB"/>
    <w:rsid w:val="00775804"/>
    <w:rsid w:val="0077592F"/>
    <w:rsid w:val="007759CC"/>
    <w:rsid w:val="007759F0"/>
    <w:rsid w:val="00775A1B"/>
    <w:rsid w:val="00775A69"/>
    <w:rsid w:val="00775A9F"/>
    <w:rsid w:val="00775BA5"/>
    <w:rsid w:val="00775C06"/>
    <w:rsid w:val="00775D62"/>
    <w:rsid w:val="00775E06"/>
    <w:rsid w:val="00775E9C"/>
    <w:rsid w:val="00775EFA"/>
    <w:rsid w:val="00775F2B"/>
    <w:rsid w:val="00775F65"/>
    <w:rsid w:val="00775F9C"/>
    <w:rsid w:val="0077604F"/>
    <w:rsid w:val="00776296"/>
    <w:rsid w:val="007762BC"/>
    <w:rsid w:val="00776334"/>
    <w:rsid w:val="00776691"/>
    <w:rsid w:val="007766C5"/>
    <w:rsid w:val="00776734"/>
    <w:rsid w:val="00776832"/>
    <w:rsid w:val="007768B0"/>
    <w:rsid w:val="007768C3"/>
    <w:rsid w:val="007768E8"/>
    <w:rsid w:val="0077699E"/>
    <w:rsid w:val="00776A4E"/>
    <w:rsid w:val="00776A59"/>
    <w:rsid w:val="00776AEA"/>
    <w:rsid w:val="00776B05"/>
    <w:rsid w:val="00776BA4"/>
    <w:rsid w:val="00776D2A"/>
    <w:rsid w:val="00776E3F"/>
    <w:rsid w:val="00777005"/>
    <w:rsid w:val="007770CF"/>
    <w:rsid w:val="007770F6"/>
    <w:rsid w:val="00777179"/>
    <w:rsid w:val="0077725D"/>
    <w:rsid w:val="007773FC"/>
    <w:rsid w:val="00777405"/>
    <w:rsid w:val="007774DC"/>
    <w:rsid w:val="00777709"/>
    <w:rsid w:val="0077775C"/>
    <w:rsid w:val="007777BA"/>
    <w:rsid w:val="00777841"/>
    <w:rsid w:val="0077787E"/>
    <w:rsid w:val="00777913"/>
    <w:rsid w:val="00777A34"/>
    <w:rsid w:val="00777B5E"/>
    <w:rsid w:val="00777BAF"/>
    <w:rsid w:val="00777CC0"/>
    <w:rsid w:val="00777CEF"/>
    <w:rsid w:val="00777CFD"/>
    <w:rsid w:val="00777D99"/>
    <w:rsid w:val="00777DBC"/>
    <w:rsid w:val="00777E12"/>
    <w:rsid w:val="00777E99"/>
    <w:rsid w:val="00777EFC"/>
    <w:rsid w:val="00777F53"/>
    <w:rsid w:val="007800B3"/>
    <w:rsid w:val="007800EA"/>
    <w:rsid w:val="00780148"/>
    <w:rsid w:val="007801A6"/>
    <w:rsid w:val="00780238"/>
    <w:rsid w:val="00780356"/>
    <w:rsid w:val="007803F2"/>
    <w:rsid w:val="00780598"/>
    <w:rsid w:val="0078065D"/>
    <w:rsid w:val="00780698"/>
    <w:rsid w:val="007806A3"/>
    <w:rsid w:val="007806DE"/>
    <w:rsid w:val="007807A7"/>
    <w:rsid w:val="007808D6"/>
    <w:rsid w:val="0078091B"/>
    <w:rsid w:val="00780986"/>
    <w:rsid w:val="007809B0"/>
    <w:rsid w:val="007809CC"/>
    <w:rsid w:val="00780A45"/>
    <w:rsid w:val="00780B14"/>
    <w:rsid w:val="00780B20"/>
    <w:rsid w:val="00780E0E"/>
    <w:rsid w:val="00780EBB"/>
    <w:rsid w:val="00780EE8"/>
    <w:rsid w:val="00780F19"/>
    <w:rsid w:val="00780F90"/>
    <w:rsid w:val="00780FDA"/>
    <w:rsid w:val="00781095"/>
    <w:rsid w:val="0078118B"/>
    <w:rsid w:val="00781199"/>
    <w:rsid w:val="007811F5"/>
    <w:rsid w:val="00781384"/>
    <w:rsid w:val="007813FD"/>
    <w:rsid w:val="0078152B"/>
    <w:rsid w:val="0078156F"/>
    <w:rsid w:val="00781649"/>
    <w:rsid w:val="007816D7"/>
    <w:rsid w:val="007816DD"/>
    <w:rsid w:val="00781817"/>
    <w:rsid w:val="00781843"/>
    <w:rsid w:val="00781854"/>
    <w:rsid w:val="00781865"/>
    <w:rsid w:val="0078186A"/>
    <w:rsid w:val="00781A15"/>
    <w:rsid w:val="00781A75"/>
    <w:rsid w:val="00781BFF"/>
    <w:rsid w:val="00781C3E"/>
    <w:rsid w:val="00781D55"/>
    <w:rsid w:val="00781E32"/>
    <w:rsid w:val="00781E47"/>
    <w:rsid w:val="00781EE7"/>
    <w:rsid w:val="0078207A"/>
    <w:rsid w:val="0078212D"/>
    <w:rsid w:val="00782199"/>
    <w:rsid w:val="007821FB"/>
    <w:rsid w:val="0078235F"/>
    <w:rsid w:val="0078248A"/>
    <w:rsid w:val="007824A7"/>
    <w:rsid w:val="00782577"/>
    <w:rsid w:val="00782676"/>
    <w:rsid w:val="00782866"/>
    <w:rsid w:val="0078298D"/>
    <w:rsid w:val="00782A2E"/>
    <w:rsid w:val="00782B25"/>
    <w:rsid w:val="00782B6C"/>
    <w:rsid w:val="00782C52"/>
    <w:rsid w:val="00782CD5"/>
    <w:rsid w:val="00782D1C"/>
    <w:rsid w:val="00782E22"/>
    <w:rsid w:val="00782F3E"/>
    <w:rsid w:val="0078303C"/>
    <w:rsid w:val="00783074"/>
    <w:rsid w:val="007831D9"/>
    <w:rsid w:val="00783266"/>
    <w:rsid w:val="00783343"/>
    <w:rsid w:val="00783369"/>
    <w:rsid w:val="007833CE"/>
    <w:rsid w:val="0078341A"/>
    <w:rsid w:val="00783435"/>
    <w:rsid w:val="0078347A"/>
    <w:rsid w:val="0078349B"/>
    <w:rsid w:val="007834C8"/>
    <w:rsid w:val="007834FE"/>
    <w:rsid w:val="0078351F"/>
    <w:rsid w:val="00783545"/>
    <w:rsid w:val="00783665"/>
    <w:rsid w:val="007836FD"/>
    <w:rsid w:val="007836FF"/>
    <w:rsid w:val="00783718"/>
    <w:rsid w:val="0078373B"/>
    <w:rsid w:val="00783842"/>
    <w:rsid w:val="00783A15"/>
    <w:rsid w:val="00783A29"/>
    <w:rsid w:val="00783A9C"/>
    <w:rsid w:val="00783B71"/>
    <w:rsid w:val="00783BE3"/>
    <w:rsid w:val="00783C2E"/>
    <w:rsid w:val="00783E26"/>
    <w:rsid w:val="00783E43"/>
    <w:rsid w:val="00783E4C"/>
    <w:rsid w:val="00783ECA"/>
    <w:rsid w:val="00783EEB"/>
    <w:rsid w:val="00783F0E"/>
    <w:rsid w:val="00783F18"/>
    <w:rsid w:val="0078413B"/>
    <w:rsid w:val="00784225"/>
    <w:rsid w:val="007842CA"/>
    <w:rsid w:val="0078430C"/>
    <w:rsid w:val="0078433E"/>
    <w:rsid w:val="00784370"/>
    <w:rsid w:val="00784493"/>
    <w:rsid w:val="007844EF"/>
    <w:rsid w:val="00784545"/>
    <w:rsid w:val="007845B7"/>
    <w:rsid w:val="00784653"/>
    <w:rsid w:val="00784669"/>
    <w:rsid w:val="00784739"/>
    <w:rsid w:val="0078484C"/>
    <w:rsid w:val="0078498F"/>
    <w:rsid w:val="007849A0"/>
    <w:rsid w:val="00784A53"/>
    <w:rsid w:val="00784AA0"/>
    <w:rsid w:val="00784BF7"/>
    <w:rsid w:val="00784C02"/>
    <w:rsid w:val="00784DA7"/>
    <w:rsid w:val="00784DF9"/>
    <w:rsid w:val="00785143"/>
    <w:rsid w:val="007851B1"/>
    <w:rsid w:val="007851E3"/>
    <w:rsid w:val="00785306"/>
    <w:rsid w:val="00785781"/>
    <w:rsid w:val="0078580F"/>
    <w:rsid w:val="007858CB"/>
    <w:rsid w:val="00785A28"/>
    <w:rsid w:val="00785AC7"/>
    <w:rsid w:val="00785B52"/>
    <w:rsid w:val="00785B99"/>
    <w:rsid w:val="00785BEC"/>
    <w:rsid w:val="00785C04"/>
    <w:rsid w:val="00785D22"/>
    <w:rsid w:val="00785D65"/>
    <w:rsid w:val="00785E3A"/>
    <w:rsid w:val="00785FAE"/>
    <w:rsid w:val="00786163"/>
    <w:rsid w:val="0078621A"/>
    <w:rsid w:val="00786244"/>
    <w:rsid w:val="0078626D"/>
    <w:rsid w:val="007864AB"/>
    <w:rsid w:val="00786562"/>
    <w:rsid w:val="00786590"/>
    <w:rsid w:val="00786716"/>
    <w:rsid w:val="0078673E"/>
    <w:rsid w:val="00786842"/>
    <w:rsid w:val="00786A43"/>
    <w:rsid w:val="00786A8C"/>
    <w:rsid w:val="00786AD9"/>
    <w:rsid w:val="00786AE0"/>
    <w:rsid w:val="00786B29"/>
    <w:rsid w:val="00786B5C"/>
    <w:rsid w:val="00786C3C"/>
    <w:rsid w:val="00786D1E"/>
    <w:rsid w:val="00786E2A"/>
    <w:rsid w:val="00786E2F"/>
    <w:rsid w:val="00786F0A"/>
    <w:rsid w:val="0078701D"/>
    <w:rsid w:val="0078705D"/>
    <w:rsid w:val="007870F1"/>
    <w:rsid w:val="0078710E"/>
    <w:rsid w:val="00787197"/>
    <w:rsid w:val="007871D0"/>
    <w:rsid w:val="007874CD"/>
    <w:rsid w:val="007874F6"/>
    <w:rsid w:val="0078757F"/>
    <w:rsid w:val="007875DE"/>
    <w:rsid w:val="007875E9"/>
    <w:rsid w:val="007876E3"/>
    <w:rsid w:val="00787713"/>
    <w:rsid w:val="00787727"/>
    <w:rsid w:val="0078772C"/>
    <w:rsid w:val="00787886"/>
    <w:rsid w:val="007878A1"/>
    <w:rsid w:val="007879D5"/>
    <w:rsid w:val="00787B55"/>
    <w:rsid w:val="00787C79"/>
    <w:rsid w:val="00787C80"/>
    <w:rsid w:val="00787CA2"/>
    <w:rsid w:val="00787D69"/>
    <w:rsid w:val="00787DF9"/>
    <w:rsid w:val="00787E2A"/>
    <w:rsid w:val="00787E64"/>
    <w:rsid w:val="00787EBD"/>
    <w:rsid w:val="00787EC1"/>
    <w:rsid w:val="00787EF1"/>
    <w:rsid w:val="00787EF2"/>
    <w:rsid w:val="00787F60"/>
    <w:rsid w:val="0079001F"/>
    <w:rsid w:val="007900ED"/>
    <w:rsid w:val="00790262"/>
    <w:rsid w:val="00790289"/>
    <w:rsid w:val="007902D6"/>
    <w:rsid w:val="0079080A"/>
    <w:rsid w:val="00790835"/>
    <w:rsid w:val="0079088F"/>
    <w:rsid w:val="007908A2"/>
    <w:rsid w:val="00790981"/>
    <w:rsid w:val="00790984"/>
    <w:rsid w:val="00790ABD"/>
    <w:rsid w:val="00790C45"/>
    <w:rsid w:val="00790D1E"/>
    <w:rsid w:val="00790DE3"/>
    <w:rsid w:val="00790EBA"/>
    <w:rsid w:val="00790EEF"/>
    <w:rsid w:val="00791008"/>
    <w:rsid w:val="00791040"/>
    <w:rsid w:val="00791042"/>
    <w:rsid w:val="0079108E"/>
    <w:rsid w:val="007910AA"/>
    <w:rsid w:val="007910DC"/>
    <w:rsid w:val="007911FB"/>
    <w:rsid w:val="00791272"/>
    <w:rsid w:val="007912D9"/>
    <w:rsid w:val="007912F5"/>
    <w:rsid w:val="0079139E"/>
    <w:rsid w:val="00791594"/>
    <w:rsid w:val="00791667"/>
    <w:rsid w:val="00791738"/>
    <w:rsid w:val="0079173F"/>
    <w:rsid w:val="007917C7"/>
    <w:rsid w:val="007917F9"/>
    <w:rsid w:val="0079188A"/>
    <w:rsid w:val="007918A3"/>
    <w:rsid w:val="00791959"/>
    <w:rsid w:val="00791983"/>
    <w:rsid w:val="007919FF"/>
    <w:rsid w:val="00791A76"/>
    <w:rsid w:val="00791A98"/>
    <w:rsid w:val="00791AD0"/>
    <w:rsid w:val="00791C01"/>
    <w:rsid w:val="00791D3E"/>
    <w:rsid w:val="00791D4C"/>
    <w:rsid w:val="00791DFB"/>
    <w:rsid w:val="00791DFE"/>
    <w:rsid w:val="00791FED"/>
    <w:rsid w:val="00792346"/>
    <w:rsid w:val="007923E7"/>
    <w:rsid w:val="007924D5"/>
    <w:rsid w:val="0079254A"/>
    <w:rsid w:val="0079259C"/>
    <w:rsid w:val="0079260F"/>
    <w:rsid w:val="00792629"/>
    <w:rsid w:val="007928AD"/>
    <w:rsid w:val="007928B1"/>
    <w:rsid w:val="0079293E"/>
    <w:rsid w:val="007929F1"/>
    <w:rsid w:val="00792AC2"/>
    <w:rsid w:val="00792B3D"/>
    <w:rsid w:val="00792C48"/>
    <w:rsid w:val="00792D3A"/>
    <w:rsid w:val="00792E51"/>
    <w:rsid w:val="00792FBD"/>
    <w:rsid w:val="00793017"/>
    <w:rsid w:val="00793076"/>
    <w:rsid w:val="00793108"/>
    <w:rsid w:val="0079315F"/>
    <w:rsid w:val="0079319C"/>
    <w:rsid w:val="007931C6"/>
    <w:rsid w:val="00793311"/>
    <w:rsid w:val="00793387"/>
    <w:rsid w:val="00793391"/>
    <w:rsid w:val="007933CD"/>
    <w:rsid w:val="00793673"/>
    <w:rsid w:val="00793701"/>
    <w:rsid w:val="0079372A"/>
    <w:rsid w:val="007937B4"/>
    <w:rsid w:val="0079385C"/>
    <w:rsid w:val="00793870"/>
    <w:rsid w:val="007939E0"/>
    <w:rsid w:val="00793A8E"/>
    <w:rsid w:val="00793AB9"/>
    <w:rsid w:val="00793B2C"/>
    <w:rsid w:val="00793C75"/>
    <w:rsid w:val="00793C86"/>
    <w:rsid w:val="00793D4D"/>
    <w:rsid w:val="00793D93"/>
    <w:rsid w:val="00793F37"/>
    <w:rsid w:val="00793FE9"/>
    <w:rsid w:val="00794112"/>
    <w:rsid w:val="0079411C"/>
    <w:rsid w:val="00794128"/>
    <w:rsid w:val="00794154"/>
    <w:rsid w:val="00794177"/>
    <w:rsid w:val="007941B6"/>
    <w:rsid w:val="0079424C"/>
    <w:rsid w:val="00794264"/>
    <w:rsid w:val="007943F0"/>
    <w:rsid w:val="0079440C"/>
    <w:rsid w:val="00794514"/>
    <w:rsid w:val="00794633"/>
    <w:rsid w:val="0079467D"/>
    <w:rsid w:val="007946BA"/>
    <w:rsid w:val="00794724"/>
    <w:rsid w:val="00794759"/>
    <w:rsid w:val="0079476B"/>
    <w:rsid w:val="00794864"/>
    <w:rsid w:val="00794875"/>
    <w:rsid w:val="00794917"/>
    <w:rsid w:val="0079496D"/>
    <w:rsid w:val="00794A0A"/>
    <w:rsid w:val="00794A75"/>
    <w:rsid w:val="00794AEE"/>
    <w:rsid w:val="00794B44"/>
    <w:rsid w:val="00794B58"/>
    <w:rsid w:val="00794B6C"/>
    <w:rsid w:val="00794B80"/>
    <w:rsid w:val="00794CAE"/>
    <w:rsid w:val="00794CFF"/>
    <w:rsid w:val="00794D51"/>
    <w:rsid w:val="00794D6B"/>
    <w:rsid w:val="00794E11"/>
    <w:rsid w:val="00794F4D"/>
    <w:rsid w:val="00794F5A"/>
    <w:rsid w:val="0079503F"/>
    <w:rsid w:val="007950AD"/>
    <w:rsid w:val="00795244"/>
    <w:rsid w:val="007952B9"/>
    <w:rsid w:val="007954EE"/>
    <w:rsid w:val="00795502"/>
    <w:rsid w:val="00795516"/>
    <w:rsid w:val="00795583"/>
    <w:rsid w:val="007955C8"/>
    <w:rsid w:val="0079568E"/>
    <w:rsid w:val="007957AC"/>
    <w:rsid w:val="0079580C"/>
    <w:rsid w:val="007958D9"/>
    <w:rsid w:val="00795922"/>
    <w:rsid w:val="00795A9B"/>
    <w:rsid w:val="00795AA3"/>
    <w:rsid w:val="00795B37"/>
    <w:rsid w:val="00795BAD"/>
    <w:rsid w:val="00795C2B"/>
    <w:rsid w:val="00795ED5"/>
    <w:rsid w:val="00795F47"/>
    <w:rsid w:val="00795FE5"/>
    <w:rsid w:val="0079611F"/>
    <w:rsid w:val="007961E5"/>
    <w:rsid w:val="00796220"/>
    <w:rsid w:val="0079644E"/>
    <w:rsid w:val="0079655C"/>
    <w:rsid w:val="007965A9"/>
    <w:rsid w:val="00796688"/>
    <w:rsid w:val="0079669E"/>
    <w:rsid w:val="007966D0"/>
    <w:rsid w:val="00796819"/>
    <w:rsid w:val="007968EE"/>
    <w:rsid w:val="0079695E"/>
    <w:rsid w:val="007969C3"/>
    <w:rsid w:val="007969F4"/>
    <w:rsid w:val="00796A99"/>
    <w:rsid w:val="00796AA2"/>
    <w:rsid w:val="00796AD8"/>
    <w:rsid w:val="00796D50"/>
    <w:rsid w:val="00796DFC"/>
    <w:rsid w:val="00796E53"/>
    <w:rsid w:val="00796EF9"/>
    <w:rsid w:val="00796F6F"/>
    <w:rsid w:val="00797005"/>
    <w:rsid w:val="00797078"/>
    <w:rsid w:val="007970AC"/>
    <w:rsid w:val="00797140"/>
    <w:rsid w:val="00797167"/>
    <w:rsid w:val="007972EC"/>
    <w:rsid w:val="007972F4"/>
    <w:rsid w:val="007973F5"/>
    <w:rsid w:val="00797427"/>
    <w:rsid w:val="007974A8"/>
    <w:rsid w:val="007974E7"/>
    <w:rsid w:val="0079752D"/>
    <w:rsid w:val="007975BC"/>
    <w:rsid w:val="00797686"/>
    <w:rsid w:val="007976E5"/>
    <w:rsid w:val="00797754"/>
    <w:rsid w:val="007978DA"/>
    <w:rsid w:val="00797978"/>
    <w:rsid w:val="007979F4"/>
    <w:rsid w:val="00797A09"/>
    <w:rsid w:val="00797A42"/>
    <w:rsid w:val="00797AB4"/>
    <w:rsid w:val="00797B8C"/>
    <w:rsid w:val="00797B99"/>
    <w:rsid w:val="00797D9D"/>
    <w:rsid w:val="00797E88"/>
    <w:rsid w:val="00797E99"/>
    <w:rsid w:val="007A0087"/>
    <w:rsid w:val="007A00B1"/>
    <w:rsid w:val="007A0141"/>
    <w:rsid w:val="007A0174"/>
    <w:rsid w:val="007A01D3"/>
    <w:rsid w:val="007A0222"/>
    <w:rsid w:val="007A0266"/>
    <w:rsid w:val="007A0354"/>
    <w:rsid w:val="007A03E3"/>
    <w:rsid w:val="007A0637"/>
    <w:rsid w:val="007A0684"/>
    <w:rsid w:val="007A0691"/>
    <w:rsid w:val="007A06F4"/>
    <w:rsid w:val="007A0705"/>
    <w:rsid w:val="007A0796"/>
    <w:rsid w:val="007A07AB"/>
    <w:rsid w:val="007A07CD"/>
    <w:rsid w:val="007A0944"/>
    <w:rsid w:val="007A09FF"/>
    <w:rsid w:val="007A0B44"/>
    <w:rsid w:val="007A0BB2"/>
    <w:rsid w:val="007A0BE7"/>
    <w:rsid w:val="007A0CF1"/>
    <w:rsid w:val="007A0DA8"/>
    <w:rsid w:val="007A0E2C"/>
    <w:rsid w:val="007A11AC"/>
    <w:rsid w:val="007A126D"/>
    <w:rsid w:val="007A1292"/>
    <w:rsid w:val="007A13D8"/>
    <w:rsid w:val="007A148A"/>
    <w:rsid w:val="007A150F"/>
    <w:rsid w:val="007A1581"/>
    <w:rsid w:val="007A15B3"/>
    <w:rsid w:val="007A161B"/>
    <w:rsid w:val="007A1632"/>
    <w:rsid w:val="007A1664"/>
    <w:rsid w:val="007A1680"/>
    <w:rsid w:val="007A1920"/>
    <w:rsid w:val="007A1ACB"/>
    <w:rsid w:val="007A1B85"/>
    <w:rsid w:val="007A1BC8"/>
    <w:rsid w:val="007A1C1D"/>
    <w:rsid w:val="007A1C6E"/>
    <w:rsid w:val="007A1D7C"/>
    <w:rsid w:val="007A1D93"/>
    <w:rsid w:val="007A1DE7"/>
    <w:rsid w:val="007A1E12"/>
    <w:rsid w:val="007A1E6B"/>
    <w:rsid w:val="007A1E9B"/>
    <w:rsid w:val="007A2219"/>
    <w:rsid w:val="007A22D1"/>
    <w:rsid w:val="007A24CE"/>
    <w:rsid w:val="007A2564"/>
    <w:rsid w:val="007A264D"/>
    <w:rsid w:val="007A266C"/>
    <w:rsid w:val="007A26CF"/>
    <w:rsid w:val="007A28E2"/>
    <w:rsid w:val="007A298E"/>
    <w:rsid w:val="007A29F6"/>
    <w:rsid w:val="007A2A23"/>
    <w:rsid w:val="007A2A57"/>
    <w:rsid w:val="007A2C8F"/>
    <w:rsid w:val="007A2CEF"/>
    <w:rsid w:val="007A2D37"/>
    <w:rsid w:val="007A2DA0"/>
    <w:rsid w:val="007A2E32"/>
    <w:rsid w:val="007A2E9B"/>
    <w:rsid w:val="007A2EF1"/>
    <w:rsid w:val="007A2FD2"/>
    <w:rsid w:val="007A2FEB"/>
    <w:rsid w:val="007A30AD"/>
    <w:rsid w:val="007A3125"/>
    <w:rsid w:val="007A3261"/>
    <w:rsid w:val="007A32E9"/>
    <w:rsid w:val="007A33B3"/>
    <w:rsid w:val="007A33C3"/>
    <w:rsid w:val="007A347E"/>
    <w:rsid w:val="007A3539"/>
    <w:rsid w:val="007A3618"/>
    <w:rsid w:val="007A371D"/>
    <w:rsid w:val="007A377B"/>
    <w:rsid w:val="007A37F9"/>
    <w:rsid w:val="007A384D"/>
    <w:rsid w:val="007A38C0"/>
    <w:rsid w:val="007A3AFD"/>
    <w:rsid w:val="007A3BFF"/>
    <w:rsid w:val="007A3C44"/>
    <w:rsid w:val="007A3CE2"/>
    <w:rsid w:val="007A3E41"/>
    <w:rsid w:val="007A3EE0"/>
    <w:rsid w:val="007A407C"/>
    <w:rsid w:val="007A419A"/>
    <w:rsid w:val="007A41C8"/>
    <w:rsid w:val="007A4211"/>
    <w:rsid w:val="007A437C"/>
    <w:rsid w:val="007A452D"/>
    <w:rsid w:val="007A45AC"/>
    <w:rsid w:val="007A46F3"/>
    <w:rsid w:val="007A476F"/>
    <w:rsid w:val="007A47FD"/>
    <w:rsid w:val="007A48B1"/>
    <w:rsid w:val="007A4926"/>
    <w:rsid w:val="007A4AC4"/>
    <w:rsid w:val="007A4B04"/>
    <w:rsid w:val="007A4B1A"/>
    <w:rsid w:val="007A4BAF"/>
    <w:rsid w:val="007A4CA3"/>
    <w:rsid w:val="007A4CAF"/>
    <w:rsid w:val="007A4D57"/>
    <w:rsid w:val="007A4DD2"/>
    <w:rsid w:val="007A4EC5"/>
    <w:rsid w:val="007A4ED8"/>
    <w:rsid w:val="007A4F60"/>
    <w:rsid w:val="007A50DE"/>
    <w:rsid w:val="007A5131"/>
    <w:rsid w:val="007A526D"/>
    <w:rsid w:val="007A52C5"/>
    <w:rsid w:val="007A53BD"/>
    <w:rsid w:val="007A54F1"/>
    <w:rsid w:val="007A54F5"/>
    <w:rsid w:val="007A55EC"/>
    <w:rsid w:val="007A56FD"/>
    <w:rsid w:val="007A58E9"/>
    <w:rsid w:val="007A5911"/>
    <w:rsid w:val="007A5937"/>
    <w:rsid w:val="007A5946"/>
    <w:rsid w:val="007A5951"/>
    <w:rsid w:val="007A5A5B"/>
    <w:rsid w:val="007A5AF5"/>
    <w:rsid w:val="007A5B7D"/>
    <w:rsid w:val="007A5C23"/>
    <w:rsid w:val="007A5D63"/>
    <w:rsid w:val="007A5EEE"/>
    <w:rsid w:val="007A5EFD"/>
    <w:rsid w:val="007A5F98"/>
    <w:rsid w:val="007A6055"/>
    <w:rsid w:val="007A60C5"/>
    <w:rsid w:val="007A6120"/>
    <w:rsid w:val="007A6131"/>
    <w:rsid w:val="007A615D"/>
    <w:rsid w:val="007A61F4"/>
    <w:rsid w:val="007A6227"/>
    <w:rsid w:val="007A6285"/>
    <w:rsid w:val="007A6287"/>
    <w:rsid w:val="007A62B8"/>
    <w:rsid w:val="007A6328"/>
    <w:rsid w:val="007A634C"/>
    <w:rsid w:val="007A6353"/>
    <w:rsid w:val="007A63BC"/>
    <w:rsid w:val="007A6554"/>
    <w:rsid w:val="007A6603"/>
    <w:rsid w:val="007A6631"/>
    <w:rsid w:val="007A6645"/>
    <w:rsid w:val="007A664C"/>
    <w:rsid w:val="007A66C9"/>
    <w:rsid w:val="007A672C"/>
    <w:rsid w:val="007A6753"/>
    <w:rsid w:val="007A695F"/>
    <w:rsid w:val="007A6ABF"/>
    <w:rsid w:val="007A6B76"/>
    <w:rsid w:val="007A6C4F"/>
    <w:rsid w:val="007A6C5D"/>
    <w:rsid w:val="007A6D27"/>
    <w:rsid w:val="007A6D5C"/>
    <w:rsid w:val="007A6D78"/>
    <w:rsid w:val="007A6DC7"/>
    <w:rsid w:val="007A6E8F"/>
    <w:rsid w:val="007A6F23"/>
    <w:rsid w:val="007A6FF4"/>
    <w:rsid w:val="007A702A"/>
    <w:rsid w:val="007A705B"/>
    <w:rsid w:val="007A712B"/>
    <w:rsid w:val="007A724F"/>
    <w:rsid w:val="007A72B8"/>
    <w:rsid w:val="007A72D9"/>
    <w:rsid w:val="007A73E7"/>
    <w:rsid w:val="007A764A"/>
    <w:rsid w:val="007A7666"/>
    <w:rsid w:val="007A7667"/>
    <w:rsid w:val="007A767D"/>
    <w:rsid w:val="007A7708"/>
    <w:rsid w:val="007A7939"/>
    <w:rsid w:val="007A79E0"/>
    <w:rsid w:val="007A7AFE"/>
    <w:rsid w:val="007A7B2D"/>
    <w:rsid w:val="007A7B52"/>
    <w:rsid w:val="007A7EC9"/>
    <w:rsid w:val="007A7FC4"/>
    <w:rsid w:val="007B000C"/>
    <w:rsid w:val="007B01B5"/>
    <w:rsid w:val="007B01F3"/>
    <w:rsid w:val="007B03D3"/>
    <w:rsid w:val="007B03E0"/>
    <w:rsid w:val="007B050F"/>
    <w:rsid w:val="007B059C"/>
    <w:rsid w:val="007B05FE"/>
    <w:rsid w:val="007B064D"/>
    <w:rsid w:val="007B073F"/>
    <w:rsid w:val="007B07A4"/>
    <w:rsid w:val="007B09C0"/>
    <w:rsid w:val="007B0A0D"/>
    <w:rsid w:val="007B0A1F"/>
    <w:rsid w:val="007B0C35"/>
    <w:rsid w:val="007B0D36"/>
    <w:rsid w:val="007B0D9F"/>
    <w:rsid w:val="007B0DD8"/>
    <w:rsid w:val="007B0E2B"/>
    <w:rsid w:val="007B0E61"/>
    <w:rsid w:val="007B0ECA"/>
    <w:rsid w:val="007B0F34"/>
    <w:rsid w:val="007B1001"/>
    <w:rsid w:val="007B1042"/>
    <w:rsid w:val="007B1188"/>
    <w:rsid w:val="007B11F9"/>
    <w:rsid w:val="007B121D"/>
    <w:rsid w:val="007B1370"/>
    <w:rsid w:val="007B13B9"/>
    <w:rsid w:val="007B13C8"/>
    <w:rsid w:val="007B150D"/>
    <w:rsid w:val="007B1530"/>
    <w:rsid w:val="007B1555"/>
    <w:rsid w:val="007B16A7"/>
    <w:rsid w:val="007B174E"/>
    <w:rsid w:val="007B183D"/>
    <w:rsid w:val="007B1870"/>
    <w:rsid w:val="007B1962"/>
    <w:rsid w:val="007B1963"/>
    <w:rsid w:val="007B1975"/>
    <w:rsid w:val="007B19AC"/>
    <w:rsid w:val="007B1E1E"/>
    <w:rsid w:val="007B1EAC"/>
    <w:rsid w:val="007B1FA5"/>
    <w:rsid w:val="007B209F"/>
    <w:rsid w:val="007B20A8"/>
    <w:rsid w:val="007B20B2"/>
    <w:rsid w:val="007B2189"/>
    <w:rsid w:val="007B22BA"/>
    <w:rsid w:val="007B236E"/>
    <w:rsid w:val="007B2436"/>
    <w:rsid w:val="007B246A"/>
    <w:rsid w:val="007B2514"/>
    <w:rsid w:val="007B2526"/>
    <w:rsid w:val="007B252B"/>
    <w:rsid w:val="007B26BB"/>
    <w:rsid w:val="007B272A"/>
    <w:rsid w:val="007B2735"/>
    <w:rsid w:val="007B2762"/>
    <w:rsid w:val="007B2943"/>
    <w:rsid w:val="007B2B8D"/>
    <w:rsid w:val="007B2BC9"/>
    <w:rsid w:val="007B2C04"/>
    <w:rsid w:val="007B2E35"/>
    <w:rsid w:val="007B2E36"/>
    <w:rsid w:val="007B2E7D"/>
    <w:rsid w:val="007B2E9D"/>
    <w:rsid w:val="007B2EAF"/>
    <w:rsid w:val="007B2EE1"/>
    <w:rsid w:val="007B2EE8"/>
    <w:rsid w:val="007B2FFE"/>
    <w:rsid w:val="007B3178"/>
    <w:rsid w:val="007B3196"/>
    <w:rsid w:val="007B332C"/>
    <w:rsid w:val="007B3359"/>
    <w:rsid w:val="007B339D"/>
    <w:rsid w:val="007B33DC"/>
    <w:rsid w:val="007B33EB"/>
    <w:rsid w:val="007B343C"/>
    <w:rsid w:val="007B34B6"/>
    <w:rsid w:val="007B35BA"/>
    <w:rsid w:val="007B3637"/>
    <w:rsid w:val="007B38AF"/>
    <w:rsid w:val="007B3933"/>
    <w:rsid w:val="007B3A99"/>
    <w:rsid w:val="007B3A9C"/>
    <w:rsid w:val="007B3AAC"/>
    <w:rsid w:val="007B3B1B"/>
    <w:rsid w:val="007B3C60"/>
    <w:rsid w:val="007B3D07"/>
    <w:rsid w:val="007B3E20"/>
    <w:rsid w:val="007B3E7F"/>
    <w:rsid w:val="007B4019"/>
    <w:rsid w:val="007B401A"/>
    <w:rsid w:val="007B40AE"/>
    <w:rsid w:val="007B4158"/>
    <w:rsid w:val="007B41BD"/>
    <w:rsid w:val="007B41CA"/>
    <w:rsid w:val="007B41EF"/>
    <w:rsid w:val="007B423C"/>
    <w:rsid w:val="007B4267"/>
    <w:rsid w:val="007B4278"/>
    <w:rsid w:val="007B4351"/>
    <w:rsid w:val="007B458A"/>
    <w:rsid w:val="007B464D"/>
    <w:rsid w:val="007B4667"/>
    <w:rsid w:val="007B47CA"/>
    <w:rsid w:val="007B47E4"/>
    <w:rsid w:val="007B49C0"/>
    <w:rsid w:val="007B4AF4"/>
    <w:rsid w:val="007B4B9F"/>
    <w:rsid w:val="007B4D1B"/>
    <w:rsid w:val="007B4DD3"/>
    <w:rsid w:val="007B4E8B"/>
    <w:rsid w:val="007B5054"/>
    <w:rsid w:val="007B50CF"/>
    <w:rsid w:val="007B50EC"/>
    <w:rsid w:val="007B52EC"/>
    <w:rsid w:val="007B53BC"/>
    <w:rsid w:val="007B5457"/>
    <w:rsid w:val="007B5598"/>
    <w:rsid w:val="007B56A0"/>
    <w:rsid w:val="007B5700"/>
    <w:rsid w:val="007B594B"/>
    <w:rsid w:val="007B5983"/>
    <w:rsid w:val="007B59D9"/>
    <w:rsid w:val="007B5A13"/>
    <w:rsid w:val="007B5A1B"/>
    <w:rsid w:val="007B5A98"/>
    <w:rsid w:val="007B5B02"/>
    <w:rsid w:val="007B5CC1"/>
    <w:rsid w:val="007B5D9D"/>
    <w:rsid w:val="007B5DBE"/>
    <w:rsid w:val="007B5F39"/>
    <w:rsid w:val="007B6096"/>
    <w:rsid w:val="007B61C5"/>
    <w:rsid w:val="007B6237"/>
    <w:rsid w:val="007B6263"/>
    <w:rsid w:val="007B62A7"/>
    <w:rsid w:val="007B62C3"/>
    <w:rsid w:val="007B62C5"/>
    <w:rsid w:val="007B6304"/>
    <w:rsid w:val="007B63E2"/>
    <w:rsid w:val="007B6412"/>
    <w:rsid w:val="007B652A"/>
    <w:rsid w:val="007B6649"/>
    <w:rsid w:val="007B664D"/>
    <w:rsid w:val="007B6661"/>
    <w:rsid w:val="007B6682"/>
    <w:rsid w:val="007B668F"/>
    <w:rsid w:val="007B66A0"/>
    <w:rsid w:val="007B670B"/>
    <w:rsid w:val="007B6782"/>
    <w:rsid w:val="007B67AA"/>
    <w:rsid w:val="007B68ED"/>
    <w:rsid w:val="007B6963"/>
    <w:rsid w:val="007B6967"/>
    <w:rsid w:val="007B69C5"/>
    <w:rsid w:val="007B6A3E"/>
    <w:rsid w:val="007B6A55"/>
    <w:rsid w:val="007B6DBC"/>
    <w:rsid w:val="007B6E4E"/>
    <w:rsid w:val="007B6E66"/>
    <w:rsid w:val="007B6EF2"/>
    <w:rsid w:val="007B7043"/>
    <w:rsid w:val="007B71A5"/>
    <w:rsid w:val="007B71E9"/>
    <w:rsid w:val="007B727B"/>
    <w:rsid w:val="007B752C"/>
    <w:rsid w:val="007B7531"/>
    <w:rsid w:val="007B756B"/>
    <w:rsid w:val="007B76F6"/>
    <w:rsid w:val="007B77CB"/>
    <w:rsid w:val="007B7890"/>
    <w:rsid w:val="007B78A7"/>
    <w:rsid w:val="007B7962"/>
    <w:rsid w:val="007B79C1"/>
    <w:rsid w:val="007B7A02"/>
    <w:rsid w:val="007B7AB7"/>
    <w:rsid w:val="007B7B11"/>
    <w:rsid w:val="007B7BDB"/>
    <w:rsid w:val="007B7BF1"/>
    <w:rsid w:val="007B7CAD"/>
    <w:rsid w:val="007B7D6A"/>
    <w:rsid w:val="007B7DBC"/>
    <w:rsid w:val="007B7EC1"/>
    <w:rsid w:val="007B7EE0"/>
    <w:rsid w:val="007B7F34"/>
    <w:rsid w:val="007B7FF5"/>
    <w:rsid w:val="007C0187"/>
    <w:rsid w:val="007C01D9"/>
    <w:rsid w:val="007C01F1"/>
    <w:rsid w:val="007C0212"/>
    <w:rsid w:val="007C027C"/>
    <w:rsid w:val="007C0298"/>
    <w:rsid w:val="007C029A"/>
    <w:rsid w:val="007C02BC"/>
    <w:rsid w:val="007C02D0"/>
    <w:rsid w:val="007C030A"/>
    <w:rsid w:val="007C030F"/>
    <w:rsid w:val="007C0543"/>
    <w:rsid w:val="007C0567"/>
    <w:rsid w:val="007C0698"/>
    <w:rsid w:val="007C0772"/>
    <w:rsid w:val="007C0809"/>
    <w:rsid w:val="007C080C"/>
    <w:rsid w:val="007C0831"/>
    <w:rsid w:val="007C088B"/>
    <w:rsid w:val="007C0935"/>
    <w:rsid w:val="007C0AFB"/>
    <w:rsid w:val="007C0B0D"/>
    <w:rsid w:val="007C0B8F"/>
    <w:rsid w:val="007C0D8B"/>
    <w:rsid w:val="007C0E1D"/>
    <w:rsid w:val="007C0EE3"/>
    <w:rsid w:val="007C0F4B"/>
    <w:rsid w:val="007C0F7D"/>
    <w:rsid w:val="007C10F7"/>
    <w:rsid w:val="007C1117"/>
    <w:rsid w:val="007C1148"/>
    <w:rsid w:val="007C117D"/>
    <w:rsid w:val="007C14A4"/>
    <w:rsid w:val="007C14FB"/>
    <w:rsid w:val="007C150F"/>
    <w:rsid w:val="007C151C"/>
    <w:rsid w:val="007C16B3"/>
    <w:rsid w:val="007C1702"/>
    <w:rsid w:val="007C17BE"/>
    <w:rsid w:val="007C19FB"/>
    <w:rsid w:val="007C1A92"/>
    <w:rsid w:val="007C1AE2"/>
    <w:rsid w:val="007C1AFF"/>
    <w:rsid w:val="007C1C4E"/>
    <w:rsid w:val="007C1C78"/>
    <w:rsid w:val="007C1C9A"/>
    <w:rsid w:val="007C1CAB"/>
    <w:rsid w:val="007C1CF1"/>
    <w:rsid w:val="007C1DDD"/>
    <w:rsid w:val="007C1DFC"/>
    <w:rsid w:val="007C1E0E"/>
    <w:rsid w:val="007C1E34"/>
    <w:rsid w:val="007C1E55"/>
    <w:rsid w:val="007C1EA8"/>
    <w:rsid w:val="007C1FBD"/>
    <w:rsid w:val="007C1FC8"/>
    <w:rsid w:val="007C202C"/>
    <w:rsid w:val="007C2035"/>
    <w:rsid w:val="007C21AB"/>
    <w:rsid w:val="007C22E1"/>
    <w:rsid w:val="007C22F6"/>
    <w:rsid w:val="007C2413"/>
    <w:rsid w:val="007C2449"/>
    <w:rsid w:val="007C2581"/>
    <w:rsid w:val="007C2647"/>
    <w:rsid w:val="007C2725"/>
    <w:rsid w:val="007C2744"/>
    <w:rsid w:val="007C283A"/>
    <w:rsid w:val="007C2B8D"/>
    <w:rsid w:val="007C2B8F"/>
    <w:rsid w:val="007C2B93"/>
    <w:rsid w:val="007C2C2B"/>
    <w:rsid w:val="007C2D6C"/>
    <w:rsid w:val="007C2DC7"/>
    <w:rsid w:val="007C2E97"/>
    <w:rsid w:val="007C2F39"/>
    <w:rsid w:val="007C2FE1"/>
    <w:rsid w:val="007C300D"/>
    <w:rsid w:val="007C303B"/>
    <w:rsid w:val="007C307E"/>
    <w:rsid w:val="007C3092"/>
    <w:rsid w:val="007C309A"/>
    <w:rsid w:val="007C30C7"/>
    <w:rsid w:val="007C32F0"/>
    <w:rsid w:val="007C33AA"/>
    <w:rsid w:val="007C33B3"/>
    <w:rsid w:val="007C3470"/>
    <w:rsid w:val="007C34BD"/>
    <w:rsid w:val="007C34C4"/>
    <w:rsid w:val="007C35AC"/>
    <w:rsid w:val="007C366D"/>
    <w:rsid w:val="007C36AF"/>
    <w:rsid w:val="007C36D5"/>
    <w:rsid w:val="007C3761"/>
    <w:rsid w:val="007C3764"/>
    <w:rsid w:val="007C3786"/>
    <w:rsid w:val="007C3979"/>
    <w:rsid w:val="007C398B"/>
    <w:rsid w:val="007C39D4"/>
    <w:rsid w:val="007C3ABF"/>
    <w:rsid w:val="007C3C14"/>
    <w:rsid w:val="007C3C31"/>
    <w:rsid w:val="007C3C50"/>
    <w:rsid w:val="007C3DB7"/>
    <w:rsid w:val="007C3EC6"/>
    <w:rsid w:val="007C3F9C"/>
    <w:rsid w:val="007C3F9F"/>
    <w:rsid w:val="007C4029"/>
    <w:rsid w:val="007C40F5"/>
    <w:rsid w:val="007C418E"/>
    <w:rsid w:val="007C41D1"/>
    <w:rsid w:val="007C4248"/>
    <w:rsid w:val="007C43AF"/>
    <w:rsid w:val="007C449D"/>
    <w:rsid w:val="007C44E7"/>
    <w:rsid w:val="007C4599"/>
    <w:rsid w:val="007C4697"/>
    <w:rsid w:val="007C4741"/>
    <w:rsid w:val="007C47F6"/>
    <w:rsid w:val="007C485F"/>
    <w:rsid w:val="007C48C7"/>
    <w:rsid w:val="007C497C"/>
    <w:rsid w:val="007C4AAE"/>
    <w:rsid w:val="007C4B1B"/>
    <w:rsid w:val="007C4CFA"/>
    <w:rsid w:val="007C4E36"/>
    <w:rsid w:val="007C4E8E"/>
    <w:rsid w:val="007C4F76"/>
    <w:rsid w:val="007C5033"/>
    <w:rsid w:val="007C50A1"/>
    <w:rsid w:val="007C510A"/>
    <w:rsid w:val="007C517A"/>
    <w:rsid w:val="007C528C"/>
    <w:rsid w:val="007C52EA"/>
    <w:rsid w:val="007C5360"/>
    <w:rsid w:val="007C536F"/>
    <w:rsid w:val="007C5444"/>
    <w:rsid w:val="007C5521"/>
    <w:rsid w:val="007C55BC"/>
    <w:rsid w:val="007C55BD"/>
    <w:rsid w:val="007C5AFF"/>
    <w:rsid w:val="007C5B3D"/>
    <w:rsid w:val="007C5B97"/>
    <w:rsid w:val="007C5BFB"/>
    <w:rsid w:val="007C5C16"/>
    <w:rsid w:val="007C5C5E"/>
    <w:rsid w:val="007C5D40"/>
    <w:rsid w:val="007C5F33"/>
    <w:rsid w:val="007C5FFA"/>
    <w:rsid w:val="007C6051"/>
    <w:rsid w:val="007C60ED"/>
    <w:rsid w:val="007C6112"/>
    <w:rsid w:val="007C6201"/>
    <w:rsid w:val="007C6243"/>
    <w:rsid w:val="007C6295"/>
    <w:rsid w:val="007C62E9"/>
    <w:rsid w:val="007C63E5"/>
    <w:rsid w:val="007C63F9"/>
    <w:rsid w:val="007C6563"/>
    <w:rsid w:val="007C657C"/>
    <w:rsid w:val="007C6847"/>
    <w:rsid w:val="007C6864"/>
    <w:rsid w:val="007C68A4"/>
    <w:rsid w:val="007C68CF"/>
    <w:rsid w:val="007C6909"/>
    <w:rsid w:val="007C697D"/>
    <w:rsid w:val="007C69D6"/>
    <w:rsid w:val="007C6B45"/>
    <w:rsid w:val="007C6B46"/>
    <w:rsid w:val="007C6B47"/>
    <w:rsid w:val="007C6B97"/>
    <w:rsid w:val="007C6C48"/>
    <w:rsid w:val="007C6CA5"/>
    <w:rsid w:val="007C6CCA"/>
    <w:rsid w:val="007C6E3F"/>
    <w:rsid w:val="007C6EA7"/>
    <w:rsid w:val="007C6EE7"/>
    <w:rsid w:val="007C6F6B"/>
    <w:rsid w:val="007C6F86"/>
    <w:rsid w:val="007C7208"/>
    <w:rsid w:val="007C7239"/>
    <w:rsid w:val="007C723A"/>
    <w:rsid w:val="007C73CD"/>
    <w:rsid w:val="007C73F6"/>
    <w:rsid w:val="007C74B5"/>
    <w:rsid w:val="007C75BB"/>
    <w:rsid w:val="007C76E6"/>
    <w:rsid w:val="007C77A7"/>
    <w:rsid w:val="007C780E"/>
    <w:rsid w:val="007C785D"/>
    <w:rsid w:val="007C7974"/>
    <w:rsid w:val="007C79B6"/>
    <w:rsid w:val="007C79F5"/>
    <w:rsid w:val="007C7AC4"/>
    <w:rsid w:val="007C7B30"/>
    <w:rsid w:val="007C7BBE"/>
    <w:rsid w:val="007C7C9B"/>
    <w:rsid w:val="007C7CC6"/>
    <w:rsid w:val="007C7D1A"/>
    <w:rsid w:val="007C7D8C"/>
    <w:rsid w:val="007C7EAA"/>
    <w:rsid w:val="007D00D3"/>
    <w:rsid w:val="007D014B"/>
    <w:rsid w:val="007D0163"/>
    <w:rsid w:val="007D0182"/>
    <w:rsid w:val="007D0193"/>
    <w:rsid w:val="007D033F"/>
    <w:rsid w:val="007D03BE"/>
    <w:rsid w:val="007D0510"/>
    <w:rsid w:val="007D0680"/>
    <w:rsid w:val="007D06ED"/>
    <w:rsid w:val="007D06F4"/>
    <w:rsid w:val="007D08C2"/>
    <w:rsid w:val="007D08FE"/>
    <w:rsid w:val="007D0904"/>
    <w:rsid w:val="007D0922"/>
    <w:rsid w:val="007D0995"/>
    <w:rsid w:val="007D0A42"/>
    <w:rsid w:val="007D0B1C"/>
    <w:rsid w:val="007D0B6F"/>
    <w:rsid w:val="007D0B81"/>
    <w:rsid w:val="007D0BC3"/>
    <w:rsid w:val="007D0BE7"/>
    <w:rsid w:val="007D0C18"/>
    <w:rsid w:val="007D0C43"/>
    <w:rsid w:val="007D0C49"/>
    <w:rsid w:val="007D0CA9"/>
    <w:rsid w:val="007D0E9E"/>
    <w:rsid w:val="007D0F0A"/>
    <w:rsid w:val="007D0F9E"/>
    <w:rsid w:val="007D1004"/>
    <w:rsid w:val="007D100A"/>
    <w:rsid w:val="007D11B8"/>
    <w:rsid w:val="007D11D0"/>
    <w:rsid w:val="007D12A4"/>
    <w:rsid w:val="007D12FE"/>
    <w:rsid w:val="007D13CE"/>
    <w:rsid w:val="007D14E8"/>
    <w:rsid w:val="007D162E"/>
    <w:rsid w:val="007D16B1"/>
    <w:rsid w:val="007D1705"/>
    <w:rsid w:val="007D1764"/>
    <w:rsid w:val="007D18C3"/>
    <w:rsid w:val="007D19C8"/>
    <w:rsid w:val="007D19F3"/>
    <w:rsid w:val="007D1ACB"/>
    <w:rsid w:val="007D1B1A"/>
    <w:rsid w:val="007D1BDB"/>
    <w:rsid w:val="007D1BFB"/>
    <w:rsid w:val="007D1C66"/>
    <w:rsid w:val="007D1E54"/>
    <w:rsid w:val="007D1E58"/>
    <w:rsid w:val="007D20B1"/>
    <w:rsid w:val="007D2113"/>
    <w:rsid w:val="007D214C"/>
    <w:rsid w:val="007D21D5"/>
    <w:rsid w:val="007D2241"/>
    <w:rsid w:val="007D224F"/>
    <w:rsid w:val="007D22B7"/>
    <w:rsid w:val="007D2344"/>
    <w:rsid w:val="007D23AB"/>
    <w:rsid w:val="007D23BD"/>
    <w:rsid w:val="007D23CF"/>
    <w:rsid w:val="007D23D7"/>
    <w:rsid w:val="007D2499"/>
    <w:rsid w:val="007D24E5"/>
    <w:rsid w:val="007D24F2"/>
    <w:rsid w:val="007D2690"/>
    <w:rsid w:val="007D2758"/>
    <w:rsid w:val="007D2762"/>
    <w:rsid w:val="007D281F"/>
    <w:rsid w:val="007D2855"/>
    <w:rsid w:val="007D289F"/>
    <w:rsid w:val="007D28C1"/>
    <w:rsid w:val="007D2952"/>
    <w:rsid w:val="007D2A08"/>
    <w:rsid w:val="007D2A1A"/>
    <w:rsid w:val="007D2A8D"/>
    <w:rsid w:val="007D2B00"/>
    <w:rsid w:val="007D2B9B"/>
    <w:rsid w:val="007D2BDB"/>
    <w:rsid w:val="007D2CEB"/>
    <w:rsid w:val="007D2CEC"/>
    <w:rsid w:val="007D2CFC"/>
    <w:rsid w:val="007D2D32"/>
    <w:rsid w:val="007D2D4D"/>
    <w:rsid w:val="007D2DB7"/>
    <w:rsid w:val="007D3044"/>
    <w:rsid w:val="007D312B"/>
    <w:rsid w:val="007D31FD"/>
    <w:rsid w:val="007D329F"/>
    <w:rsid w:val="007D32D1"/>
    <w:rsid w:val="007D33BD"/>
    <w:rsid w:val="007D33E9"/>
    <w:rsid w:val="007D3459"/>
    <w:rsid w:val="007D34AE"/>
    <w:rsid w:val="007D3591"/>
    <w:rsid w:val="007D3738"/>
    <w:rsid w:val="007D38E0"/>
    <w:rsid w:val="007D398A"/>
    <w:rsid w:val="007D39BB"/>
    <w:rsid w:val="007D3AC7"/>
    <w:rsid w:val="007D3CFA"/>
    <w:rsid w:val="007D3D01"/>
    <w:rsid w:val="007D3D5A"/>
    <w:rsid w:val="007D3D9A"/>
    <w:rsid w:val="007D3E33"/>
    <w:rsid w:val="007D4003"/>
    <w:rsid w:val="007D41B8"/>
    <w:rsid w:val="007D4224"/>
    <w:rsid w:val="007D4270"/>
    <w:rsid w:val="007D4437"/>
    <w:rsid w:val="007D449E"/>
    <w:rsid w:val="007D44A6"/>
    <w:rsid w:val="007D4524"/>
    <w:rsid w:val="007D46ED"/>
    <w:rsid w:val="007D48FC"/>
    <w:rsid w:val="007D4A21"/>
    <w:rsid w:val="007D4A69"/>
    <w:rsid w:val="007D4C1E"/>
    <w:rsid w:val="007D4CD8"/>
    <w:rsid w:val="007D4D0C"/>
    <w:rsid w:val="007D4D5A"/>
    <w:rsid w:val="007D4D82"/>
    <w:rsid w:val="007D4E93"/>
    <w:rsid w:val="007D4EBF"/>
    <w:rsid w:val="007D4F18"/>
    <w:rsid w:val="007D4F41"/>
    <w:rsid w:val="007D4F56"/>
    <w:rsid w:val="007D4FF4"/>
    <w:rsid w:val="007D509F"/>
    <w:rsid w:val="007D50A2"/>
    <w:rsid w:val="007D50C6"/>
    <w:rsid w:val="007D510E"/>
    <w:rsid w:val="007D5210"/>
    <w:rsid w:val="007D523F"/>
    <w:rsid w:val="007D52F3"/>
    <w:rsid w:val="007D53A3"/>
    <w:rsid w:val="007D5503"/>
    <w:rsid w:val="007D5551"/>
    <w:rsid w:val="007D55DE"/>
    <w:rsid w:val="007D57D9"/>
    <w:rsid w:val="007D582C"/>
    <w:rsid w:val="007D587F"/>
    <w:rsid w:val="007D58B4"/>
    <w:rsid w:val="007D58C4"/>
    <w:rsid w:val="007D597F"/>
    <w:rsid w:val="007D59AE"/>
    <w:rsid w:val="007D5A27"/>
    <w:rsid w:val="007D5B59"/>
    <w:rsid w:val="007D5B7D"/>
    <w:rsid w:val="007D5B9D"/>
    <w:rsid w:val="007D5CC3"/>
    <w:rsid w:val="007D5CE3"/>
    <w:rsid w:val="007D5D16"/>
    <w:rsid w:val="007D5F3D"/>
    <w:rsid w:val="007D5FBA"/>
    <w:rsid w:val="007D60C3"/>
    <w:rsid w:val="007D6160"/>
    <w:rsid w:val="007D6162"/>
    <w:rsid w:val="007D6278"/>
    <w:rsid w:val="007D6287"/>
    <w:rsid w:val="007D639E"/>
    <w:rsid w:val="007D64D3"/>
    <w:rsid w:val="007D6527"/>
    <w:rsid w:val="007D652E"/>
    <w:rsid w:val="007D65C1"/>
    <w:rsid w:val="007D6655"/>
    <w:rsid w:val="007D6683"/>
    <w:rsid w:val="007D66E7"/>
    <w:rsid w:val="007D66F4"/>
    <w:rsid w:val="007D6717"/>
    <w:rsid w:val="007D67A4"/>
    <w:rsid w:val="007D681D"/>
    <w:rsid w:val="007D6837"/>
    <w:rsid w:val="007D69AA"/>
    <w:rsid w:val="007D6A50"/>
    <w:rsid w:val="007D6AA0"/>
    <w:rsid w:val="007D6ABE"/>
    <w:rsid w:val="007D6B4D"/>
    <w:rsid w:val="007D6D22"/>
    <w:rsid w:val="007D6D56"/>
    <w:rsid w:val="007D6ED7"/>
    <w:rsid w:val="007D6F21"/>
    <w:rsid w:val="007D6F43"/>
    <w:rsid w:val="007D7110"/>
    <w:rsid w:val="007D728C"/>
    <w:rsid w:val="007D7361"/>
    <w:rsid w:val="007D7374"/>
    <w:rsid w:val="007D73D2"/>
    <w:rsid w:val="007D7411"/>
    <w:rsid w:val="007D7439"/>
    <w:rsid w:val="007D7605"/>
    <w:rsid w:val="007D7680"/>
    <w:rsid w:val="007D77E9"/>
    <w:rsid w:val="007D78E6"/>
    <w:rsid w:val="007D78F2"/>
    <w:rsid w:val="007D794D"/>
    <w:rsid w:val="007D7A06"/>
    <w:rsid w:val="007D7A75"/>
    <w:rsid w:val="007D7B3E"/>
    <w:rsid w:val="007D7B6E"/>
    <w:rsid w:val="007D7B82"/>
    <w:rsid w:val="007D7C04"/>
    <w:rsid w:val="007D7C6A"/>
    <w:rsid w:val="007D7D54"/>
    <w:rsid w:val="007D7E6D"/>
    <w:rsid w:val="007D7EE0"/>
    <w:rsid w:val="007D7F20"/>
    <w:rsid w:val="007E0016"/>
    <w:rsid w:val="007E019D"/>
    <w:rsid w:val="007E020E"/>
    <w:rsid w:val="007E0283"/>
    <w:rsid w:val="007E02AC"/>
    <w:rsid w:val="007E038C"/>
    <w:rsid w:val="007E051D"/>
    <w:rsid w:val="007E061E"/>
    <w:rsid w:val="007E0686"/>
    <w:rsid w:val="007E0989"/>
    <w:rsid w:val="007E0A5B"/>
    <w:rsid w:val="007E0A6A"/>
    <w:rsid w:val="007E0A9D"/>
    <w:rsid w:val="007E0AAA"/>
    <w:rsid w:val="007E0BD5"/>
    <w:rsid w:val="007E0C20"/>
    <w:rsid w:val="007E0C57"/>
    <w:rsid w:val="007E0CA1"/>
    <w:rsid w:val="007E0D9B"/>
    <w:rsid w:val="007E0DBA"/>
    <w:rsid w:val="007E0E97"/>
    <w:rsid w:val="007E0F62"/>
    <w:rsid w:val="007E0FE2"/>
    <w:rsid w:val="007E0FE3"/>
    <w:rsid w:val="007E1018"/>
    <w:rsid w:val="007E1088"/>
    <w:rsid w:val="007E10C8"/>
    <w:rsid w:val="007E11D9"/>
    <w:rsid w:val="007E1334"/>
    <w:rsid w:val="007E1370"/>
    <w:rsid w:val="007E13A4"/>
    <w:rsid w:val="007E1487"/>
    <w:rsid w:val="007E1537"/>
    <w:rsid w:val="007E1586"/>
    <w:rsid w:val="007E15BC"/>
    <w:rsid w:val="007E15C4"/>
    <w:rsid w:val="007E1683"/>
    <w:rsid w:val="007E16DF"/>
    <w:rsid w:val="007E16E7"/>
    <w:rsid w:val="007E177A"/>
    <w:rsid w:val="007E1876"/>
    <w:rsid w:val="007E18D7"/>
    <w:rsid w:val="007E18F5"/>
    <w:rsid w:val="007E191D"/>
    <w:rsid w:val="007E1994"/>
    <w:rsid w:val="007E1BFA"/>
    <w:rsid w:val="007E1C22"/>
    <w:rsid w:val="007E1E05"/>
    <w:rsid w:val="007E1E24"/>
    <w:rsid w:val="007E1E67"/>
    <w:rsid w:val="007E1F35"/>
    <w:rsid w:val="007E225F"/>
    <w:rsid w:val="007E231C"/>
    <w:rsid w:val="007E23E0"/>
    <w:rsid w:val="007E24A8"/>
    <w:rsid w:val="007E25A1"/>
    <w:rsid w:val="007E25FF"/>
    <w:rsid w:val="007E2637"/>
    <w:rsid w:val="007E26BC"/>
    <w:rsid w:val="007E275E"/>
    <w:rsid w:val="007E281C"/>
    <w:rsid w:val="007E281F"/>
    <w:rsid w:val="007E282F"/>
    <w:rsid w:val="007E28BA"/>
    <w:rsid w:val="007E2952"/>
    <w:rsid w:val="007E29DB"/>
    <w:rsid w:val="007E2A66"/>
    <w:rsid w:val="007E2A87"/>
    <w:rsid w:val="007E2B51"/>
    <w:rsid w:val="007E2BB2"/>
    <w:rsid w:val="007E2BE3"/>
    <w:rsid w:val="007E2BFD"/>
    <w:rsid w:val="007E2C25"/>
    <w:rsid w:val="007E2D67"/>
    <w:rsid w:val="007E2E27"/>
    <w:rsid w:val="007E2F86"/>
    <w:rsid w:val="007E300C"/>
    <w:rsid w:val="007E301D"/>
    <w:rsid w:val="007E3036"/>
    <w:rsid w:val="007E3084"/>
    <w:rsid w:val="007E3167"/>
    <w:rsid w:val="007E31C9"/>
    <w:rsid w:val="007E3237"/>
    <w:rsid w:val="007E32DE"/>
    <w:rsid w:val="007E3337"/>
    <w:rsid w:val="007E33FE"/>
    <w:rsid w:val="007E3528"/>
    <w:rsid w:val="007E3597"/>
    <w:rsid w:val="007E35A3"/>
    <w:rsid w:val="007E35D8"/>
    <w:rsid w:val="007E3689"/>
    <w:rsid w:val="007E3699"/>
    <w:rsid w:val="007E369F"/>
    <w:rsid w:val="007E3722"/>
    <w:rsid w:val="007E3775"/>
    <w:rsid w:val="007E37F1"/>
    <w:rsid w:val="007E380E"/>
    <w:rsid w:val="007E3884"/>
    <w:rsid w:val="007E3968"/>
    <w:rsid w:val="007E399D"/>
    <w:rsid w:val="007E3A08"/>
    <w:rsid w:val="007E3A51"/>
    <w:rsid w:val="007E3B51"/>
    <w:rsid w:val="007E3C22"/>
    <w:rsid w:val="007E3D22"/>
    <w:rsid w:val="007E3E12"/>
    <w:rsid w:val="007E3EB1"/>
    <w:rsid w:val="007E3F3E"/>
    <w:rsid w:val="007E3F92"/>
    <w:rsid w:val="007E3FCA"/>
    <w:rsid w:val="007E3FD5"/>
    <w:rsid w:val="007E418E"/>
    <w:rsid w:val="007E4198"/>
    <w:rsid w:val="007E422B"/>
    <w:rsid w:val="007E4281"/>
    <w:rsid w:val="007E4351"/>
    <w:rsid w:val="007E45CF"/>
    <w:rsid w:val="007E45D2"/>
    <w:rsid w:val="007E46A1"/>
    <w:rsid w:val="007E46BA"/>
    <w:rsid w:val="007E470A"/>
    <w:rsid w:val="007E48B9"/>
    <w:rsid w:val="007E48E8"/>
    <w:rsid w:val="007E4909"/>
    <w:rsid w:val="007E49A5"/>
    <w:rsid w:val="007E4A33"/>
    <w:rsid w:val="007E4C92"/>
    <w:rsid w:val="007E4CC8"/>
    <w:rsid w:val="007E4E07"/>
    <w:rsid w:val="007E4E30"/>
    <w:rsid w:val="007E4E75"/>
    <w:rsid w:val="007E4E89"/>
    <w:rsid w:val="007E4EDA"/>
    <w:rsid w:val="007E4F27"/>
    <w:rsid w:val="007E5055"/>
    <w:rsid w:val="007E5131"/>
    <w:rsid w:val="007E5147"/>
    <w:rsid w:val="007E51B9"/>
    <w:rsid w:val="007E5250"/>
    <w:rsid w:val="007E5259"/>
    <w:rsid w:val="007E5412"/>
    <w:rsid w:val="007E548B"/>
    <w:rsid w:val="007E54EB"/>
    <w:rsid w:val="007E5759"/>
    <w:rsid w:val="007E577D"/>
    <w:rsid w:val="007E577F"/>
    <w:rsid w:val="007E5804"/>
    <w:rsid w:val="007E591E"/>
    <w:rsid w:val="007E5A37"/>
    <w:rsid w:val="007E5A49"/>
    <w:rsid w:val="007E5A7A"/>
    <w:rsid w:val="007E5B88"/>
    <w:rsid w:val="007E5D44"/>
    <w:rsid w:val="007E5E24"/>
    <w:rsid w:val="007E5F33"/>
    <w:rsid w:val="007E5FD5"/>
    <w:rsid w:val="007E6167"/>
    <w:rsid w:val="007E639C"/>
    <w:rsid w:val="007E63C9"/>
    <w:rsid w:val="007E643E"/>
    <w:rsid w:val="007E644A"/>
    <w:rsid w:val="007E6478"/>
    <w:rsid w:val="007E6676"/>
    <w:rsid w:val="007E66C3"/>
    <w:rsid w:val="007E66F5"/>
    <w:rsid w:val="007E6814"/>
    <w:rsid w:val="007E6847"/>
    <w:rsid w:val="007E690E"/>
    <w:rsid w:val="007E697E"/>
    <w:rsid w:val="007E698F"/>
    <w:rsid w:val="007E6C6F"/>
    <w:rsid w:val="007E6D5A"/>
    <w:rsid w:val="007E6D9C"/>
    <w:rsid w:val="007E6E87"/>
    <w:rsid w:val="007E6EE5"/>
    <w:rsid w:val="007E6F51"/>
    <w:rsid w:val="007E6F55"/>
    <w:rsid w:val="007E7105"/>
    <w:rsid w:val="007E712F"/>
    <w:rsid w:val="007E71CE"/>
    <w:rsid w:val="007E724F"/>
    <w:rsid w:val="007E7495"/>
    <w:rsid w:val="007E74C5"/>
    <w:rsid w:val="007E7695"/>
    <w:rsid w:val="007E76EB"/>
    <w:rsid w:val="007E7726"/>
    <w:rsid w:val="007E779D"/>
    <w:rsid w:val="007E77B7"/>
    <w:rsid w:val="007E7814"/>
    <w:rsid w:val="007E799A"/>
    <w:rsid w:val="007E7A26"/>
    <w:rsid w:val="007E7A75"/>
    <w:rsid w:val="007E7AA3"/>
    <w:rsid w:val="007E7AE9"/>
    <w:rsid w:val="007E7B1B"/>
    <w:rsid w:val="007E7CB6"/>
    <w:rsid w:val="007E7E5F"/>
    <w:rsid w:val="007E7E6C"/>
    <w:rsid w:val="007E7F2A"/>
    <w:rsid w:val="007E7F42"/>
    <w:rsid w:val="007E7FB6"/>
    <w:rsid w:val="007E7FCD"/>
    <w:rsid w:val="007F0010"/>
    <w:rsid w:val="007F00DD"/>
    <w:rsid w:val="007F013B"/>
    <w:rsid w:val="007F0174"/>
    <w:rsid w:val="007F0209"/>
    <w:rsid w:val="007F0267"/>
    <w:rsid w:val="007F0338"/>
    <w:rsid w:val="007F03AA"/>
    <w:rsid w:val="007F03FB"/>
    <w:rsid w:val="007F054C"/>
    <w:rsid w:val="007F05A6"/>
    <w:rsid w:val="007F05E4"/>
    <w:rsid w:val="007F05F9"/>
    <w:rsid w:val="007F0711"/>
    <w:rsid w:val="007F09AF"/>
    <w:rsid w:val="007F0A1F"/>
    <w:rsid w:val="007F0B06"/>
    <w:rsid w:val="007F0B7E"/>
    <w:rsid w:val="007F0D0F"/>
    <w:rsid w:val="007F0D65"/>
    <w:rsid w:val="007F0D84"/>
    <w:rsid w:val="007F0D90"/>
    <w:rsid w:val="007F0E34"/>
    <w:rsid w:val="007F0EB7"/>
    <w:rsid w:val="007F0F92"/>
    <w:rsid w:val="007F0F9A"/>
    <w:rsid w:val="007F1006"/>
    <w:rsid w:val="007F1092"/>
    <w:rsid w:val="007F12A7"/>
    <w:rsid w:val="007F136F"/>
    <w:rsid w:val="007F140E"/>
    <w:rsid w:val="007F1465"/>
    <w:rsid w:val="007F1517"/>
    <w:rsid w:val="007F1525"/>
    <w:rsid w:val="007F152B"/>
    <w:rsid w:val="007F1545"/>
    <w:rsid w:val="007F16D0"/>
    <w:rsid w:val="007F184A"/>
    <w:rsid w:val="007F18A4"/>
    <w:rsid w:val="007F18DE"/>
    <w:rsid w:val="007F1902"/>
    <w:rsid w:val="007F1941"/>
    <w:rsid w:val="007F195B"/>
    <w:rsid w:val="007F19AC"/>
    <w:rsid w:val="007F1C34"/>
    <w:rsid w:val="007F1DF5"/>
    <w:rsid w:val="007F1E1A"/>
    <w:rsid w:val="007F1E84"/>
    <w:rsid w:val="007F1FE4"/>
    <w:rsid w:val="007F20E9"/>
    <w:rsid w:val="007F216D"/>
    <w:rsid w:val="007F239C"/>
    <w:rsid w:val="007F23B3"/>
    <w:rsid w:val="007F241E"/>
    <w:rsid w:val="007F2444"/>
    <w:rsid w:val="007F24F1"/>
    <w:rsid w:val="007F2541"/>
    <w:rsid w:val="007F263C"/>
    <w:rsid w:val="007F267B"/>
    <w:rsid w:val="007F26AB"/>
    <w:rsid w:val="007F2873"/>
    <w:rsid w:val="007F2899"/>
    <w:rsid w:val="007F2935"/>
    <w:rsid w:val="007F298B"/>
    <w:rsid w:val="007F29AB"/>
    <w:rsid w:val="007F2E54"/>
    <w:rsid w:val="007F2F28"/>
    <w:rsid w:val="007F2F9A"/>
    <w:rsid w:val="007F3000"/>
    <w:rsid w:val="007F3058"/>
    <w:rsid w:val="007F30B2"/>
    <w:rsid w:val="007F30C6"/>
    <w:rsid w:val="007F322D"/>
    <w:rsid w:val="007F32C6"/>
    <w:rsid w:val="007F3343"/>
    <w:rsid w:val="007F33D7"/>
    <w:rsid w:val="007F3401"/>
    <w:rsid w:val="007F3407"/>
    <w:rsid w:val="007F345B"/>
    <w:rsid w:val="007F360F"/>
    <w:rsid w:val="007F3631"/>
    <w:rsid w:val="007F3726"/>
    <w:rsid w:val="007F3745"/>
    <w:rsid w:val="007F38D7"/>
    <w:rsid w:val="007F396C"/>
    <w:rsid w:val="007F3B30"/>
    <w:rsid w:val="007F3C03"/>
    <w:rsid w:val="007F3C21"/>
    <w:rsid w:val="007F3C89"/>
    <w:rsid w:val="007F3CBB"/>
    <w:rsid w:val="007F3D6A"/>
    <w:rsid w:val="007F3DF2"/>
    <w:rsid w:val="007F3E61"/>
    <w:rsid w:val="007F3ED7"/>
    <w:rsid w:val="007F4106"/>
    <w:rsid w:val="007F417F"/>
    <w:rsid w:val="007F41E5"/>
    <w:rsid w:val="007F4312"/>
    <w:rsid w:val="007F43CF"/>
    <w:rsid w:val="007F43F0"/>
    <w:rsid w:val="007F4527"/>
    <w:rsid w:val="007F4535"/>
    <w:rsid w:val="007F4600"/>
    <w:rsid w:val="007F462D"/>
    <w:rsid w:val="007F472F"/>
    <w:rsid w:val="007F478D"/>
    <w:rsid w:val="007F4868"/>
    <w:rsid w:val="007F48B8"/>
    <w:rsid w:val="007F4997"/>
    <w:rsid w:val="007F4A9C"/>
    <w:rsid w:val="007F4C20"/>
    <w:rsid w:val="007F4CAF"/>
    <w:rsid w:val="007F4D02"/>
    <w:rsid w:val="007F4D16"/>
    <w:rsid w:val="007F4D52"/>
    <w:rsid w:val="007F4ED2"/>
    <w:rsid w:val="007F4F64"/>
    <w:rsid w:val="007F4F72"/>
    <w:rsid w:val="007F4FAD"/>
    <w:rsid w:val="007F4FC5"/>
    <w:rsid w:val="007F5021"/>
    <w:rsid w:val="007F5088"/>
    <w:rsid w:val="007F515A"/>
    <w:rsid w:val="007F5171"/>
    <w:rsid w:val="007F519C"/>
    <w:rsid w:val="007F51EE"/>
    <w:rsid w:val="007F51FE"/>
    <w:rsid w:val="007F5241"/>
    <w:rsid w:val="007F538F"/>
    <w:rsid w:val="007F53A6"/>
    <w:rsid w:val="007F5453"/>
    <w:rsid w:val="007F5457"/>
    <w:rsid w:val="007F5476"/>
    <w:rsid w:val="007F57DA"/>
    <w:rsid w:val="007F592C"/>
    <w:rsid w:val="007F59BC"/>
    <w:rsid w:val="007F5AB3"/>
    <w:rsid w:val="007F5B2E"/>
    <w:rsid w:val="007F5B5B"/>
    <w:rsid w:val="007F5BA5"/>
    <w:rsid w:val="007F5BAE"/>
    <w:rsid w:val="007F5CDE"/>
    <w:rsid w:val="007F5CF3"/>
    <w:rsid w:val="007F5D3B"/>
    <w:rsid w:val="007F5E8B"/>
    <w:rsid w:val="007F5EAD"/>
    <w:rsid w:val="007F5FBB"/>
    <w:rsid w:val="007F6167"/>
    <w:rsid w:val="007F61AA"/>
    <w:rsid w:val="007F61F7"/>
    <w:rsid w:val="007F6256"/>
    <w:rsid w:val="007F634C"/>
    <w:rsid w:val="007F6368"/>
    <w:rsid w:val="007F6440"/>
    <w:rsid w:val="007F6471"/>
    <w:rsid w:val="007F65D9"/>
    <w:rsid w:val="007F65F7"/>
    <w:rsid w:val="007F66A9"/>
    <w:rsid w:val="007F66B1"/>
    <w:rsid w:val="007F67B6"/>
    <w:rsid w:val="007F68FD"/>
    <w:rsid w:val="007F6974"/>
    <w:rsid w:val="007F697C"/>
    <w:rsid w:val="007F6A26"/>
    <w:rsid w:val="007F6A46"/>
    <w:rsid w:val="007F6BD2"/>
    <w:rsid w:val="007F6CEE"/>
    <w:rsid w:val="007F6D1F"/>
    <w:rsid w:val="007F6D36"/>
    <w:rsid w:val="007F6D7E"/>
    <w:rsid w:val="007F6DB4"/>
    <w:rsid w:val="007F6E09"/>
    <w:rsid w:val="007F6E47"/>
    <w:rsid w:val="007F6F30"/>
    <w:rsid w:val="007F7034"/>
    <w:rsid w:val="007F7055"/>
    <w:rsid w:val="007F7278"/>
    <w:rsid w:val="007F7292"/>
    <w:rsid w:val="007F73D4"/>
    <w:rsid w:val="007F743C"/>
    <w:rsid w:val="007F746D"/>
    <w:rsid w:val="007F7543"/>
    <w:rsid w:val="007F7694"/>
    <w:rsid w:val="007F7737"/>
    <w:rsid w:val="007F7768"/>
    <w:rsid w:val="007F778C"/>
    <w:rsid w:val="007F77B6"/>
    <w:rsid w:val="007F783E"/>
    <w:rsid w:val="007F78B8"/>
    <w:rsid w:val="007F7904"/>
    <w:rsid w:val="007F7908"/>
    <w:rsid w:val="007F7975"/>
    <w:rsid w:val="007F79EC"/>
    <w:rsid w:val="007F79ED"/>
    <w:rsid w:val="007F7AF3"/>
    <w:rsid w:val="007F7B49"/>
    <w:rsid w:val="007F7B70"/>
    <w:rsid w:val="007F7B7F"/>
    <w:rsid w:val="007F7D11"/>
    <w:rsid w:val="007F7F11"/>
    <w:rsid w:val="00800028"/>
    <w:rsid w:val="00800060"/>
    <w:rsid w:val="008002DD"/>
    <w:rsid w:val="008003F9"/>
    <w:rsid w:val="00800464"/>
    <w:rsid w:val="008006CE"/>
    <w:rsid w:val="00800965"/>
    <w:rsid w:val="00800A3C"/>
    <w:rsid w:val="00800B2C"/>
    <w:rsid w:val="00800CA7"/>
    <w:rsid w:val="00800D07"/>
    <w:rsid w:val="00800D9C"/>
    <w:rsid w:val="00800DB5"/>
    <w:rsid w:val="00800E39"/>
    <w:rsid w:val="00800F39"/>
    <w:rsid w:val="008010AF"/>
    <w:rsid w:val="00801107"/>
    <w:rsid w:val="00801228"/>
    <w:rsid w:val="0080151D"/>
    <w:rsid w:val="0080166D"/>
    <w:rsid w:val="00801805"/>
    <w:rsid w:val="00801916"/>
    <w:rsid w:val="00801992"/>
    <w:rsid w:val="008019BB"/>
    <w:rsid w:val="00801A8F"/>
    <w:rsid w:val="00801AB4"/>
    <w:rsid w:val="00801AE4"/>
    <w:rsid w:val="00801AFC"/>
    <w:rsid w:val="00801C29"/>
    <w:rsid w:val="00801D20"/>
    <w:rsid w:val="00801D5D"/>
    <w:rsid w:val="00801D7D"/>
    <w:rsid w:val="00801E81"/>
    <w:rsid w:val="00801FDD"/>
    <w:rsid w:val="0080202D"/>
    <w:rsid w:val="00802130"/>
    <w:rsid w:val="0080219B"/>
    <w:rsid w:val="008021DE"/>
    <w:rsid w:val="00802238"/>
    <w:rsid w:val="008022D2"/>
    <w:rsid w:val="008023B5"/>
    <w:rsid w:val="008023F3"/>
    <w:rsid w:val="00802433"/>
    <w:rsid w:val="00802664"/>
    <w:rsid w:val="0080266D"/>
    <w:rsid w:val="0080284D"/>
    <w:rsid w:val="008029FD"/>
    <w:rsid w:val="00802B57"/>
    <w:rsid w:val="00802B89"/>
    <w:rsid w:val="00802CB7"/>
    <w:rsid w:val="00802CE6"/>
    <w:rsid w:val="00802D85"/>
    <w:rsid w:val="00802DCF"/>
    <w:rsid w:val="00802ECA"/>
    <w:rsid w:val="00803042"/>
    <w:rsid w:val="008030CF"/>
    <w:rsid w:val="0080315C"/>
    <w:rsid w:val="00803184"/>
    <w:rsid w:val="0080318C"/>
    <w:rsid w:val="00803217"/>
    <w:rsid w:val="00803223"/>
    <w:rsid w:val="00803272"/>
    <w:rsid w:val="00803408"/>
    <w:rsid w:val="00803526"/>
    <w:rsid w:val="00803582"/>
    <w:rsid w:val="008036BE"/>
    <w:rsid w:val="00803774"/>
    <w:rsid w:val="00803779"/>
    <w:rsid w:val="008037B4"/>
    <w:rsid w:val="0080382B"/>
    <w:rsid w:val="008038CB"/>
    <w:rsid w:val="0080394E"/>
    <w:rsid w:val="0080396F"/>
    <w:rsid w:val="00803977"/>
    <w:rsid w:val="00803B45"/>
    <w:rsid w:val="00803B54"/>
    <w:rsid w:val="00803CC7"/>
    <w:rsid w:val="00803CF8"/>
    <w:rsid w:val="00803DED"/>
    <w:rsid w:val="00803E07"/>
    <w:rsid w:val="00803EA4"/>
    <w:rsid w:val="00803EEE"/>
    <w:rsid w:val="00803F96"/>
    <w:rsid w:val="00804013"/>
    <w:rsid w:val="008040F3"/>
    <w:rsid w:val="0080414C"/>
    <w:rsid w:val="008043BA"/>
    <w:rsid w:val="008043DE"/>
    <w:rsid w:val="008043F8"/>
    <w:rsid w:val="008045B5"/>
    <w:rsid w:val="008045C4"/>
    <w:rsid w:val="00804620"/>
    <w:rsid w:val="00804644"/>
    <w:rsid w:val="00804778"/>
    <w:rsid w:val="00804877"/>
    <w:rsid w:val="00804926"/>
    <w:rsid w:val="0080497E"/>
    <w:rsid w:val="0080498D"/>
    <w:rsid w:val="00804A46"/>
    <w:rsid w:val="00804AAC"/>
    <w:rsid w:val="00804C3C"/>
    <w:rsid w:val="00804C4C"/>
    <w:rsid w:val="00804CA0"/>
    <w:rsid w:val="00804CEF"/>
    <w:rsid w:val="00804DE3"/>
    <w:rsid w:val="00804E71"/>
    <w:rsid w:val="00804F4C"/>
    <w:rsid w:val="00805062"/>
    <w:rsid w:val="0080509A"/>
    <w:rsid w:val="0080516C"/>
    <w:rsid w:val="00805275"/>
    <w:rsid w:val="008053A4"/>
    <w:rsid w:val="008053BC"/>
    <w:rsid w:val="0080548D"/>
    <w:rsid w:val="008054BF"/>
    <w:rsid w:val="008054C2"/>
    <w:rsid w:val="00805506"/>
    <w:rsid w:val="0080556C"/>
    <w:rsid w:val="008055CF"/>
    <w:rsid w:val="0080581B"/>
    <w:rsid w:val="00805959"/>
    <w:rsid w:val="00805A2F"/>
    <w:rsid w:val="00805A31"/>
    <w:rsid w:val="00805AB1"/>
    <w:rsid w:val="00805B71"/>
    <w:rsid w:val="00805C5F"/>
    <w:rsid w:val="00805D48"/>
    <w:rsid w:val="00805E2D"/>
    <w:rsid w:val="00805EA2"/>
    <w:rsid w:val="00805FE4"/>
    <w:rsid w:val="0080606A"/>
    <w:rsid w:val="00806129"/>
    <w:rsid w:val="008061BA"/>
    <w:rsid w:val="00806278"/>
    <w:rsid w:val="008062D4"/>
    <w:rsid w:val="00806318"/>
    <w:rsid w:val="0080648E"/>
    <w:rsid w:val="00806526"/>
    <w:rsid w:val="00806593"/>
    <w:rsid w:val="008065E5"/>
    <w:rsid w:val="008065F0"/>
    <w:rsid w:val="00806681"/>
    <w:rsid w:val="008066A9"/>
    <w:rsid w:val="008066AB"/>
    <w:rsid w:val="00806777"/>
    <w:rsid w:val="008067D4"/>
    <w:rsid w:val="00806863"/>
    <w:rsid w:val="0080697B"/>
    <w:rsid w:val="00806B07"/>
    <w:rsid w:val="00806BB5"/>
    <w:rsid w:val="00806BED"/>
    <w:rsid w:val="00806C0C"/>
    <w:rsid w:val="00806C43"/>
    <w:rsid w:val="00806CF4"/>
    <w:rsid w:val="00806D4C"/>
    <w:rsid w:val="00806D9B"/>
    <w:rsid w:val="00806F42"/>
    <w:rsid w:val="00806F88"/>
    <w:rsid w:val="00806FE6"/>
    <w:rsid w:val="00807090"/>
    <w:rsid w:val="00807099"/>
    <w:rsid w:val="0080709C"/>
    <w:rsid w:val="00807199"/>
    <w:rsid w:val="0080725E"/>
    <w:rsid w:val="008073B9"/>
    <w:rsid w:val="008074CF"/>
    <w:rsid w:val="008075D2"/>
    <w:rsid w:val="008075D4"/>
    <w:rsid w:val="008075E3"/>
    <w:rsid w:val="008076A5"/>
    <w:rsid w:val="0080778E"/>
    <w:rsid w:val="00807974"/>
    <w:rsid w:val="00807A8B"/>
    <w:rsid w:val="00807BD2"/>
    <w:rsid w:val="00807C2F"/>
    <w:rsid w:val="00807C3E"/>
    <w:rsid w:val="00807D1F"/>
    <w:rsid w:val="00807D72"/>
    <w:rsid w:val="00807DDE"/>
    <w:rsid w:val="0081006B"/>
    <w:rsid w:val="00810090"/>
    <w:rsid w:val="008100CD"/>
    <w:rsid w:val="0081017F"/>
    <w:rsid w:val="0081024C"/>
    <w:rsid w:val="00810293"/>
    <w:rsid w:val="00810349"/>
    <w:rsid w:val="008103A7"/>
    <w:rsid w:val="0081040A"/>
    <w:rsid w:val="008104B9"/>
    <w:rsid w:val="0081052C"/>
    <w:rsid w:val="008106A9"/>
    <w:rsid w:val="0081072B"/>
    <w:rsid w:val="00810874"/>
    <w:rsid w:val="0081090B"/>
    <w:rsid w:val="0081095C"/>
    <w:rsid w:val="0081095D"/>
    <w:rsid w:val="008109B9"/>
    <w:rsid w:val="00810AE2"/>
    <w:rsid w:val="00810B67"/>
    <w:rsid w:val="00810B91"/>
    <w:rsid w:val="00810C10"/>
    <w:rsid w:val="00810CAA"/>
    <w:rsid w:val="00810CD9"/>
    <w:rsid w:val="00810D88"/>
    <w:rsid w:val="00810F81"/>
    <w:rsid w:val="00810F86"/>
    <w:rsid w:val="00810FEA"/>
    <w:rsid w:val="008110DA"/>
    <w:rsid w:val="00811185"/>
    <w:rsid w:val="008113C5"/>
    <w:rsid w:val="008113D2"/>
    <w:rsid w:val="0081146B"/>
    <w:rsid w:val="0081160D"/>
    <w:rsid w:val="008116A3"/>
    <w:rsid w:val="008119B8"/>
    <w:rsid w:val="00811A3B"/>
    <w:rsid w:val="00811A84"/>
    <w:rsid w:val="00811A8A"/>
    <w:rsid w:val="00811AFE"/>
    <w:rsid w:val="00811BB2"/>
    <w:rsid w:val="00811D9A"/>
    <w:rsid w:val="00811E10"/>
    <w:rsid w:val="00811F73"/>
    <w:rsid w:val="00811FD2"/>
    <w:rsid w:val="00811FDC"/>
    <w:rsid w:val="00811FFF"/>
    <w:rsid w:val="00812094"/>
    <w:rsid w:val="0081210A"/>
    <w:rsid w:val="00812159"/>
    <w:rsid w:val="00812179"/>
    <w:rsid w:val="008121AB"/>
    <w:rsid w:val="00812266"/>
    <w:rsid w:val="008123CD"/>
    <w:rsid w:val="0081243A"/>
    <w:rsid w:val="008124BC"/>
    <w:rsid w:val="00812627"/>
    <w:rsid w:val="008126A2"/>
    <w:rsid w:val="00812747"/>
    <w:rsid w:val="00812752"/>
    <w:rsid w:val="0081276B"/>
    <w:rsid w:val="00812981"/>
    <w:rsid w:val="008129C6"/>
    <w:rsid w:val="008129EA"/>
    <w:rsid w:val="00812B48"/>
    <w:rsid w:val="00812B62"/>
    <w:rsid w:val="00812B9E"/>
    <w:rsid w:val="00812CDC"/>
    <w:rsid w:val="00812DF7"/>
    <w:rsid w:val="00812E0A"/>
    <w:rsid w:val="00812EA5"/>
    <w:rsid w:val="00812F27"/>
    <w:rsid w:val="00813070"/>
    <w:rsid w:val="00813145"/>
    <w:rsid w:val="008132E4"/>
    <w:rsid w:val="00813316"/>
    <w:rsid w:val="0081333C"/>
    <w:rsid w:val="00813354"/>
    <w:rsid w:val="0081340D"/>
    <w:rsid w:val="008134BF"/>
    <w:rsid w:val="0081352B"/>
    <w:rsid w:val="008135C5"/>
    <w:rsid w:val="008135E8"/>
    <w:rsid w:val="00813809"/>
    <w:rsid w:val="00813812"/>
    <w:rsid w:val="0081383F"/>
    <w:rsid w:val="00813A48"/>
    <w:rsid w:val="00813A4C"/>
    <w:rsid w:val="00813A82"/>
    <w:rsid w:val="00813B27"/>
    <w:rsid w:val="00813BA6"/>
    <w:rsid w:val="00813BE8"/>
    <w:rsid w:val="00813C50"/>
    <w:rsid w:val="00813C70"/>
    <w:rsid w:val="00813CE9"/>
    <w:rsid w:val="00813CEB"/>
    <w:rsid w:val="00813D0A"/>
    <w:rsid w:val="00813DA5"/>
    <w:rsid w:val="00813DD6"/>
    <w:rsid w:val="00813E15"/>
    <w:rsid w:val="00813E47"/>
    <w:rsid w:val="00813E4D"/>
    <w:rsid w:val="00813E86"/>
    <w:rsid w:val="00813EAB"/>
    <w:rsid w:val="00813F1D"/>
    <w:rsid w:val="00813F4D"/>
    <w:rsid w:val="008140C1"/>
    <w:rsid w:val="008140F1"/>
    <w:rsid w:val="00814317"/>
    <w:rsid w:val="00814340"/>
    <w:rsid w:val="0081439C"/>
    <w:rsid w:val="00814431"/>
    <w:rsid w:val="0081449D"/>
    <w:rsid w:val="008144A4"/>
    <w:rsid w:val="00814514"/>
    <w:rsid w:val="008146CD"/>
    <w:rsid w:val="00814769"/>
    <w:rsid w:val="0081476F"/>
    <w:rsid w:val="0081479D"/>
    <w:rsid w:val="008147AF"/>
    <w:rsid w:val="008147BC"/>
    <w:rsid w:val="008147EE"/>
    <w:rsid w:val="00814A4C"/>
    <w:rsid w:val="00814AE9"/>
    <w:rsid w:val="00814B1E"/>
    <w:rsid w:val="00814B44"/>
    <w:rsid w:val="00814B9D"/>
    <w:rsid w:val="00814C03"/>
    <w:rsid w:val="00814C08"/>
    <w:rsid w:val="00814C0D"/>
    <w:rsid w:val="00814DC4"/>
    <w:rsid w:val="00814F28"/>
    <w:rsid w:val="00814F5F"/>
    <w:rsid w:val="00814FDF"/>
    <w:rsid w:val="00815079"/>
    <w:rsid w:val="0081533E"/>
    <w:rsid w:val="0081539E"/>
    <w:rsid w:val="0081548F"/>
    <w:rsid w:val="008154DE"/>
    <w:rsid w:val="0081551E"/>
    <w:rsid w:val="00815573"/>
    <w:rsid w:val="008156B8"/>
    <w:rsid w:val="008156F3"/>
    <w:rsid w:val="00815A61"/>
    <w:rsid w:val="00815A70"/>
    <w:rsid w:val="00815A94"/>
    <w:rsid w:val="00815B21"/>
    <w:rsid w:val="00815BB6"/>
    <w:rsid w:val="00815BCC"/>
    <w:rsid w:val="00815BE9"/>
    <w:rsid w:val="00815D85"/>
    <w:rsid w:val="00815D9A"/>
    <w:rsid w:val="00815E2B"/>
    <w:rsid w:val="00815FCB"/>
    <w:rsid w:val="0081601E"/>
    <w:rsid w:val="0081604E"/>
    <w:rsid w:val="008160EA"/>
    <w:rsid w:val="008161B9"/>
    <w:rsid w:val="00816204"/>
    <w:rsid w:val="00816294"/>
    <w:rsid w:val="0081633A"/>
    <w:rsid w:val="008163E2"/>
    <w:rsid w:val="008163F1"/>
    <w:rsid w:val="00816557"/>
    <w:rsid w:val="008165C6"/>
    <w:rsid w:val="00816732"/>
    <w:rsid w:val="0081679F"/>
    <w:rsid w:val="00816802"/>
    <w:rsid w:val="00816990"/>
    <w:rsid w:val="008169BF"/>
    <w:rsid w:val="00816A2B"/>
    <w:rsid w:val="00816B1B"/>
    <w:rsid w:val="00816B33"/>
    <w:rsid w:val="00816B35"/>
    <w:rsid w:val="00816C21"/>
    <w:rsid w:val="00816D8E"/>
    <w:rsid w:val="00816DB6"/>
    <w:rsid w:val="00816E18"/>
    <w:rsid w:val="00816E87"/>
    <w:rsid w:val="00816EB6"/>
    <w:rsid w:val="00816EC8"/>
    <w:rsid w:val="00816EF0"/>
    <w:rsid w:val="00816F47"/>
    <w:rsid w:val="00816F78"/>
    <w:rsid w:val="00816F99"/>
    <w:rsid w:val="00816FD3"/>
    <w:rsid w:val="00817128"/>
    <w:rsid w:val="008171FA"/>
    <w:rsid w:val="00817207"/>
    <w:rsid w:val="008173A3"/>
    <w:rsid w:val="00817403"/>
    <w:rsid w:val="00817422"/>
    <w:rsid w:val="00817642"/>
    <w:rsid w:val="0081774D"/>
    <w:rsid w:val="008179D1"/>
    <w:rsid w:val="00817BA2"/>
    <w:rsid w:val="00817BC2"/>
    <w:rsid w:val="00817C7D"/>
    <w:rsid w:val="00817CA1"/>
    <w:rsid w:val="00817DC2"/>
    <w:rsid w:val="00817F61"/>
    <w:rsid w:val="00817F88"/>
    <w:rsid w:val="00817F90"/>
    <w:rsid w:val="00817FB3"/>
    <w:rsid w:val="00820042"/>
    <w:rsid w:val="00820180"/>
    <w:rsid w:val="008201CB"/>
    <w:rsid w:val="00820366"/>
    <w:rsid w:val="00820399"/>
    <w:rsid w:val="008203B8"/>
    <w:rsid w:val="00820428"/>
    <w:rsid w:val="00820495"/>
    <w:rsid w:val="00820510"/>
    <w:rsid w:val="00820691"/>
    <w:rsid w:val="00820719"/>
    <w:rsid w:val="008208D3"/>
    <w:rsid w:val="00820991"/>
    <w:rsid w:val="00820A97"/>
    <w:rsid w:val="00820C23"/>
    <w:rsid w:val="00820C72"/>
    <w:rsid w:val="00820CFE"/>
    <w:rsid w:val="00820D1D"/>
    <w:rsid w:val="00820D96"/>
    <w:rsid w:val="00820E41"/>
    <w:rsid w:val="00820E69"/>
    <w:rsid w:val="00820EED"/>
    <w:rsid w:val="00820F10"/>
    <w:rsid w:val="00821040"/>
    <w:rsid w:val="008210A9"/>
    <w:rsid w:val="00821120"/>
    <w:rsid w:val="0082112D"/>
    <w:rsid w:val="008211A2"/>
    <w:rsid w:val="008212A7"/>
    <w:rsid w:val="00821355"/>
    <w:rsid w:val="0082145D"/>
    <w:rsid w:val="00821483"/>
    <w:rsid w:val="0082150E"/>
    <w:rsid w:val="0082164E"/>
    <w:rsid w:val="008216B7"/>
    <w:rsid w:val="0082171C"/>
    <w:rsid w:val="008217A2"/>
    <w:rsid w:val="00821813"/>
    <w:rsid w:val="0082183B"/>
    <w:rsid w:val="00821978"/>
    <w:rsid w:val="008219B3"/>
    <w:rsid w:val="00821AD4"/>
    <w:rsid w:val="00821AE9"/>
    <w:rsid w:val="00821B80"/>
    <w:rsid w:val="00821C00"/>
    <w:rsid w:val="00821CF8"/>
    <w:rsid w:val="00821D4D"/>
    <w:rsid w:val="00821EC2"/>
    <w:rsid w:val="00821F8B"/>
    <w:rsid w:val="00821FB8"/>
    <w:rsid w:val="00822068"/>
    <w:rsid w:val="00822118"/>
    <w:rsid w:val="008221CF"/>
    <w:rsid w:val="0082223F"/>
    <w:rsid w:val="0082228D"/>
    <w:rsid w:val="00822379"/>
    <w:rsid w:val="00822513"/>
    <w:rsid w:val="008225F3"/>
    <w:rsid w:val="008225F5"/>
    <w:rsid w:val="00822605"/>
    <w:rsid w:val="00822631"/>
    <w:rsid w:val="008226A2"/>
    <w:rsid w:val="008226CF"/>
    <w:rsid w:val="00822880"/>
    <w:rsid w:val="008228A6"/>
    <w:rsid w:val="008228AB"/>
    <w:rsid w:val="00822BBD"/>
    <w:rsid w:val="00822C3C"/>
    <w:rsid w:val="00822C49"/>
    <w:rsid w:val="00822C5A"/>
    <w:rsid w:val="00822C92"/>
    <w:rsid w:val="00822CCA"/>
    <w:rsid w:val="00822D52"/>
    <w:rsid w:val="00822E7C"/>
    <w:rsid w:val="00822EF6"/>
    <w:rsid w:val="00822F26"/>
    <w:rsid w:val="00822FAD"/>
    <w:rsid w:val="00823070"/>
    <w:rsid w:val="008230D7"/>
    <w:rsid w:val="0082320D"/>
    <w:rsid w:val="00823255"/>
    <w:rsid w:val="00823293"/>
    <w:rsid w:val="008232C9"/>
    <w:rsid w:val="00823337"/>
    <w:rsid w:val="00823379"/>
    <w:rsid w:val="00823414"/>
    <w:rsid w:val="008234B5"/>
    <w:rsid w:val="008234B6"/>
    <w:rsid w:val="008234CB"/>
    <w:rsid w:val="00823530"/>
    <w:rsid w:val="008235D8"/>
    <w:rsid w:val="00823678"/>
    <w:rsid w:val="00823709"/>
    <w:rsid w:val="0082374F"/>
    <w:rsid w:val="008237E2"/>
    <w:rsid w:val="00823882"/>
    <w:rsid w:val="008238A1"/>
    <w:rsid w:val="008238A9"/>
    <w:rsid w:val="008238DE"/>
    <w:rsid w:val="0082391A"/>
    <w:rsid w:val="00823937"/>
    <w:rsid w:val="00823986"/>
    <w:rsid w:val="0082399C"/>
    <w:rsid w:val="008239A8"/>
    <w:rsid w:val="00823BAE"/>
    <w:rsid w:val="00823BE2"/>
    <w:rsid w:val="00823D32"/>
    <w:rsid w:val="00823D54"/>
    <w:rsid w:val="00823EDC"/>
    <w:rsid w:val="00823F2D"/>
    <w:rsid w:val="00824005"/>
    <w:rsid w:val="0082402C"/>
    <w:rsid w:val="008240A8"/>
    <w:rsid w:val="00824119"/>
    <w:rsid w:val="008241C4"/>
    <w:rsid w:val="00824222"/>
    <w:rsid w:val="0082434D"/>
    <w:rsid w:val="0082436D"/>
    <w:rsid w:val="00824476"/>
    <w:rsid w:val="0082449D"/>
    <w:rsid w:val="008244CC"/>
    <w:rsid w:val="0082459D"/>
    <w:rsid w:val="008245E4"/>
    <w:rsid w:val="008245EF"/>
    <w:rsid w:val="0082468D"/>
    <w:rsid w:val="00824716"/>
    <w:rsid w:val="00824816"/>
    <w:rsid w:val="00824850"/>
    <w:rsid w:val="0082486D"/>
    <w:rsid w:val="00824A82"/>
    <w:rsid w:val="00824A9D"/>
    <w:rsid w:val="00824AD6"/>
    <w:rsid w:val="00824B22"/>
    <w:rsid w:val="00824DA3"/>
    <w:rsid w:val="00824DF8"/>
    <w:rsid w:val="00824E6E"/>
    <w:rsid w:val="00824FC0"/>
    <w:rsid w:val="00825075"/>
    <w:rsid w:val="0082519B"/>
    <w:rsid w:val="00825272"/>
    <w:rsid w:val="0082532C"/>
    <w:rsid w:val="00825331"/>
    <w:rsid w:val="00825373"/>
    <w:rsid w:val="008254E7"/>
    <w:rsid w:val="00825551"/>
    <w:rsid w:val="0082558E"/>
    <w:rsid w:val="008255C4"/>
    <w:rsid w:val="008255E4"/>
    <w:rsid w:val="008256CE"/>
    <w:rsid w:val="00825753"/>
    <w:rsid w:val="008257CD"/>
    <w:rsid w:val="008258F1"/>
    <w:rsid w:val="0082594C"/>
    <w:rsid w:val="0082599C"/>
    <w:rsid w:val="00825AE6"/>
    <w:rsid w:val="00825B78"/>
    <w:rsid w:val="00825BDC"/>
    <w:rsid w:val="00825BF0"/>
    <w:rsid w:val="00825C95"/>
    <w:rsid w:val="00825D12"/>
    <w:rsid w:val="00825D24"/>
    <w:rsid w:val="00825D40"/>
    <w:rsid w:val="00825D4B"/>
    <w:rsid w:val="00825DC1"/>
    <w:rsid w:val="00825E3D"/>
    <w:rsid w:val="00825ED9"/>
    <w:rsid w:val="00825F69"/>
    <w:rsid w:val="00825FAC"/>
    <w:rsid w:val="00826074"/>
    <w:rsid w:val="00826113"/>
    <w:rsid w:val="00826170"/>
    <w:rsid w:val="00826185"/>
    <w:rsid w:val="00826212"/>
    <w:rsid w:val="0082647E"/>
    <w:rsid w:val="00826485"/>
    <w:rsid w:val="00826574"/>
    <w:rsid w:val="008265C5"/>
    <w:rsid w:val="008266A2"/>
    <w:rsid w:val="00826702"/>
    <w:rsid w:val="00826779"/>
    <w:rsid w:val="008267A7"/>
    <w:rsid w:val="00826857"/>
    <w:rsid w:val="008268BD"/>
    <w:rsid w:val="008268C5"/>
    <w:rsid w:val="00826928"/>
    <w:rsid w:val="00826981"/>
    <w:rsid w:val="008269CA"/>
    <w:rsid w:val="00826A11"/>
    <w:rsid w:val="00826A36"/>
    <w:rsid w:val="00826ACA"/>
    <w:rsid w:val="00826AD3"/>
    <w:rsid w:val="00826AFE"/>
    <w:rsid w:val="00826B3C"/>
    <w:rsid w:val="00826BE9"/>
    <w:rsid w:val="00826C80"/>
    <w:rsid w:val="00826CA7"/>
    <w:rsid w:val="00826D74"/>
    <w:rsid w:val="00826DE2"/>
    <w:rsid w:val="00826E37"/>
    <w:rsid w:val="00826EE2"/>
    <w:rsid w:val="00827053"/>
    <w:rsid w:val="0082708A"/>
    <w:rsid w:val="0082709F"/>
    <w:rsid w:val="00827118"/>
    <w:rsid w:val="00827200"/>
    <w:rsid w:val="0082724D"/>
    <w:rsid w:val="008273D4"/>
    <w:rsid w:val="00827422"/>
    <w:rsid w:val="0082745D"/>
    <w:rsid w:val="0082748F"/>
    <w:rsid w:val="00827520"/>
    <w:rsid w:val="008276BA"/>
    <w:rsid w:val="00827759"/>
    <w:rsid w:val="008277B8"/>
    <w:rsid w:val="0082787B"/>
    <w:rsid w:val="008278B3"/>
    <w:rsid w:val="00827995"/>
    <w:rsid w:val="00827B61"/>
    <w:rsid w:val="00827BAD"/>
    <w:rsid w:val="00827D50"/>
    <w:rsid w:val="00827DC9"/>
    <w:rsid w:val="00827E38"/>
    <w:rsid w:val="00827E77"/>
    <w:rsid w:val="00827F21"/>
    <w:rsid w:val="008300E5"/>
    <w:rsid w:val="008300ED"/>
    <w:rsid w:val="00830171"/>
    <w:rsid w:val="00830461"/>
    <w:rsid w:val="00830469"/>
    <w:rsid w:val="008305B7"/>
    <w:rsid w:val="00830630"/>
    <w:rsid w:val="00830639"/>
    <w:rsid w:val="008306BD"/>
    <w:rsid w:val="008306C6"/>
    <w:rsid w:val="008309C9"/>
    <w:rsid w:val="00830A86"/>
    <w:rsid w:val="00830AB2"/>
    <w:rsid w:val="00830AC6"/>
    <w:rsid w:val="00830BA7"/>
    <w:rsid w:val="00830BA8"/>
    <w:rsid w:val="00830BC7"/>
    <w:rsid w:val="00830CCF"/>
    <w:rsid w:val="00830DC2"/>
    <w:rsid w:val="00830E3B"/>
    <w:rsid w:val="00830F73"/>
    <w:rsid w:val="00830F92"/>
    <w:rsid w:val="00830FDD"/>
    <w:rsid w:val="00831032"/>
    <w:rsid w:val="00831034"/>
    <w:rsid w:val="00831041"/>
    <w:rsid w:val="00831059"/>
    <w:rsid w:val="008310AB"/>
    <w:rsid w:val="00831127"/>
    <w:rsid w:val="008311A3"/>
    <w:rsid w:val="0083120E"/>
    <w:rsid w:val="008312B1"/>
    <w:rsid w:val="008314D6"/>
    <w:rsid w:val="008315C6"/>
    <w:rsid w:val="00831645"/>
    <w:rsid w:val="008318DA"/>
    <w:rsid w:val="00831ACD"/>
    <w:rsid w:val="00831C38"/>
    <w:rsid w:val="00831C56"/>
    <w:rsid w:val="00831CA0"/>
    <w:rsid w:val="00831D87"/>
    <w:rsid w:val="00831DE5"/>
    <w:rsid w:val="00831E9D"/>
    <w:rsid w:val="00831F71"/>
    <w:rsid w:val="008320F5"/>
    <w:rsid w:val="008321B5"/>
    <w:rsid w:val="008322C6"/>
    <w:rsid w:val="008323BF"/>
    <w:rsid w:val="00832414"/>
    <w:rsid w:val="00832476"/>
    <w:rsid w:val="00832576"/>
    <w:rsid w:val="00832899"/>
    <w:rsid w:val="0083292B"/>
    <w:rsid w:val="0083299E"/>
    <w:rsid w:val="008329C1"/>
    <w:rsid w:val="00832A33"/>
    <w:rsid w:val="00832B83"/>
    <w:rsid w:val="00832BA8"/>
    <w:rsid w:val="00832BD0"/>
    <w:rsid w:val="00832C19"/>
    <w:rsid w:val="00832CE5"/>
    <w:rsid w:val="00832D3E"/>
    <w:rsid w:val="00832E05"/>
    <w:rsid w:val="00832E37"/>
    <w:rsid w:val="00832E70"/>
    <w:rsid w:val="00832FAD"/>
    <w:rsid w:val="00832FFC"/>
    <w:rsid w:val="00833165"/>
    <w:rsid w:val="008331B8"/>
    <w:rsid w:val="00833360"/>
    <w:rsid w:val="00833374"/>
    <w:rsid w:val="00833466"/>
    <w:rsid w:val="008335E3"/>
    <w:rsid w:val="008336A6"/>
    <w:rsid w:val="008338C9"/>
    <w:rsid w:val="00833A62"/>
    <w:rsid w:val="00833AC7"/>
    <w:rsid w:val="00833C67"/>
    <w:rsid w:val="00833D0E"/>
    <w:rsid w:val="00833D5F"/>
    <w:rsid w:val="00833E69"/>
    <w:rsid w:val="00833E78"/>
    <w:rsid w:val="00833EEA"/>
    <w:rsid w:val="00833F57"/>
    <w:rsid w:val="00833FDB"/>
    <w:rsid w:val="0083407E"/>
    <w:rsid w:val="008340FE"/>
    <w:rsid w:val="0083416C"/>
    <w:rsid w:val="00834175"/>
    <w:rsid w:val="008341C3"/>
    <w:rsid w:val="0083429C"/>
    <w:rsid w:val="008342E0"/>
    <w:rsid w:val="008342E2"/>
    <w:rsid w:val="00834408"/>
    <w:rsid w:val="0083448F"/>
    <w:rsid w:val="008344C0"/>
    <w:rsid w:val="0083452F"/>
    <w:rsid w:val="0083458A"/>
    <w:rsid w:val="008345E8"/>
    <w:rsid w:val="00834644"/>
    <w:rsid w:val="008346BA"/>
    <w:rsid w:val="008346BB"/>
    <w:rsid w:val="00834793"/>
    <w:rsid w:val="0083481C"/>
    <w:rsid w:val="0083489E"/>
    <w:rsid w:val="008348AE"/>
    <w:rsid w:val="008348C6"/>
    <w:rsid w:val="00834A2F"/>
    <w:rsid w:val="00834AB9"/>
    <w:rsid w:val="00834DCB"/>
    <w:rsid w:val="00834E41"/>
    <w:rsid w:val="00834E56"/>
    <w:rsid w:val="00834F3B"/>
    <w:rsid w:val="00834FAD"/>
    <w:rsid w:val="00835078"/>
    <w:rsid w:val="008351DE"/>
    <w:rsid w:val="00835291"/>
    <w:rsid w:val="008352D5"/>
    <w:rsid w:val="00835462"/>
    <w:rsid w:val="008354A7"/>
    <w:rsid w:val="0083553F"/>
    <w:rsid w:val="00835664"/>
    <w:rsid w:val="0083566F"/>
    <w:rsid w:val="008356CD"/>
    <w:rsid w:val="008357CF"/>
    <w:rsid w:val="008358C7"/>
    <w:rsid w:val="00835ED5"/>
    <w:rsid w:val="00835F2F"/>
    <w:rsid w:val="00835FCB"/>
    <w:rsid w:val="00835FEE"/>
    <w:rsid w:val="008360A9"/>
    <w:rsid w:val="0083611E"/>
    <w:rsid w:val="00836237"/>
    <w:rsid w:val="00836259"/>
    <w:rsid w:val="008362F3"/>
    <w:rsid w:val="008363D7"/>
    <w:rsid w:val="00836539"/>
    <w:rsid w:val="0083655B"/>
    <w:rsid w:val="00836673"/>
    <w:rsid w:val="0083678D"/>
    <w:rsid w:val="00836814"/>
    <w:rsid w:val="0083683C"/>
    <w:rsid w:val="00836ADA"/>
    <w:rsid w:val="00836BCB"/>
    <w:rsid w:val="00836BF3"/>
    <w:rsid w:val="00836BF4"/>
    <w:rsid w:val="00836C4A"/>
    <w:rsid w:val="00836D7C"/>
    <w:rsid w:val="00836E3B"/>
    <w:rsid w:val="00836FD5"/>
    <w:rsid w:val="008370C8"/>
    <w:rsid w:val="008370E3"/>
    <w:rsid w:val="008371BF"/>
    <w:rsid w:val="008372E8"/>
    <w:rsid w:val="008373AF"/>
    <w:rsid w:val="008373C6"/>
    <w:rsid w:val="00837561"/>
    <w:rsid w:val="00837571"/>
    <w:rsid w:val="008375AB"/>
    <w:rsid w:val="00837784"/>
    <w:rsid w:val="008377B5"/>
    <w:rsid w:val="00837960"/>
    <w:rsid w:val="0083799D"/>
    <w:rsid w:val="00837C0C"/>
    <w:rsid w:val="00837DE1"/>
    <w:rsid w:val="00837EC1"/>
    <w:rsid w:val="00837F44"/>
    <w:rsid w:val="00837F78"/>
    <w:rsid w:val="00837F7F"/>
    <w:rsid w:val="0084007A"/>
    <w:rsid w:val="00840282"/>
    <w:rsid w:val="008404CA"/>
    <w:rsid w:val="00840585"/>
    <w:rsid w:val="008405A3"/>
    <w:rsid w:val="008405B9"/>
    <w:rsid w:val="0084063F"/>
    <w:rsid w:val="00840747"/>
    <w:rsid w:val="008407DA"/>
    <w:rsid w:val="0084083A"/>
    <w:rsid w:val="008408AC"/>
    <w:rsid w:val="00840922"/>
    <w:rsid w:val="00840939"/>
    <w:rsid w:val="00840A0E"/>
    <w:rsid w:val="00840A68"/>
    <w:rsid w:val="00840B0A"/>
    <w:rsid w:val="00840C01"/>
    <w:rsid w:val="00840C08"/>
    <w:rsid w:val="00840C42"/>
    <w:rsid w:val="00840C9C"/>
    <w:rsid w:val="00840D02"/>
    <w:rsid w:val="00840D38"/>
    <w:rsid w:val="00840FD1"/>
    <w:rsid w:val="00841110"/>
    <w:rsid w:val="00841172"/>
    <w:rsid w:val="0084146E"/>
    <w:rsid w:val="0084152A"/>
    <w:rsid w:val="00841537"/>
    <w:rsid w:val="008415D4"/>
    <w:rsid w:val="008415EA"/>
    <w:rsid w:val="0084160D"/>
    <w:rsid w:val="0084161E"/>
    <w:rsid w:val="0084166D"/>
    <w:rsid w:val="0084167C"/>
    <w:rsid w:val="0084167E"/>
    <w:rsid w:val="008416E5"/>
    <w:rsid w:val="00841799"/>
    <w:rsid w:val="00841802"/>
    <w:rsid w:val="00841812"/>
    <w:rsid w:val="00841871"/>
    <w:rsid w:val="00841A7D"/>
    <w:rsid w:val="00841AA9"/>
    <w:rsid w:val="00841AB1"/>
    <w:rsid w:val="00841B51"/>
    <w:rsid w:val="00841B6C"/>
    <w:rsid w:val="00841D1D"/>
    <w:rsid w:val="00841F9F"/>
    <w:rsid w:val="00842062"/>
    <w:rsid w:val="008421AE"/>
    <w:rsid w:val="0084220E"/>
    <w:rsid w:val="00842235"/>
    <w:rsid w:val="0084228D"/>
    <w:rsid w:val="008422AB"/>
    <w:rsid w:val="00842386"/>
    <w:rsid w:val="00842435"/>
    <w:rsid w:val="008424D9"/>
    <w:rsid w:val="00842518"/>
    <w:rsid w:val="00842678"/>
    <w:rsid w:val="008426BA"/>
    <w:rsid w:val="00842701"/>
    <w:rsid w:val="00842726"/>
    <w:rsid w:val="00842975"/>
    <w:rsid w:val="00842B8A"/>
    <w:rsid w:val="00842B99"/>
    <w:rsid w:val="00842CD2"/>
    <w:rsid w:val="00842CDD"/>
    <w:rsid w:val="00842EB5"/>
    <w:rsid w:val="00842EE8"/>
    <w:rsid w:val="00842F45"/>
    <w:rsid w:val="00843018"/>
    <w:rsid w:val="008430E2"/>
    <w:rsid w:val="0084313B"/>
    <w:rsid w:val="00843163"/>
    <w:rsid w:val="008431A3"/>
    <w:rsid w:val="008433DF"/>
    <w:rsid w:val="008433EB"/>
    <w:rsid w:val="008433FF"/>
    <w:rsid w:val="008434A5"/>
    <w:rsid w:val="0084352E"/>
    <w:rsid w:val="0084357F"/>
    <w:rsid w:val="00843623"/>
    <w:rsid w:val="008436BB"/>
    <w:rsid w:val="0084383E"/>
    <w:rsid w:val="0084387C"/>
    <w:rsid w:val="0084388F"/>
    <w:rsid w:val="0084389A"/>
    <w:rsid w:val="008438F6"/>
    <w:rsid w:val="00843965"/>
    <w:rsid w:val="0084396A"/>
    <w:rsid w:val="00843B35"/>
    <w:rsid w:val="00843B4E"/>
    <w:rsid w:val="00843DAD"/>
    <w:rsid w:val="00843EAB"/>
    <w:rsid w:val="00843EAD"/>
    <w:rsid w:val="00844007"/>
    <w:rsid w:val="00844030"/>
    <w:rsid w:val="0084411F"/>
    <w:rsid w:val="00844247"/>
    <w:rsid w:val="00844253"/>
    <w:rsid w:val="00844437"/>
    <w:rsid w:val="00844458"/>
    <w:rsid w:val="008444F9"/>
    <w:rsid w:val="00844532"/>
    <w:rsid w:val="00844552"/>
    <w:rsid w:val="008445C5"/>
    <w:rsid w:val="00844705"/>
    <w:rsid w:val="0084477D"/>
    <w:rsid w:val="008447FC"/>
    <w:rsid w:val="0084485F"/>
    <w:rsid w:val="008448ED"/>
    <w:rsid w:val="008448FC"/>
    <w:rsid w:val="0084493A"/>
    <w:rsid w:val="0084494D"/>
    <w:rsid w:val="00844965"/>
    <w:rsid w:val="00844AF7"/>
    <w:rsid w:val="00844BF2"/>
    <w:rsid w:val="00844C6D"/>
    <w:rsid w:val="00844CFA"/>
    <w:rsid w:val="00844ECF"/>
    <w:rsid w:val="00844F10"/>
    <w:rsid w:val="00844FF3"/>
    <w:rsid w:val="00845012"/>
    <w:rsid w:val="0084501F"/>
    <w:rsid w:val="00845124"/>
    <w:rsid w:val="00845186"/>
    <w:rsid w:val="008451E8"/>
    <w:rsid w:val="00845310"/>
    <w:rsid w:val="00845657"/>
    <w:rsid w:val="00845714"/>
    <w:rsid w:val="00845764"/>
    <w:rsid w:val="00845802"/>
    <w:rsid w:val="00845804"/>
    <w:rsid w:val="008458D2"/>
    <w:rsid w:val="00845900"/>
    <w:rsid w:val="008459A9"/>
    <w:rsid w:val="00845A8C"/>
    <w:rsid w:val="00845A9D"/>
    <w:rsid w:val="00845ACA"/>
    <w:rsid w:val="00845BBC"/>
    <w:rsid w:val="00845BDD"/>
    <w:rsid w:val="00845BF4"/>
    <w:rsid w:val="00845C4D"/>
    <w:rsid w:val="00845C7B"/>
    <w:rsid w:val="00845CFC"/>
    <w:rsid w:val="00845D4F"/>
    <w:rsid w:val="00845DB3"/>
    <w:rsid w:val="00845DF4"/>
    <w:rsid w:val="00845E3D"/>
    <w:rsid w:val="00845ED3"/>
    <w:rsid w:val="00845EE5"/>
    <w:rsid w:val="00845F2A"/>
    <w:rsid w:val="008460C4"/>
    <w:rsid w:val="008462C0"/>
    <w:rsid w:val="008462EB"/>
    <w:rsid w:val="0084632B"/>
    <w:rsid w:val="00846354"/>
    <w:rsid w:val="008463A8"/>
    <w:rsid w:val="008463B0"/>
    <w:rsid w:val="008463BE"/>
    <w:rsid w:val="00846501"/>
    <w:rsid w:val="008465D4"/>
    <w:rsid w:val="008466ED"/>
    <w:rsid w:val="008466F5"/>
    <w:rsid w:val="00846707"/>
    <w:rsid w:val="00846717"/>
    <w:rsid w:val="00846718"/>
    <w:rsid w:val="008467D3"/>
    <w:rsid w:val="00846879"/>
    <w:rsid w:val="0084689D"/>
    <w:rsid w:val="0084690E"/>
    <w:rsid w:val="00846AD6"/>
    <w:rsid w:val="00846B15"/>
    <w:rsid w:val="00846B2C"/>
    <w:rsid w:val="00846B5D"/>
    <w:rsid w:val="00846CB4"/>
    <w:rsid w:val="00846D26"/>
    <w:rsid w:val="00846E22"/>
    <w:rsid w:val="00846F5C"/>
    <w:rsid w:val="00847009"/>
    <w:rsid w:val="0084707B"/>
    <w:rsid w:val="008470BC"/>
    <w:rsid w:val="008470FD"/>
    <w:rsid w:val="0084715C"/>
    <w:rsid w:val="00847214"/>
    <w:rsid w:val="0084733D"/>
    <w:rsid w:val="0084735F"/>
    <w:rsid w:val="008474B7"/>
    <w:rsid w:val="0084753E"/>
    <w:rsid w:val="00847677"/>
    <w:rsid w:val="0084778E"/>
    <w:rsid w:val="008477CB"/>
    <w:rsid w:val="0084788B"/>
    <w:rsid w:val="00847905"/>
    <w:rsid w:val="00847941"/>
    <w:rsid w:val="00847AF1"/>
    <w:rsid w:val="00847D5A"/>
    <w:rsid w:val="00847D7D"/>
    <w:rsid w:val="00847DD5"/>
    <w:rsid w:val="00847E21"/>
    <w:rsid w:val="00847E54"/>
    <w:rsid w:val="00847EB9"/>
    <w:rsid w:val="00847F2B"/>
    <w:rsid w:val="00847F35"/>
    <w:rsid w:val="0085002A"/>
    <w:rsid w:val="00850048"/>
    <w:rsid w:val="00850053"/>
    <w:rsid w:val="008501E4"/>
    <w:rsid w:val="00850261"/>
    <w:rsid w:val="00850269"/>
    <w:rsid w:val="008502A3"/>
    <w:rsid w:val="0085033B"/>
    <w:rsid w:val="0085034E"/>
    <w:rsid w:val="0085048E"/>
    <w:rsid w:val="008505F0"/>
    <w:rsid w:val="008506FF"/>
    <w:rsid w:val="00850793"/>
    <w:rsid w:val="0085097A"/>
    <w:rsid w:val="008509BB"/>
    <w:rsid w:val="00850ABF"/>
    <w:rsid w:val="00850B0B"/>
    <w:rsid w:val="00850B58"/>
    <w:rsid w:val="00850C17"/>
    <w:rsid w:val="00850D12"/>
    <w:rsid w:val="00850E09"/>
    <w:rsid w:val="00850E30"/>
    <w:rsid w:val="00850E80"/>
    <w:rsid w:val="0085101E"/>
    <w:rsid w:val="008510A4"/>
    <w:rsid w:val="008510A6"/>
    <w:rsid w:val="008510D5"/>
    <w:rsid w:val="008510F8"/>
    <w:rsid w:val="00851148"/>
    <w:rsid w:val="0085119B"/>
    <w:rsid w:val="008512F6"/>
    <w:rsid w:val="008513D8"/>
    <w:rsid w:val="00851439"/>
    <w:rsid w:val="00851481"/>
    <w:rsid w:val="00851531"/>
    <w:rsid w:val="00851651"/>
    <w:rsid w:val="0085165A"/>
    <w:rsid w:val="00851672"/>
    <w:rsid w:val="008516FF"/>
    <w:rsid w:val="008518A0"/>
    <w:rsid w:val="00851A19"/>
    <w:rsid w:val="00851A2E"/>
    <w:rsid w:val="00851A76"/>
    <w:rsid w:val="00851AC8"/>
    <w:rsid w:val="00851B2F"/>
    <w:rsid w:val="00851B83"/>
    <w:rsid w:val="00851BAD"/>
    <w:rsid w:val="00851D0F"/>
    <w:rsid w:val="00851D60"/>
    <w:rsid w:val="00851F38"/>
    <w:rsid w:val="00851F6A"/>
    <w:rsid w:val="0085205E"/>
    <w:rsid w:val="00852199"/>
    <w:rsid w:val="008521F5"/>
    <w:rsid w:val="008523FF"/>
    <w:rsid w:val="0085240C"/>
    <w:rsid w:val="00852437"/>
    <w:rsid w:val="0085254C"/>
    <w:rsid w:val="00852588"/>
    <w:rsid w:val="008525DA"/>
    <w:rsid w:val="00852660"/>
    <w:rsid w:val="008526D5"/>
    <w:rsid w:val="00852708"/>
    <w:rsid w:val="008528B6"/>
    <w:rsid w:val="008528CE"/>
    <w:rsid w:val="00852966"/>
    <w:rsid w:val="008529E4"/>
    <w:rsid w:val="00852ADD"/>
    <w:rsid w:val="00852B6F"/>
    <w:rsid w:val="00852BE3"/>
    <w:rsid w:val="00852C25"/>
    <w:rsid w:val="00852CA6"/>
    <w:rsid w:val="00852D14"/>
    <w:rsid w:val="00852E5C"/>
    <w:rsid w:val="00852EC1"/>
    <w:rsid w:val="00852F7D"/>
    <w:rsid w:val="00852FB9"/>
    <w:rsid w:val="008531D8"/>
    <w:rsid w:val="00853262"/>
    <w:rsid w:val="008532D2"/>
    <w:rsid w:val="00853355"/>
    <w:rsid w:val="00853370"/>
    <w:rsid w:val="008533B1"/>
    <w:rsid w:val="0085343D"/>
    <w:rsid w:val="00853510"/>
    <w:rsid w:val="008535AC"/>
    <w:rsid w:val="00853744"/>
    <w:rsid w:val="00853779"/>
    <w:rsid w:val="0085388E"/>
    <w:rsid w:val="008538C1"/>
    <w:rsid w:val="00853A0C"/>
    <w:rsid w:val="00853A25"/>
    <w:rsid w:val="00853AAE"/>
    <w:rsid w:val="00853AF3"/>
    <w:rsid w:val="00853C3C"/>
    <w:rsid w:val="00853CBA"/>
    <w:rsid w:val="00853D10"/>
    <w:rsid w:val="00853D83"/>
    <w:rsid w:val="00853E44"/>
    <w:rsid w:val="00853E98"/>
    <w:rsid w:val="00853EC3"/>
    <w:rsid w:val="00853FB9"/>
    <w:rsid w:val="0085410F"/>
    <w:rsid w:val="00854117"/>
    <w:rsid w:val="008542D0"/>
    <w:rsid w:val="008542F3"/>
    <w:rsid w:val="0085437D"/>
    <w:rsid w:val="00854461"/>
    <w:rsid w:val="00854565"/>
    <w:rsid w:val="008545CE"/>
    <w:rsid w:val="008545D9"/>
    <w:rsid w:val="008547C2"/>
    <w:rsid w:val="00854848"/>
    <w:rsid w:val="0085495C"/>
    <w:rsid w:val="008549A7"/>
    <w:rsid w:val="00854AA8"/>
    <w:rsid w:val="00854BDF"/>
    <w:rsid w:val="00854C7D"/>
    <w:rsid w:val="00854C8A"/>
    <w:rsid w:val="00854D88"/>
    <w:rsid w:val="00854F27"/>
    <w:rsid w:val="00854F97"/>
    <w:rsid w:val="00855046"/>
    <w:rsid w:val="00855140"/>
    <w:rsid w:val="0085514B"/>
    <w:rsid w:val="0085518A"/>
    <w:rsid w:val="00855191"/>
    <w:rsid w:val="008551DB"/>
    <w:rsid w:val="008551E7"/>
    <w:rsid w:val="0085522C"/>
    <w:rsid w:val="0085523A"/>
    <w:rsid w:val="00855306"/>
    <w:rsid w:val="008555E0"/>
    <w:rsid w:val="008555FD"/>
    <w:rsid w:val="00855647"/>
    <w:rsid w:val="00855755"/>
    <w:rsid w:val="00855780"/>
    <w:rsid w:val="00855782"/>
    <w:rsid w:val="008557A8"/>
    <w:rsid w:val="00855875"/>
    <w:rsid w:val="00855899"/>
    <w:rsid w:val="008558DD"/>
    <w:rsid w:val="008559F6"/>
    <w:rsid w:val="00855C15"/>
    <w:rsid w:val="00855D1E"/>
    <w:rsid w:val="00855D40"/>
    <w:rsid w:val="00855D43"/>
    <w:rsid w:val="00855D81"/>
    <w:rsid w:val="00855DED"/>
    <w:rsid w:val="00855E92"/>
    <w:rsid w:val="00855F78"/>
    <w:rsid w:val="00855F93"/>
    <w:rsid w:val="008560A2"/>
    <w:rsid w:val="008561D0"/>
    <w:rsid w:val="008561D7"/>
    <w:rsid w:val="0085624F"/>
    <w:rsid w:val="0085625B"/>
    <w:rsid w:val="00856276"/>
    <w:rsid w:val="00856415"/>
    <w:rsid w:val="00856586"/>
    <w:rsid w:val="00856598"/>
    <w:rsid w:val="0085682D"/>
    <w:rsid w:val="00856833"/>
    <w:rsid w:val="00856839"/>
    <w:rsid w:val="0085688A"/>
    <w:rsid w:val="008568A2"/>
    <w:rsid w:val="00856A39"/>
    <w:rsid w:val="00856AB4"/>
    <w:rsid w:val="00856B33"/>
    <w:rsid w:val="00856B3E"/>
    <w:rsid w:val="00856B63"/>
    <w:rsid w:val="00856C02"/>
    <w:rsid w:val="00856D55"/>
    <w:rsid w:val="00857110"/>
    <w:rsid w:val="0085713D"/>
    <w:rsid w:val="00857177"/>
    <w:rsid w:val="008571AA"/>
    <w:rsid w:val="008572AC"/>
    <w:rsid w:val="008572D5"/>
    <w:rsid w:val="00857303"/>
    <w:rsid w:val="0085737C"/>
    <w:rsid w:val="00857384"/>
    <w:rsid w:val="008573A5"/>
    <w:rsid w:val="0085752B"/>
    <w:rsid w:val="00857622"/>
    <w:rsid w:val="00857636"/>
    <w:rsid w:val="00857672"/>
    <w:rsid w:val="008576CC"/>
    <w:rsid w:val="00857795"/>
    <w:rsid w:val="008577E6"/>
    <w:rsid w:val="00857880"/>
    <w:rsid w:val="00857895"/>
    <w:rsid w:val="00857897"/>
    <w:rsid w:val="008578EA"/>
    <w:rsid w:val="00857A98"/>
    <w:rsid w:val="00857C7C"/>
    <w:rsid w:val="00857CD0"/>
    <w:rsid w:val="00857E3E"/>
    <w:rsid w:val="00857F4C"/>
    <w:rsid w:val="008600F0"/>
    <w:rsid w:val="008601DE"/>
    <w:rsid w:val="0086028B"/>
    <w:rsid w:val="00860295"/>
    <w:rsid w:val="008602BD"/>
    <w:rsid w:val="008602D6"/>
    <w:rsid w:val="0086046D"/>
    <w:rsid w:val="008604E4"/>
    <w:rsid w:val="008605DA"/>
    <w:rsid w:val="008605EE"/>
    <w:rsid w:val="0086068B"/>
    <w:rsid w:val="008607B4"/>
    <w:rsid w:val="008607E6"/>
    <w:rsid w:val="008607FB"/>
    <w:rsid w:val="00860899"/>
    <w:rsid w:val="00860AA5"/>
    <w:rsid w:val="00860B08"/>
    <w:rsid w:val="00860B15"/>
    <w:rsid w:val="00860B22"/>
    <w:rsid w:val="00860BB0"/>
    <w:rsid w:val="00860C6A"/>
    <w:rsid w:val="00860CC3"/>
    <w:rsid w:val="00860EA4"/>
    <w:rsid w:val="00860F38"/>
    <w:rsid w:val="00861032"/>
    <w:rsid w:val="00861074"/>
    <w:rsid w:val="00861090"/>
    <w:rsid w:val="0086117D"/>
    <w:rsid w:val="00861189"/>
    <w:rsid w:val="008611A4"/>
    <w:rsid w:val="008611AA"/>
    <w:rsid w:val="0086125C"/>
    <w:rsid w:val="00861419"/>
    <w:rsid w:val="008614F8"/>
    <w:rsid w:val="00861513"/>
    <w:rsid w:val="0086167F"/>
    <w:rsid w:val="00861682"/>
    <w:rsid w:val="00861822"/>
    <w:rsid w:val="008618E6"/>
    <w:rsid w:val="00861947"/>
    <w:rsid w:val="00861A47"/>
    <w:rsid w:val="00861B13"/>
    <w:rsid w:val="00861B44"/>
    <w:rsid w:val="00861BC4"/>
    <w:rsid w:val="00861D05"/>
    <w:rsid w:val="00861D2D"/>
    <w:rsid w:val="00861EB3"/>
    <w:rsid w:val="00861EF7"/>
    <w:rsid w:val="00862085"/>
    <w:rsid w:val="0086216C"/>
    <w:rsid w:val="008621CA"/>
    <w:rsid w:val="00862261"/>
    <w:rsid w:val="00862385"/>
    <w:rsid w:val="008623EE"/>
    <w:rsid w:val="00862481"/>
    <w:rsid w:val="00862484"/>
    <w:rsid w:val="0086248D"/>
    <w:rsid w:val="008624AC"/>
    <w:rsid w:val="008625B7"/>
    <w:rsid w:val="008625F1"/>
    <w:rsid w:val="0086267A"/>
    <w:rsid w:val="008626F7"/>
    <w:rsid w:val="008626F8"/>
    <w:rsid w:val="00862729"/>
    <w:rsid w:val="008627DC"/>
    <w:rsid w:val="008627E5"/>
    <w:rsid w:val="008628B7"/>
    <w:rsid w:val="0086292A"/>
    <w:rsid w:val="00862A0B"/>
    <w:rsid w:val="00862A26"/>
    <w:rsid w:val="00862B10"/>
    <w:rsid w:val="00862B56"/>
    <w:rsid w:val="00862D96"/>
    <w:rsid w:val="00862F00"/>
    <w:rsid w:val="00862F99"/>
    <w:rsid w:val="00863004"/>
    <w:rsid w:val="0086312D"/>
    <w:rsid w:val="00863135"/>
    <w:rsid w:val="00863177"/>
    <w:rsid w:val="008631A3"/>
    <w:rsid w:val="008631CB"/>
    <w:rsid w:val="008631FF"/>
    <w:rsid w:val="00863214"/>
    <w:rsid w:val="00863248"/>
    <w:rsid w:val="00863494"/>
    <w:rsid w:val="008634D6"/>
    <w:rsid w:val="00863525"/>
    <w:rsid w:val="008635FD"/>
    <w:rsid w:val="0086367F"/>
    <w:rsid w:val="008636E8"/>
    <w:rsid w:val="008636FC"/>
    <w:rsid w:val="008637C9"/>
    <w:rsid w:val="008638D1"/>
    <w:rsid w:val="0086395E"/>
    <w:rsid w:val="008639EA"/>
    <w:rsid w:val="00863A8B"/>
    <w:rsid w:val="00863BA8"/>
    <w:rsid w:val="00863D00"/>
    <w:rsid w:val="00863D8E"/>
    <w:rsid w:val="00863DB6"/>
    <w:rsid w:val="00863E8C"/>
    <w:rsid w:val="00863FA0"/>
    <w:rsid w:val="00863FC1"/>
    <w:rsid w:val="00864009"/>
    <w:rsid w:val="0086406A"/>
    <w:rsid w:val="008640A5"/>
    <w:rsid w:val="008640A9"/>
    <w:rsid w:val="0086437A"/>
    <w:rsid w:val="00864435"/>
    <w:rsid w:val="008645E0"/>
    <w:rsid w:val="00864646"/>
    <w:rsid w:val="0086484B"/>
    <w:rsid w:val="008648F6"/>
    <w:rsid w:val="0086496B"/>
    <w:rsid w:val="00864CDC"/>
    <w:rsid w:val="00864CF7"/>
    <w:rsid w:val="00864D17"/>
    <w:rsid w:val="00864F8A"/>
    <w:rsid w:val="00864FC2"/>
    <w:rsid w:val="00864FEF"/>
    <w:rsid w:val="00864FF9"/>
    <w:rsid w:val="00865005"/>
    <w:rsid w:val="00865065"/>
    <w:rsid w:val="008651BB"/>
    <w:rsid w:val="008651C5"/>
    <w:rsid w:val="008651C7"/>
    <w:rsid w:val="0086525E"/>
    <w:rsid w:val="008652CF"/>
    <w:rsid w:val="008653C5"/>
    <w:rsid w:val="00865462"/>
    <w:rsid w:val="008654AD"/>
    <w:rsid w:val="00865514"/>
    <w:rsid w:val="0086568F"/>
    <w:rsid w:val="008656DC"/>
    <w:rsid w:val="0086586B"/>
    <w:rsid w:val="008658EF"/>
    <w:rsid w:val="00865932"/>
    <w:rsid w:val="00865B86"/>
    <w:rsid w:val="00865BAE"/>
    <w:rsid w:val="00865BB2"/>
    <w:rsid w:val="00865CD9"/>
    <w:rsid w:val="00865D40"/>
    <w:rsid w:val="00865E5A"/>
    <w:rsid w:val="00865EF2"/>
    <w:rsid w:val="00865F81"/>
    <w:rsid w:val="00865FD0"/>
    <w:rsid w:val="00865FF0"/>
    <w:rsid w:val="00866067"/>
    <w:rsid w:val="00866098"/>
    <w:rsid w:val="00866125"/>
    <w:rsid w:val="008661D3"/>
    <w:rsid w:val="0086622B"/>
    <w:rsid w:val="0086633E"/>
    <w:rsid w:val="008663DC"/>
    <w:rsid w:val="00866415"/>
    <w:rsid w:val="00866433"/>
    <w:rsid w:val="008664A4"/>
    <w:rsid w:val="008664BB"/>
    <w:rsid w:val="00866546"/>
    <w:rsid w:val="00866587"/>
    <w:rsid w:val="008665E7"/>
    <w:rsid w:val="008666CB"/>
    <w:rsid w:val="008667A6"/>
    <w:rsid w:val="008667E9"/>
    <w:rsid w:val="008667FF"/>
    <w:rsid w:val="00866811"/>
    <w:rsid w:val="008668B0"/>
    <w:rsid w:val="0086692A"/>
    <w:rsid w:val="0086699E"/>
    <w:rsid w:val="00866A28"/>
    <w:rsid w:val="00866A8D"/>
    <w:rsid w:val="00866A92"/>
    <w:rsid w:val="00866B91"/>
    <w:rsid w:val="00866BC6"/>
    <w:rsid w:val="00866C0C"/>
    <w:rsid w:val="00866CCE"/>
    <w:rsid w:val="00866DFF"/>
    <w:rsid w:val="00866E04"/>
    <w:rsid w:val="00866E6D"/>
    <w:rsid w:val="00866E76"/>
    <w:rsid w:val="00866EEF"/>
    <w:rsid w:val="008670C0"/>
    <w:rsid w:val="0086716E"/>
    <w:rsid w:val="0086726B"/>
    <w:rsid w:val="008672A4"/>
    <w:rsid w:val="008672CB"/>
    <w:rsid w:val="00867462"/>
    <w:rsid w:val="00867609"/>
    <w:rsid w:val="0086761C"/>
    <w:rsid w:val="008676E3"/>
    <w:rsid w:val="008676EC"/>
    <w:rsid w:val="0086779B"/>
    <w:rsid w:val="00867835"/>
    <w:rsid w:val="0086787E"/>
    <w:rsid w:val="008678D4"/>
    <w:rsid w:val="0086795A"/>
    <w:rsid w:val="00867AEA"/>
    <w:rsid w:val="00867CDB"/>
    <w:rsid w:val="00867D00"/>
    <w:rsid w:val="00867D0D"/>
    <w:rsid w:val="00867D48"/>
    <w:rsid w:val="00867E7E"/>
    <w:rsid w:val="00867EDE"/>
    <w:rsid w:val="00870023"/>
    <w:rsid w:val="00870067"/>
    <w:rsid w:val="008700BF"/>
    <w:rsid w:val="008700C6"/>
    <w:rsid w:val="00870170"/>
    <w:rsid w:val="008701EE"/>
    <w:rsid w:val="008701F5"/>
    <w:rsid w:val="0087028C"/>
    <w:rsid w:val="008702F6"/>
    <w:rsid w:val="00870368"/>
    <w:rsid w:val="008703F2"/>
    <w:rsid w:val="008705B7"/>
    <w:rsid w:val="0087060D"/>
    <w:rsid w:val="008706C1"/>
    <w:rsid w:val="0087078C"/>
    <w:rsid w:val="008707FF"/>
    <w:rsid w:val="00870827"/>
    <w:rsid w:val="0087083D"/>
    <w:rsid w:val="00870928"/>
    <w:rsid w:val="0087092F"/>
    <w:rsid w:val="00870AB0"/>
    <w:rsid w:val="00870B4E"/>
    <w:rsid w:val="00870B51"/>
    <w:rsid w:val="00870D6B"/>
    <w:rsid w:val="00870DE3"/>
    <w:rsid w:val="00870DFF"/>
    <w:rsid w:val="00870E9E"/>
    <w:rsid w:val="00870F27"/>
    <w:rsid w:val="00870F31"/>
    <w:rsid w:val="00871036"/>
    <w:rsid w:val="0087103C"/>
    <w:rsid w:val="00871078"/>
    <w:rsid w:val="008710F2"/>
    <w:rsid w:val="00871160"/>
    <w:rsid w:val="00871164"/>
    <w:rsid w:val="00871182"/>
    <w:rsid w:val="0087120D"/>
    <w:rsid w:val="008712A4"/>
    <w:rsid w:val="00871367"/>
    <w:rsid w:val="008713DD"/>
    <w:rsid w:val="008713E2"/>
    <w:rsid w:val="00871412"/>
    <w:rsid w:val="00871526"/>
    <w:rsid w:val="00871548"/>
    <w:rsid w:val="0087155F"/>
    <w:rsid w:val="00871590"/>
    <w:rsid w:val="00871713"/>
    <w:rsid w:val="008717CF"/>
    <w:rsid w:val="008717DD"/>
    <w:rsid w:val="008718DD"/>
    <w:rsid w:val="00871A14"/>
    <w:rsid w:val="00871A20"/>
    <w:rsid w:val="00871A45"/>
    <w:rsid w:val="00871A51"/>
    <w:rsid w:val="00871A85"/>
    <w:rsid w:val="00871AB4"/>
    <w:rsid w:val="00871B51"/>
    <w:rsid w:val="00871BF2"/>
    <w:rsid w:val="00871CA5"/>
    <w:rsid w:val="00871CAD"/>
    <w:rsid w:val="00871CB9"/>
    <w:rsid w:val="00871DF9"/>
    <w:rsid w:val="00871E33"/>
    <w:rsid w:val="00871EE0"/>
    <w:rsid w:val="00871F6B"/>
    <w:rsid w:val="00871F83"/>
    <w:rsid w:val="00872063"/>
    <w:rsid w:val="00872077"/>
    <w:rsid w:val="008722EF"/>
    <w:rsid w:val="00872422"/>
    <w:rsid w:val="00872486"/>
    <w:rsid w:val="0087252C"/>
    <w:rsid w:val="008725B0"/>
    <w:rsid w:val="008725DE"/>
    <w:rsid w:val="008725E1"/>
    <w:rsid w:val="008725E8"/>
    <w:rsid w:val="0087261F"/>
    <w:rsid w:val="00872678"/>
    <w:rsid w:val="008727BB"/>
    <w:rsid w:val="008727F0"/>
    <w:rsid w:val="0087289E"/>
    <w:rsid w:val="008728A4"/>
    <w:rsid w:val="008729CE"/>
    <w:rsid w:val="00872B2A"/>
    <w:rsid w:val="00872BA4"/>
    <w:rsid w:val="00872C69"/>
    <w:rsid w:val="00872C79"/>
    <w:rsid w:val="00872C8E"/>
    <w:rsid w:val="00872D1F"/>
    <w:rsid w:val="00872D49"/>
    <w:rsid w:val="00872D8F"/>
    <w:rsid w:val="00872DBD"/>
    <w:rsid w:val="00872E97"/>
    <w:rsid w:val="00872F3F"/>
    <w:rsid w:val="00872F9B"/>
    <w:rsid w:val="00872FA6"/>
    <w:rsid w:val="008730F9"/>
    <w:rsid w:val="008731D8"/>
    <w:rsid w:val="0087323A"/>
    <w:rsid w:val="00873288"/>
    <w:rsid w:val="00873312"/>
    <w:rsid w:val="008733B8"/>
    <w:rsid w:val="008733F0"/>
    <w:rsid w:val="008734F3"/>
    <w:rsid w:val="00873544"/>
    <w:rsid w:val="008736F4"/>
    <w:rsid w:val="00873839"/>
    <w:rsid w:val="0087391D"/>
    <w:rsid w:val="008739F7"/>
    <w:rsid w:val="00873ADE"/>
    <w:rsid w:val="00873BC6"/>
    <w:rsid w:val="00873BED"/>
    <w:rsid w:val="00873CE3"/>
    <w:rsid w:val="00873E53"/>
    <w:rsid w:val="00873EC5"/>
    <w:rsid w:val="0087400D"/>
    <w:rsid w:val="0087423A"/>
    <w:rsid w:val="0087427A"/>
    <w:rsid w:val="0087428F"/>
    <w:rsid w:val="008742B9"/>
    <w:rsid w:val="008742FE"/>
    <w:rsid w:val="00874318"/>
    <w:rsid w:val="008744F7"/>
    <w:rsid w:val="00874523"/>
    <w:rsid w:val="00874557"/>
    <w:rsid w:val="008745DB"/>
    <w:rsid w:val="008745DE"/>
    <w:rsid w:val="00874615"/>
    <w:rsid w:val="008748D5"/>
    <w:rsid w:val="0087491B"/>
    <w:rsid w:val="00874939"/>
    <w:rsid w:val="00874C4F"/>
    <w:rsid w:val="00874D8D"/>
    <w:rsid w:val="00874E22"/>
    <w:rsid w:val="00874E91"/>
    <w:rsid w:val="00874F20"/>
    <w:rsid w:val="00874F4B"/>
    <w:rsid w:val="00874FA0"/>
    <w:rsid w:val="00874FB1"/>
    <w:rsid w:val="008752F7"/>
    <w:rsid w:val="0087534D"/>
    <w:rsid w:val="008753AB"/>
    <w:rsid w:val="008753CB"/>
    <w:rsid w:val="008754B5"/>
    <w:rsid w:val="00875670"/>
    <w:rsid w:val="008756D9"/>
    <w:rsid w:val="008756F7"/>
    <w:rsid w:val="00875716"/>
    <w:rsid w:val="00875783"/>
    <w:rsid w:val="008758AD"/>
    <w:rsid w:val="008758E5"/>
    <w:rsid w:val="0087597C"/>
    <w:rsid w:val="008759E0"/>
    <w:rsid w:val="00875A07"/>
    <w:rsid w:val="00875A81"/>
    <w:rsid w:val="00875AF9"/>
    <w:rsid w:val="00875B91"/>
    <w:rsid w:val="00875C28"/>
    <w:rsid w:val="00875C34"/>
    <w:rsid w:val="00875CBA"/>
    <w:rsid w:val="00875CDE"/>
    <w:rsid w:val="00875D2F"/>
    <w:rsid w:val="00875D82"/>
    <w:rsid w:val="00875DDE"/>
    <w:rsid w:val="00875DFA"/>
    <w:rsid w:val="00875E3D"/>
    <w:rsid w:val="00875E75"/>
    <w:rsid w:val="00875E7D"/>
    <w:rsid w:val="00875EC8"/>
    <w:rsid w:val="00875FF8"/>
    <w:rsid w:val="0087601C"/>
    <w:rsid w:val="0087603B"/>
    <w:rsid w:val="008760E8"/>
    <w:rsid w:val="00876152"/>
    <w:rsid w:val="0087617D"/>
    <w:rsid w:val="00876246"/>
    <w:rsid w:val="0087636B"/>
    <w:rsid w:val="008766F6"/>
    <w:rsid w:val="0087671E"/>
    <w:rsid w:val="00876811"/>
    <w:rsid w:val="0087682F"/>
    <w:rsid w:val="00876840"/>
    <w:rsid w:val="00876A98"/>
    <w:rsid w:val="00876B41"/>
    <w:rsid w:val="00876BA8"/>
    <w:rsid w:val="00876BFF"/>
    <w:rsid w:val="00876C68"/>
    <w:rsid w:val="00876EAA"/>
    <w:rsid w:val="00876F33"/>
    <w:rsid w:val="00876FEB"/>
    <w:rsid w:val="0087719F"/>
    <w:rsid w:val="008771F4"/>
    <w:rsid w:val="00877211"/>
    <w:rsid w:val="00877267"/>
    <w:rsid w:val="008772C5"/>
    <w:rsid w:val="008773C8"/>
    <w:rsid w:val="00877471"/>
    <w:rsid w:val="0087750F"/>
    <w:rsid w:val="008775E3"/>
    <w:rsid w:val="0087762E"/>
    <w:rsid w:val="0087774D"/>
    <w:rsid w:val="0087786C"/>
    <w:rsid w:val="00877881"/>
    <w:rsid w:val="00877B6D"/>
    <w:rsid w:val="00877BD9"/>
    <w:rsid w:val="00877CA0"/>
    <w:rsid w:val="00877CB4"/>
    <w:rsid w:val="00877DBC"/>
    <w:rsid w:val="00877DBF"/>
    <w:rsid w:val="00877E89"/>
    <w:rsid w:val="00877EA4"/>
    <w:rsid w:val="00877F88"/>
    <w:rsid w:val="00877FE3"/>
    <w:rsid w:val="008800E8"/>
    <w:rsid w:val="00880131"/>
    <w:rsid w:val="00880159"/>
    <w:rsid w:val="008802A6"/>
    <w:rsid w:val="00880322"/>
    <w:rsid w:val="00880355"/>
    <w:rsid w:val="00880364"/>
    <w:rsid w:val="0088036E"/>
    <w:rsid w:val="00880376"/>
    <w:rsid w:val="00880639"/>
    <w:rsid w:val="00880698"/>
    <w:rsid w:val="00880706"/>
    <w:rsid w:val="0088074A"/>
    <w:rsid w:val="0088082E"/>
    <w:rsid w:val="008808EE"/>
    <w:rsid w:val="00880902"/>
    <w:rsid w:val="008809BA"/>
    <w:rsid w:val="008809CF"/>
    <w:rsid w:val="00880B2A"/>
    <w:rsid w:val="00880BEF"/>
    <w:rsid w:val="00880D4F"/>
    <w:rsid w:val="00880DDE"/>
    <w:rsid w:val="00880DDF"/>
    <w:rsid w:val="00880DF7"/>
    <w:rsid w:val="00880E05"/>
    <w:rsid w:val="00880E55"/>
    <w:rsid w:val="00880E7A"/>
    <w:rsid w:val="00880FAB"/>
    <w:rsid w:val="00881069"/>
    <w:rsid w:val="0088119F"/>
    <w:rsid w:val="0088122F"/>
    <w:rsid w:val="00881265"/>
    <w:rsid w:val="0088133C"/>
    <w:rsid w:val="008814A2"/>
    <w:rsid w:val="0088151E"/>
    <w:rsid w:val="008815EB"/>
    <w:rsid w:val="0088160C"/>
    <w:rsid w:val="008816C8"/>
    <w:rsid w:val="008816D7"/>
    <w:rsid w:val="00881A24"/>
    <w:rsid w:val="00881BA7"/>
    <w:rsid w:val="00881BC5"/>
    <w:rsid w:val="00881C09"/>
    <w:rsid w:val="00881C61"/>
    <w:rsid w:val="00881CF2"/>
    <w:rsid w:val="00881D63"/>
    <w:rsid w:val="00881DF0"/>
    <w:rsid w:val="00881E3C"/>
    <w:rsid w:val="00881EF6"/>
    <w:rsid w:val="00882035"/>
    <w:rsid w:val="008820A0"/>
    <w:rsid w:val="008820DF"/>
    <w:rsid w:val="0088220A"/>
    <w:rsid w:val="0088229C"/>
    <w:rsid w:val="008822B5"/>
    <w:rsid w:val="00882417"/>
    <w:rsid w:val="008828DD"/>
    <w:rsid w:val="00882A76"/>
    <w:rsid w:val="00882B21"/>
    <w:rsid w:val="00882C63"/>
    <w:rsid w:val="00882CEA"/>
    <w:rsid w:val="00882E21"/>
    <w:rsid w:val="00882EC1"/>
    <w:rsid w:val="00882F15"/>
    <w:rsid w:val="00882FAB"/>
    <w:rsid w:val="0088302D"/>
    <w:rsid w:val="0088319F"/>
    <w:rsid w:val="008831B7"/>
    <w:rsid w:val="0088320C"/>
    <w:rsid w:val="00883417"/>
    <w:rsid w:val="0088343E"/>
    <w:rsid w:val="008836BE"/>
    <w:rsid w:val="00883760"/>
    <w:rsid w:val="00883943"/>
    <w:rsid w:val="008839D0"/>
    <w:rsid w:val="00883A12"/>
    <w:rsid w:val="00883A41"/>
    <w:rsid w:val="00883A5D"/>
    <w:rsid w:val="00883A64"/>
    <w:rsid w:val="00883C0D"/>
    <w:rsid w:val="00883C25"/>
    <w:rsid w:val="00883E45"/>
    <w:rsid w:val="00883E8C"/>
    <w:rsid w:val="00883EEC"/>
    <w:rsid w:val="00883F2E"/>
    <w:rsid w:val="00883F61"/>
    <w:rsid w:val="00883FD2"/>
    <w:rsid w:val="00884015"/>
    <w:rsid w:val="00884035"/>
    <w:rsid w:val="00884041"/>
    <w:rsid w:val="0088420A"/>
    <w:rsid w:val="00884230"/>
    <w:rsid w:val="00884287"/>
    <w:rsid w:val="0088434C"/>
    <w:rsid w:val="00884405"/>
    <w:rsid w:val="0088444F"/>
    <w:rsid w:val="0088457D"/>
    <w:rsid w:val="008845AE"/>
    <w:rsid w:val="00884602"/>
    <w:rsid w:val="00884720"/>
    <w:rsid w:val="00884853"/>
    <w:rsid w:val="00884863"/>
    <w:rsid w:val="008848D0"/>
    <w:rsid w:val="00884A62"/>
    <w:rsid w:val="00884A91"/>
    <w:rsid w:val="00884A9E"/>
    <w:rsid w:val="00884ACC"/>
    <w:rsid w:val="00884B55"/>
    <w:rsid w:val="00884B65"/>
    <w:rsid w:val="00884C89"/>
    <w:rsid w:val="00884CC1"/>
    <w:rsid w:val="00884DEA"/>
    <w:rsid w:val="00884EAD"/>
    <w:rsid w:val="00884EB5"/>
    <w:rsid w:val="00884EDD"/>
    <w:rsid w:val="00884EEC"/>
    <w:rsid w:val="00884F0A"/>
    <w:rsid w:val="00885267"/>
    <w:rsid w:val="008852A2"/>
    <w:rsid w:val="0088530F"/>
    <w:rsid w:val="008853BF"/>
    <w:rsid w:val="0088552A"/>
    <w:rsid w:val="00885533"/>
    <w:rsid w:val="008855CE"/>
    <w:rsid w:val="0088560C"/>
    <w:rsid w:val="008856AC"/>
    <w:rsid w:val="0088570D"/>
    <w:rsid w:val="00885741"/>
    <w:rsid w:val="00885768"/>
    <w:rsid w:val="00885794"/>
    <w:rsid w:val="008857A5"/>
    <w:rsid w:val="008857E5"/>
    <w:rsid w:val="00885815"/>
    <w:rsid w:val="00885836"/>
    <w:rsid w:val="008858F0"/>
    <w:rsid w:val="00885A43"/>
    <w:rsid w:val="00885B38"/>
    <w:rsid w:val="00885C07"/>
    <w:rsid w:val="00885C65"/>
    <w:rsid w:val="00885CBB"/>
    <w:rsid w:val="00885D22"/>
    <w:rsid w:val="00885D27"/>
    <w:rsid w:val="00885DF3"/>
    <w:rsid w:val="00885EA3"/>
    <w:rsid w:val="00885EE9"/>
    <w:rsid w:val="00885EEB"/>
    <w:rsid w:val="00885F3C"/>
    <w:rsid w:val="00885F94"/>
    <w:rsid w:val="00886055"/>
    <w:rsid w:val="008860D4"/>
    <w:rsid w:val="00886122"/>
    <w:rsid w:val="008861AD"/>
    <w:rsid w:val="00886311"/>
    <w:rsid w:val="0088632F"/>
    <w:rsid w:val="00886371"/>
    <w:rsid w:val="0088644D"/>
    <w:rsid w:val="008864A4"/>
    <w:rsid w:val="008864D9"/>
    <w:rsid w:val="008864F2"/>
    <w:rsid w:val="008864FA"/>
    <w:rsid w:val="0088657B"/>
    <w:rsid w:val="0088658D"/>
    <w:rsid w:val="008865A7"/>
    <w:rsid w:val="008865B0"/>
    <w:rsid w:val="00886773"/>
    <w:rsid w:val="008867D4"/>
    <w:rsid w:val="00886800"/>
    <w:rsid w:val="008868CE"/>
    <w:rsid w:val="008869B5"/>
    <w:rsid w:val="00886A7E"/>
    <w:rsid w:val="00886AC8"/>
    <w:rsid w:val="00886B5E"/>
    <w:rsid w:val="00886BB3"/>
    <w:rsid w:val="00886BDF"/>
    <w:rsid w:val="00886CBC"/>
    <w:rsid w:val="00886D39"/>
    <w:rsid w:val="00886D7C"/>
    <w:rsid w:val="00886ED6"/>
    <w:rsid w:val="00887134"/>
    <w:rsid w:val="008872AC"/>
    <w:rsid w:val="008873AD"/>
    <w:rsid w:val="008873CA"/>
    <w:rsid w:val="008873D9"/>
    <w:rsid w:val="0088740E"/>
    <w:rsid w:val="0088754F"/>
    <w:rsid w:val="008875CC"/>
    <w:rsid w:val="008875D2"/>
    <w:rsid w:val="0088765F"/>
    <w:rsid w:val="008876B5"/>
    <w:rsid w:val="008876FA"/>
    <w:rsid w:val="008878A4"/>
    <w:rsid w:val="00887922"/>
    <w:rsid w:val="0088793A"/>
    <w:rsid w:val="00887953"/>
    <w:rsid w:val="008879B6"/>
    <w:rsid w:val="00887ABD"/>
    <w:rsid w:val="00887ADE"/>
    <w:rsid w:val="00887AE2"/>
    <w:rsid w:val="00887B7F"/>
    <w:rsid w:val="00887CAD"/>
    <w:rsid w:val="00887D4E"/>
    <w:rsid w:val="00887E72"/>
    <w:rsid w:val="00887EB4"/>
    <w:rsid w:val="00887F2C"/>
    <w:rsid w:val="0089007F"/>
    <w:rsid w:val="008900D7"/>
    <w:rsid w:val="00890239"/>
    <w:rsid w:val="0089027B"/>
    <w:rsid w:val="0089039A"/>
    <w:rsid w:val="00890439"/>
    <w:rsid w:val="008904A4"/>
    <w:rsid w:val="0089050A"/>
    <w:rsid w:val="00890512"/>
    <w:rsid w:val="0089055C"/>
    <w:rsid w:val="008905D2"/>
    <w:rsid w:val="008905F6"/>
    <w:rsid w:val="008906A1"/>
    <w:rsid w:val="008906BC"/>
    <w:rsid w:val="008907B7"/>
    <w:rsid w:val="008907CF"/>
    <w:rsid w:val="008907E7"/>
    <w:rsid w:val="0089080B"/>
    <w:rsid w:val="00890818"/>
    <w:rsid w:val="00890833"/>
    <w:rsid w:val="0089085B"/>
    <w:rsid w:val="008908B6"/>
    <w:rsid w:val="00890981"/>
    <w:rsid w:val="00890A4F"/>
    <w:rsid w:val="00890ADB"/>
    <w:rsid w:val="00890BB3"/>
    <w:rsid w:val="00890C34"/>
    <w:rsid w:val="00890E9D"/>
    <w:rsid w:val="00890ED9"/>
    <w:rsid w:val="00890FB6"/>
    <w:rsid w:val="0089104B"/>
    <w:rsid w:val="00891050"/>
    <w:rsid w:val="00891138"/>
    <w:rsid w:val="008911D0"/>
    <w:rsid w:val="0089122B"/>
    <w:rsid w:val="00891280"/>
    <w:rsid w:val="0089130B"/>
    <w:rsid w:val="00891349"/>
    <w:rsid w:val="00891635"/>
    <w:rsid w:val="0089164B"/>
    <w:rsid w:val="0089165F"/>
    <w:rsid w:val="00891667"/>
    <w:rsid w:val="00891740"/>
    <w:rsid w:val="0089191E"/>
    <w:rsid w:val="008919CE"/>
    <w:rsid w:val="008919E4"/>
    <w:rsid w:val="00891A1A"/>
    <w:rsid w:val="00891AB4"/>
    <w:rsid w:val="00891ABC"/>
    <w:rsid w:val="00891B73"/>
    <w:rsid w:val="00891DFE"/>
    <w:rsid w:val="00891E6D"/>
    <w:rsid w:val="00891E8C"/>
    <w:rsid w:val="00891E90"/>
    <w:rsid w:val="00891E9E"/>
    <w:rsid w:val="00891F74"/>
    <w:rsid w:val="00892012"/>
    <w:rsid w:val="008920F9"/>
    <w:rsid w:val="008922CB"/>
    <w:rsid w:val="00892420"/>
    <w:rsid w:val="0089243E"/>
    <w:rsid w:val="00892500"/>
    <w:rsid w:val="00892557"/>
    <w:rsid w:val="008925A4"/>
    <w:rsid w:val="008927AA"/>
    <w:rsid w:val="008928A4"/>
    <w:rsid w:val="008928DF"/>
    <w:rsid w:val="00892956"/>
    <w:rsid w:val="00892A16"/>
    <w:rsid w:val="00892A22"/>
    <w:rsid w:val="00892A37"/>
    <w:rsid w:val="00892A4E"/>
    <w:rsid w:val="00892AB6"/>
    <w:rsid w:val="00892B21"/>
    <w:rsid w:val="00892BEF"/>
    <w:rsid w:val="00892D0E"/>
    <w:rsid w:val="00892E3E"/>
    <w:rsid w:val="00892E96"/>
    <w:rsid w:val="00892EA1"/>
    <w:rsid w:val="00892F5E"/>
    <w:rsid w:val="00893071"/>
    <w:rsid w:val="008930FB"/>
    <w:rsid w:val="0089316E"/>
    <w:rsid w:val="008931F4"/>
    <w:rsid w:val="0089324F"/>
    <w:rsid w:val="008932C9"/>
    <w:rsid w:val="0089330D"/>
    <w:rsid w:val="008933C8"/>
    <w:rsid w:val="0089343E"/>
    <w:rsid w:val="00893453"/>
    <w:rsid w:val="008934DF"/>
    <w:rsid w:val="00893529"/>
    <w:rsid w:val="00893582"/>
    <w:rsid w:val="00893665"/>
    <w:rsid w:val="00893889"/>
    <w:rsid w:val="008938A7"/>
    <w:rsid w:val="0089393F"/>
    <w:rsid w:val="00893952"/>
    <w:rsid w:val="00893ADF"/>
    <w:rsid w:val="00893B18"/>
    <w:rsid w:val="00893B45"/>
    <w:rsid w:val="00893C11"/>
    <w:rsid w:val="00893C1E"/>
    <w:rsid w:val="00893C36"/>
    <w:rsid w:val="00893C45"/>
    <w:rsid w:val="00893D8D"/>
    <w:rsid w:val="00893DC8"/>
    <w:rsid w:val="00893F59"/>
    <w:rsid w:val="00893F5F"/>
    <w:rsid w:val="00893FC2"/>
    <w:rsid w:val="0089402C"/>
    <w:rsid w:val="008940C0"/>
    <w:rsid w:val="00894145"/>
    <w:rsid w:val="00894177"/>
    <w:rsid w:val="00894189"/>
    <w:rsid w:val="008943B5"/>
    <w:rsid w:val="00894504"/>
    <w:rsid w:val="0089453C"/>
    <w:rsid w:val="0089461C"/>
    <w:rsid w:val="00894657"/>
    <w:rsid w:val="008946FD"/>
    <w:rsid w:val="00894740"/>
    <w:rsid w:val="008948DD"/>
    <w:rsid w:val="0089499A"/>
    <w:rsid w:val="008949AE"/>
    <w:rsid w:val="00894A27"/>
    <w:rsid w:val="00894C1A"/>
    <w:rsid w:val="00894D7F"/>
    <w:rsid w:val="00894EE4"/>
    <w:rsid w:val="0089509E"/>
    <w:rsid w:val="008950D2"/>
    <w:rsid w:val="0089510A"/>
    <w:rsid w:val="008952E9"/>
    <w:rsid w:val="00895315"/>
    <w:rsid w:val="0089532D"/>
    <w:rsid w:val="00895632"/>
    <w:rsid w:val="00895643"/>
    <w:rsid w:val="008956D3"/>
    <w:rsid w:val="008956E2"/>
    <w:rsid w:val="00895762"/>
    <w:rsid w:val="0089582F"/>
    <w:rsid w:val="00895873"/>
    <w:rsid w:val="00895953"/>
    <w:rsid w:val="0089599B"/>
    <w:rsid w:val="00895B33"/>
    <w:rsid w:val="00895C19"/>
    <w:rsid w:val="00895C4B"/>
    <w:rsid w:val="00895C66"/>
    <w:rsid w:val="00895E24"/>
    <w:rsid w:val="00895E2D"/>
    <w:rsid w:val="00895F0A"/>
    <w:rsid w:val="00895F12"/>
    <w:rsid w:val="00895F3B"/>
    <w:rsid w:val="00895FBA"/>
    <w:rsid w:val="00895FC5"/>
    <w:rsid w:val="00895FEB"/>
    <w:rsid w:val="00895FFC"/>
    <w:rsid w:val="0089602C"/>
    <w:rsid w:val="0089604C"/>
    <w:rsid w:val="00896065"/>
    <w:rsid w:val="00896143"/>
    <w:rsid w:val="00896240"/>
    <w:rsid w:val="0089636E"/>
    <w:rsid w:val="008963AC"/>
    <w:rsid w:val="0089646B"/>
    <w:rsid w:val="00896522"/>
    <w:rsid w:val="00896550"/>
    <w:rsid w:val="008965D7"/>
    <w:rsid w:val="00896626"/>
    <w:rsid w:val="008967FA"/>
    <w:rsid w:val="00896816"/>
    <w:rsid w:val="0089695E"/>
    <w:rsid w:val="008969F6"/>
    <w:rsid w:val="00896A4C"/>
    <w:rsid w:val="00896A65"/>
    <w:rsid w:val="00896ADC"/>
    <w:rsid w:val="00896B25"/>
    <w:rsid w:val="00896C23"/>
    <w:rsid w:val="00896C4A"/>
    <w:rsid w:val="00896C96"/>
    <w:rsid w:val="00896CD1"/>
    <w:rsid w:val="00896DA6"/>
    <w:rsid w:val="00896EBA"/>
    <w:rsid w:val="00896F26"/>
    <w:rsid w:val="00897018"/>
    <w:rsid w:val="0089701C"/>
    <w:rsid w:val="00897080"/>
    <w:rsid w:val="008970F5"/>
    <w:rsid w:val="00897161"/>
    <w:rsid w:val="0089719B"/>
    <w:rsid w:val="00897392"/>
    <w:rsid w:val="008973D2"/>
    <w:rsid w:val="00897422"/>
    <w:rsid w:val="0089752A"/>
    <w:rsid w:val="008976FE"/>
    <w:rsid w:val="00897783"/>
    <w:rsid w:val="00897837"/>
    <w:rsid w:val="008978CE"/>
    <w:rsid w:val="00897906"/>
    <w:rsid w:val="00897971"/>
    <w:rsid w:val="0089797F"/>
    <w:rsid w:val="00897AD5"/>
    <w:rsid w:val="00897CC1"/>
    <w:rsid w:val="00897F3E"/>
    <w:rsid w:val="00897F5B"/>
    <w:rsid w:val="008A002A"/>
    <w:rsid w:val="008A0182"/>
    <w:rsid w:val="008A021D"/>
    <w:rsid w:val="008A0299"/>
    <w:rsid w:val="008A0379"/>
    <w:rsid w:val="008A038F"/>
    <w:rsid w:val="008A050D"/>
    <w:rsid w:val="008A06DC"/>
    <w:rsid w:val="008A0711"/>
    <w:rsid w:val="008A0721"/>
    <w:rsid w:val="008A0793"/>
    <w:rsid w:val="008A086C"/>
    <w:rsid w:val="008A08E1"/>
    <w:rsid w:val="008A08E6"/>
    <w:rsid w:val="008A0952"/>
    <w:rsid w:val="008A09AE"/>
    <w:rsid w:val="008A09E7"/>
    <w:rsid w:val="008A09F4"/>
    <w:rsid w:val="008A0A1D"/>
    <w:rsid w:val="008A0A81"/>
    <w:rsid w:val="008A0AD2"/>
    <w:rsid w:val="008A0BBF"/>
    <w:rsid w:val="008A0CF8"/>
    <w:rsid w:val="008A0CFA"/>
    <w:rsid w:val="008A0E4A"/>
    <w:rsid w:val="008A0E9D"/>
    <w:rsid w:val="008A0F75"/>
    <w:rsid w:val="008A10F1"/>
    <w:rsid w:val="008A1170"/>
    <w:rsid w:val="008A1282"/>
    <w:rsid w:val="008A145C"/>
    <w:rsid w:val="008A1650"/>
    <w:rsid w:val="008A1770"/>
    <w:rsid w:val="008A1793"/>
    <w:rsid w:val="008A17C5"/>
    <w:rsid w:val="008A18B7"/>
    <w:rsid w:val="008A18FF"/>
    <w:rsid w:val="008A1A45"/>
    <w:rsid w:val="008A1A82"/>
    <w:rsid w:val="008A1BDD"/>
    <w:rsid w:val="008A1C59"/>
    <w:rsid w:val="008A1CB4"/>
    <w:rsid w:val="008A1CBF"/>
    <w:rsid w:val="008A1D09"/>
    <w:rsid w:val="008A1D1B"/>
    <w:rsid w:val="008A1E12"/>
    <w:rsid w:val="008A1E90"/>
    <w:rsid w:val="008A1FE0"/>
    <w:rsid w:val="008A20FE"/>
    <w:rsid w:val="008A22AF"/>
    <w:rsid w:val="008A23C9"/>
    <w:rsid w:val="008A2504"/>
    <w:rsid w:val="008A2568"/>
    <w:rsid w:val="008A25F9"/>
    <w:rsid w:val="008A272C"/>
    <w:rsid w:val="008A2803"/>
    <w:rsid w:val="008A284F"/>
    <w:rsid w:val="008A2941"/>
    <w:rsid w:val="008A2A16"/>
    <w:rsid w:val="008A2A1C"/>
    <w:rsid w:val="008A2A32"/>
    <w:rsid w:val="008A2B41"/>
    <w:rsid w:val="008A2C1C"/>
    <w:rsid w:val="008A2C74"/>
    <w:rsid w:val="008A2C8A"/>
    <w:rsid w:val="008A2D68"/>
    <w:rsid w:val="008A2E21"/>
    <w:rsid w:val="008A2ED0"/>
    <w:rsid w:val="008A2EE7"/>
    <w:rsid w:val="008A2EEA"/>
    <w:rsid w:val="008A2F2B"/>
    <w:rsid w:val="008A2F91"/>
    <w:rsid w:val="008A3128"/>
    <w:rsid w:val="008A314B"/>
    <w:rsid w:val="008A320B"/>
    <w:rsid w:val="008A3305"/>
    <w:rsid w:val="008A34B7"/>
    <w:rsid w:val="008A35B3"/>
    <w:rsid w:val="008A35E9"/>
    <w:rsid w:val="008A361D"/>
    <w:rsid w:val="008A3880"/>
    <w:rsid w:val="008A38B9"/>
    <w:rsid w:val="008A392F"/>
    <w:rsid w:val="008A39C5"/>
    <w:rsid w:val="008A39DE"/>
    <w:rsid w:val="008A39F8"/>
    <w:rsid w:val="008A3B9E"/>
    <w:rsid w:val="008A3C19"/>
    <w:rsid w:val="008A3C1F"/>
    <w:rsid w:val="008A3C2B"/>
    <w:rsid w:val="008A3D3C"/>
    <w:rsid w:val="008A3E97"/>
    <w:rsid w:val="008A3ED2"/>
    <w:rsid w:val="008A3FE5"/>
    <w:rsid w:val="008A42D2"/>
    <w:rsid w:val="008A430A"/>
    <w:rsid w:val="008A4455"/>
    <w:rsid w:val="008A4567"/>
    <w:rsid w:val="008A45D9"/>
    <w:rsid w:val="008A45EF"/>
    <w:rsid w:val="008A460E"/>
    <w:rsid w:val="008A462F"/>
    <w:rsid w:val="008A466C"/>
    <w:rsid w:val="008A467A"/>
    <w:rsid w:val="008A4799"/>
    <w:rsid w:val="008A4880"/>
    <w:rsid w:val="008A48C0"/>
    <w:rsid w:val="008A48D2"/>
    <w:rsid w:val="008A48E6"/>
    <w:rsid w:val="008A48F2"/>
    <w:rsid w:val="008A4984"/>
    <w:rsid w:val="008A499D"/>
    <w:rsid w:val="008A49FD"/>
    <w:rsid w:val="008A4A7A"/>
    <w:rsid w:val="008A4B29"/>
    <w:rsid w:val="008A4B74"/>
    <w:rsid w:val="008A4BF6"/>
    <w:rsid w:val="008A4C7D"/>
    <w:rsid w:val="008A4C84"/>
    <w:rsid w:val="008A4CB0"/>
    <w:rsid w:val="008A4CE7"/>
    <w:rsid w:val="008A4DCA"/>
    <w:rsid w:val="008A4DE5"/>
    <w:rsid w:val="008A4DEF"/>
    <w:rsid w:val="008A4E2F"/>
    <w:rsid w:val="008A4F09"/>
    <w:rsid w:val="008A5131"/>
    <w:rsid w:val="008A5159"/>
    <w:rsid w:val="008A536C"/>
    <w:rsid w:val="008A5499"/>
    <w:rsid w:val="008A54CA"/>
    <w:rsid w:val="008A55D4"/>
    <w:rsid w:val="008A568A"/>
    <w:rsid w:val="008A5713"/>
    <w:rsid w:val="008A577F"/>
    <w:rsid w:val="008A5829"/>
    <w:rsid w:val="008A58E1"/>
    <w:rsid w:val="008A5B40"/>
    <w:rsid w:val="008A5C9D"/>
    <w:rsid w:val="008A5D9E"/>
    <w:rsid w:val="008A5E42"/>
    <w:rsid w:val="008A5EA4"/>
    <w:rsid w:val="008A5EE1"/>
    <w:rsid w:val="008A5FBE"/>
    <w:rsid w:val="008A5FFF"/>
    <w:rsid w:val="008A6008"/>
    <w:rsid w:val="008A6089"/>
    <w:rsid w:val="008A6122"/>
    <w:rsid w:val="008A6199"/>
    <w:rsid w:val="008A64B6"/>
    <w:rsid w:val="008A64D7"/>
    <w:rsid w:val="008A652B"/>
    <w:rsid w:val="008A6631"/>
    <w:rsid w:val="008A66B4"/>
    <w:rsid w:val="008A6783"/>
    <w:rsid w:val="008A67C1"/>
    <w:rsid w:val="008A6886"/>
    <w:rsid w:val="008A68D2"/>
    <w:rsid w:val="008A6915"/>
    <w:rsid w:val="008A691E"/>
    <w:rsid w:val="008A696E"/>
    <w:rsid w:val="008A6ABD"/>
    <w:rsid w:val="008A6AF2"/>
    <w:rsid w:val="008A6AFD"/>
    <w:rsid w:val="008A6B59"/>
    <w:rsid w:val="008A6B82"/>
    <w:rsid w:val="008A6E22"/>
    <w:rsid w:val="008A6E9F"/>
    <w:rsid w:val="008A6ED6"/>
    <w:rsid w:val="008A6F91"/>
    <w:rsid w:val="008A6FD2"/>
    <w:rsid w:val="008A6FF9"/>
    <w:rsid w:val="008A7041"/>
    <w:rsid w:val="008A707D"/>
    <w:rsid w:val="008A7100"/>
    <w:rsid w:val="008A7180"/>
    <w:rsid w:val="008A7204"/>
    <w:rsid w:val="008A7360"/>
    <w:rsid w:val="008A738C"/>
    <w:rsid w:val="008A73C4"/>
    <w:rsid w:val="008A73DD"/>
    <w:rsid w:val="008A741E"/>
    <w:rsid w:val="008A762D"/>
    <w:rsid w:val="008A7723"/>
    <w:rsid w:val="008A77A8"/>
    <w:rsid w:val="008A7939"/>
    <w:rsid w:val="008A7A00"/>
    <w:rsid w:val="008A7A09"/>
    <w:rsid w:val="008A7A52"/>
    <w:rsid w:val="008A7F97"/>
    <w:rsid w:val="008A7FBA"/>
    <w:rsid w:val="008B0062"/>
    <w:rsid w:val="008B0089"/>
    <w:rsid w:val="008B0189"/>
    <w:rsid w:val="008B018B"/>
    <w:rsid w:val="008B01D5"/>
    <w:rsid w:val="008B029F"/>
    <w:rsid w:val="008B0416"/>
    <w:rsid w:val="008B0488"/>
    <w:rsid w:val="008B0654"/>
    <w:rsid w:val="008B06C6"/>
    <w:rsid w:val="008B06DD"/>
    <w:rsid w:val="008B075F"/>
    <w:rsid w:val="008B07C7"/>
    <w:rsid w:val="008B0919"/>
    <w:rsid w:val="008B0AA3"/>
    <w:rsid w:val="008B0B3A"/>
    <w:rsid w:val="008B0B6B"/>
    <w:rsid w:val="008B0B6D"/>
    <w:rsid w:val="008B0BBF"/>
    <w:rsid w:val="008B0C14"/>
    <w:rsid w:val="008B0C5B"/>
    <w:rsid w:val="008B0CC3"/>
    <w:rsid w:val="008B0CFE"/>
    <w:rsid w:val="008B0D5B"/>
    <w:rsid w:val="008B0D82"/>
    <w:rsid w:val="008B0E3A"/>
    <w:rsid w:val="008B0E6C"/>
    <w:rsid w:val="008B1034"/>
    <w:rsid w:val="008B113D"/>
    <w:rsid w:val="008B123D"/>
    <w:rsid w:val="008B133F"/>
    <w:rsid w:val="008B1403"/>
    <w:rsid w:val="008B14CA"/>
    <w:rsid w:val="008B156E"/>
    <w:rsid w:val="008B1591"/>
    <w:rsid w:val="008B15A2"/>
    <w:rsid w:val="008B19DF"/>
    <w:rsid w:val="008B1A23"/>
    <w:rsid w:val="008B1A89"/>
    <w:rsid w:val="008B1C06"/>
    <w:rsid w:val="008B1C13"/>
    <w:rsid w:val="008B1C79"/>
    <w:rsid w:val="008B1D59"/>
    <w:rsid w:val="008B1D5A"/>
    <w:rsid w:val="008B1DF6"/>
    <w:rsid w:val="008B1E7D"/>
    <w:rsid w:val="008B1F06"/>
    <w:rsid w:val="008B1F7D"/>
    <w:rsid w:val="008B1F7F"/>
    <w:rsid w:val="008B1F95"/>
    <w:rsid w:val="008B20FF"/>
    <w:rsid w:val="008B210D"/>
    <w:rsid w:val="008B2186"/>
    <w:rsid w:val="008B21F8"/>
    <w:rsid w:val="008B22DF"/>
    <w:rsid w:val="008B22F1"/>
    <w:rsid w:val="008B24BE"/>
    <w:rsid w:val="008B25DE"/>
    <w:rsid w:val="008B25F4"/>
    <w:rsid w:val="008B25FA"/>
    <w:rsid w:val="008B27C1"/>
    <w:rsid w:val="008B284A"/>
    <w:rsid w:val="008B2955"/>
    <w:rsid w:val="008B29F9"/>
    <w:rsid w:val="008B2A62"/>
    <w:rsid w:val="008B2A9F"/>
    <w:rsid w:val="008B2AB7"/>
    <w:rsid w:val="008B2CB1"/>
    <w:rsid w:val="008B2DF8"/>
    <w:rsid w:val="008B2E33"/>
    <w:rsid w:val="008B2ECA"/>
    <w:rsid w:val="008B3037"/>
    <w:rsid w:val="008B3089"/>
    <w:rsid w:val="008B3113"/>
    <w:rsid w:val="008B320A"/>
    <w:rsid w:val="008B3261"/>
    <w:rsid w:val="008B32A9"/>
    <w:rsid w:val="008B339F"/>
    <w:rsid w:val="008B3423"/>
    <w:rsid w:val="008B34CF"/>
    <w:rsid w:val="008B3505"/>
    <w:rsid w:val="008B3543"/>
    <w:rsid w:val="008B381C"/>
    <w:rsid w:val="008B3A2A"/>
    <w:rsid w:val="008B3AAE"/>
    <w:rsid w:val="008B3AE9"/>
    <w:rsid w:val="008B3B50"/>
    <w:rsid w:val="008B3C2E"/>
    <w:rsid w:val="008B3C4A"/>
    <w:rsid w:val="008B3D05"/>
    <w:rsid w:val="008B3D1C"/>
    <w:rsid w:val="008B3D75"/>
    <w:rsid w:val="008B3D8C"/>
    <w:rsid w:val="008B4055"/>
    <w:rsid w:val="008B41DA"/>
    <w:rsid w:val="008B41DD"/>
    <w:rsid w:val="008B4233"/>
    <w:rsid w:val="008B430C"/>
    <w:rsid w:val="008B4380"/>
    <w:rsid w:val="008B438C"/>
    <w:rsid w:val="008B43C5"/>
    <w:rsid w:val="008B4403"/>
    <w:rsid w:val="008B4464"/>
    <w:rsid w:val="008B46B3"/>
    <w:rsid w:val="008B46B5"/>
    <w:rsid w:val="008B46F0"/>
    <w:rsid w:val="008B480C"/>
    <w:rsid w:val="008B4851"/>
    <w:rsid w:val="008B4920"/>
    <w:rsid w:val="008B493F"/>
    <w:rsid w:val="008B4995"/>
    <w:rsid w:val="008B4A08"/>
    <w:rsid w:val="008B4A63"/>
    <w:rsid w:val="008B4B05"/>
    <w:rsid w:val="008B4B45"/>
    <w:rsid w:val="008B4B7C"/>
    <w:rsid w:val="008B4BE4"/>
    <w:rsid w:val="008B4C6D"/>
    <w:rsid w:val="008B4C82"/>
    <w:rsid w:val="008B4D2D"/>
    <w:rsid w:val="008B4D60"/>
    <w:rsid w:val="008B4D78"/>
    <w:rsid w:val="008B4DE3"/>
    <w:rsid w:val="008B4E78"/>
    <w:rsid w:val="008B4E7F"/>
    <w:rsid w:val="008B4ECF"/>
    <w:rsid w:val="008B5178"/>
    <w:rsid w:val="008B5269"/>
    <w:rsid w:val="008B533C"/>
    <w:rsid w:val="008B5647"/>
    <w:rsid w:val="008B56EC"/>
    <w:rsid w:val="008B5716"/>
    <w:rsid w:val="008B57A1"/>
    <w:rsid w:val="008B57B4"/>
    <w:rsid w:val="008B5923"/>
    <w:rsid w:val="008B5928"/>
    <w:rsid w:val="008B5A59"/>
    <w:rsid w:val="008B5AB3"/>
    <w:rsid w:val="008B5ACC"/>
    <w:rsid w:val="008B5B09"/>
    <w:rsid w:val="008B5BFD"/>
    <w:rsid w:val="008B5C2B"/>
    <w:rsid w:val="008B5C31"/>
    <w:rsid w:val="008B5C86"/>
    <w:rsid w:val="008B5CA2"/>
    <w:rsid w:val="008B6061"/>
    <w:rsid w:val="008B610D"/>
    <w:rsid w:val="008B6260"/>
    <w:rsid w:val="008B62C7"/>
    <w:rsid w:val="008B6323"/>
    <w:rsid w:val="008B65ED"/>
    <w:rsid w:val="008B6658"/>
    <w:rsid w:val="008B67D1"/>
    <w:rsid w:val="008B68E7"/>
    <w:rsid w:val="008B690F"/>
    <w:rsid w:val="008B6914"/>
    <w:rsid w:val="008B6927"/>
    <w:rsid w:val="008B697E"/>
    <w:rsid w:val="008B69AE"/>
    <w:rsid w:val="008B69B8"/>
    <w:rsid w:val="008B6A50"/>
    <w:rsid w:val="008B6A77"/>
    <w:rsid w:val="008B6AC4"/>
    <w:rsid w:val="008B6B78"/>
    <w:rsid w:val="008B6C23"/>
    <w:rsid w:val="008B6D40"/>
    <w:rsid w:val="008B6E74"/>
    <w:rsid w:val="008B6F56"/>
    <w:rsid w:val="008B7000"/>
    <w:rsid w:val="008B7214"/>
    <w:rsid w:val="008B7226"/>
    <w:rsid w:val="008B7238"/>
    <w:rsid w:val="008B72DA"/>
    <w:rsid w:val="008B7335"/>
    <w:rsid w:val="008B73AF"/>
    <w:rsid w:val="008B747A"/>
    <w:rsid w:val="008B751D"/>
    <w:rsid w:val="008B7535"/>
    <w:rsid w:val="008B75BE"/>
    <w:rsid w:val="008B766B"/>
    <w:rsid w:val="008B778C"/>
    <w:rsid w:val="008B778E"/>
    <w:rsid w:val="008B7841"/>
    <w:rsid w:val="008B78EB"/>
    <w:rsid w:val="008B7A43"/>
    <w:rsid w:val="008B7AD5"/>
    <w:rsid w:val="008B7BEF"/>
    <w:rsid w:val="008B7C24"/>
    <w:rsid w:val="008B7D4E"/>
    <w:rsid w:val="008B7DE0"/>
    <w:rsid w:val="008B7DEF"/>
    <w:rsid w:val="008B7E07"/>
    <w:rsid w:val="008B7E17"/>
    <w:rsid w:val="008C000A"/>
    <w:rsid w:val="008C0015"/>
    <w:rsid w:val="008C0083"/>
    <w:rsid w:val="008C009E"/>
    <w:rsid w:val="008C0178"/>
    <w:rsid w:val="008C01D5"/>
    <w:rsid w:val="008C024A"/>
    <w:rsid w:val="008C0344"/>
    <w:rsid w:val="008C03D8"/>
    <w:rsid w:val="008C03F4"/>
    <w:rsid w:val="008C0487"/>
    <w:rsid w:val="008C04E7"/>
    <w:rsid w:val="008C04FB"/>
    <w:rsid w:val="008C06D4"/>
    <w:rsid w:val="008C07D5"/>
    <w:rsid w:val="008C07DF"/>
    <w:rsid w:val="008C0800"/>
    <w:rsid w:val="008C0970"/>
    <w:rsid w:val="008C0BA3"/>
    <w:rsid w:val="008C0CA3"/>
    <w:rsid w:val="008C0CE6"/>
    <w:rsid w:val="008C0E75"/>
    <w:rsid w:val="008C0EDE"/>
    <w:rsid w:val="008C0F80"/>
    <w:rsid w:val="008C1015"/>
    <w:rsid w:val="008C108E"/>
    <w:rsid w:val="008C1090"/>
    <w:rsid w:val="008C1208"/>
    <w:rsid w:val="008C1290"/>
    <w:rsid w:val="008C138D"/>
    <w:rsid w:val="008C1599"/>
    <w:rsid w:val="008C15C1"/>
    <w:rsid w:val="008C15D9"/>
    <w:rsid w:val="008C160F"/>
    <w:rsid w:val="008C1617"/>
    <w:rsid w:val="008C1662"/>
    <w:rsid w:val="008C1714"/>
    <w:rsid w:val="008C1716"/>
    <w:rsid w:val="008C17E2"/>
    <w:rsid w:val="008C189B"/>
    <w:rsid w:val="008C18A1"/>
    <w:rsid w:val="008C18A6"/>
    <w:rsid w:val="008C18B6"/>
    <w:rsid w:val="008C1912"/>
    <w:rsid w:val="008C1C7D"/>
    <w:rsid w:val="008C1CF5"/>
    <w:rsid w:val="008C1DC7"/>
    <w:rsid w:val="008C1F35"/>
    <w:rsid w:val="008C1F48"/>
    <w:rsid w:val="008C200F"/>
    <w:rsid w:val="008C207F"/>
    <w:rsid w:val="008C214A"/>
    <w:rsid w:val="008C21CC"/>
    <w:rsid w:val="008C240D"/>
    <w:rsid w:val="008C24F4"/>
    <w:rsid w:val="008C2590"/>
    <w:rsid w:val="008C26AD"/>
    <w:rsid w:val="008C26E0"/>
    <w:rsid w:val="008C282C"/>
    <w:rsid w:val="008C28AF"/>
    <w:rsid w:val="008C2A4D"/>
    <w:rsid w:val="008C2A6F"/>
    <w:rsid w:val="008C2C8F"/>
    <w:rsid w:val="008C2D9E"/>
    <w:rsid w:val="008C2DCD"/>
    <w:rsid w:val="008C2EDB"/>
    <w:rsid w:val="008C2EE3"/>
    <w:rsid w:val="008C2F15"/>
    <w:rsid w:val="008C3038"/>
    <w:rsid w:val="008C303C"/>
    <w:rsid w:val="008C309D"/>
    <w:rsid w:val="008C311D"/>
    <w:rsid w:val="008C3124"/>
    <w:rsid w:val="008C312B"/>
    <w:rsid w:val="008C312F"/>
    <w:rsid w:val="008C31A4"/>
    <w:rsid w:val="008C31F0"/>
    <w:rsid w:val="008C328E"/>
    <w:rsid w:val="008C334E"/>
    <w:rsid w:val="008C3426"/>
    <w:rsid w:val="008C350F"/>
    <w:rsid w:val="008C351B"/>
    <w:rsid w:val="008C356A"/>
    <w:rsid w:val="008C35C8"/>
    <w:rsid w:val="008C3753"/>
    <w:rsid w:val="008C3806"/>
    <w:rsid w:val="008C3983"/>
    <w:rsid w:val="008C39C9"/>
    <w:rsid w:val="008C3B34"/>
    <w:rsid w:val="008C3B3C"/>
    <w:rsid w:val="008C3BF9"/>
    <w:rsid w:val="008C3C02"/>
    <w:rsid w:val="008C3C0C"/>
    <w:rsid w:val="008C3D58"/>
    <w:rsid w:val="008C3E24"/>
    <w:rsid w:val="008C3F83"/>
    <w:rsid w:val="008C4106"/>
    <w:rsid w:val="008C4233"/>
    <w:rsid w:val="008C4269"/>
    <w:rsid w:val="008C42DF"/>
    <w:rsid w:val="008C4306"/>
    <w:rsid w:val="008C432D"/>
    <w:rsid w:val="008C4378"/>
    <w:rsid w:val="008C43DE"/>
    <w:rsid w:val="008C4471"/>
    <w:rsid w:val="008C44A9"/>
    <w:rsid w:val="008C455E"/>
    <w:rsid w:val="008C4565"/>
    <w:rsid w:val="008C46EA"/>
    <w:rsid w:val="008C4733"/>
    <w:rsid w:val="008C4748"/>
    <w:rsid w:val="008C4826"/>
    <w:rsid w:val="008C4907"/>
    <w:rsid w:val="008C49F9"/>
    <w:rsid w:val="008C4AF4"/>
    <w:rsid w:val="008C4AF8"/>
    <w:rsid w:val="008C4BD2"/>
    <w:rsid w:val="008C4C12"/>
    <w:rsid w:val="008C4C3A"/>
    <w:rsid w:val="008C4C6E"/>
    <w:rsid w:val="008C4D4C"/>
    <w:rsid w:val="008C4DF4"/>
    <w:rsid w:val="008C4E09"/>
    <w:rsid w:val="008C4E69"/>
    <w:rsid w:val="008C4EA4"/>
    <w:rsid w:val="008C4F77"/>
    <w:rsid w:val="008C50FF"/>
    <w:rsid w:val="008C5156"/>
    <w:rsid w:val="008C5237"/>
    <w:rsid w:val="008C5329"/>
    <w:rsid w:val="008C5335"/>
    <w:rsid w:val="008C5494"/>
    <w:rsid w:val="008C54DA"/>
    <w:rsid w:val="008C54E3"/>
    <w:rsid w:val="008C5571"/>
    <w:rsid w:val="008C5705"/>
    <w:rsid w:val="008C571D"/>
    <w:rsid w:val="008C577B"/>
    <w:rsid w:val="008C593D"/>
    <w:rsid w:val="008C5961"/>
    <w:rsid w:val="008C5963"/>
    <w:rsid w:val="008C5C51"/>
    <w:rsid w:val="008C5D5F"/>
    <w:rsid w:val="008C5E22"/>
    <w:rsid w:val="008C5F7F"/>
    <w:rsid w:val="008C605A"/>
    <w:rsid w:val="008C60D6"/>
    <w:rsid w:val="008C640C"/>
    <w:rsid w:val="008C6493"/>
    <w:rsid w:val="008C6506"/>
    <w:rsid w:val="008C660D"/>
    <w:rsid w:val="008C676E"/>
    <w:rsid w:val="008C67C9"/>
    <w:rsid w:val="008C67F3"/>
    <w:rsid w:val="008C6855"/>
    <w:rsid w:val="008C693F"/>
    <w:rsid w:val="008C698D"/>
    <w:rsid w:val="008C6A4C"/>
    <w:rsid w:val="008C6B9F"/>
    <w:rsid w:val="008C6C60"/>
    <w:rsid w:val="008C6C9A"/>
    <w:rsid w:val="008C6E62"/>
    <w:rsid w:val="008C6E83"/>
    <w:rsid w:val="008C6F16"/>
    <w:rsid w:val="008C6F3F"/>
    <w:rsid w:val="008C6F79"/>
    <w:rsid w:val="008C6F7D"/>
    <w:rsid w:val="008C701E"/>
    <w:rsid w:val="008C7047"/>
    <w:rsid w:val="008C719D"/>
    <w:rsid w:val="008C71B7"/>
    <w:rsid w:val="008C739C"/>
    <w:rsid w:val="008C73DC"/>
    <w:rsid w:val="008C74D6"/>
    <w:rsid w:val="008C7616"/>
    <w:rsid w:val="008C7684"/>
    <w:rsid w:val="008C76E1"/>
    <w:rsid w:val="008C770A"/>
    <w:rsid w:val="008C7720"/>
    <w:rsid w:val="008C774B"/>
    <w:rsid w:val="008C776D"/>
    <w:rsid w:val="008C78AA"/>
    <w:rsid w:val="008C78C7"/>
    <w:rsid w:val="008C79A0"/>
    <w:rsid w:val="008C79E4"/>
    <w:rsid w:val="008C79E5"/>
    <w:rsid w:val="008C7A9D"/>
    <w:rsid w:val="008C7AD5"/>
    <w:rsid w:val="008C7B16"/>
    <w:rsid w:val="008C7B5D"/>
    <w:rsid w:val="008C7CA4"/>
    <w:rsid w:val="008D0057"/>
    <w:rsid w:val="008D0066"/>
    <w:rsid w:val="008D0243"/>
    <w:rsid w:val="008D0338"/>
    <w:rsid w:val="008D039B"/>
    <w:rsid w:val="008D0483"/>
    <w:rsid w:val="008D04F9"/>
    <w:rsid w:val="008D053E"/>
    <w:rsid w:val="008D062E"/>
    <w:rsid w:val="008D0648"/>
    <w:rsid w:val="008D0726"/>
    <w:rsid w:val="008D0740"/>
    <w:rsid w:val="008D07AB"/>
    <w:rsid w:val="008D07C6"/>
    <w:rsid w:val="008D0ABC"/>
    <w:rsid w:val="008D0AFC"/>
    <w:rsid w:val="008D0BE3"/>
    <w:rsid w:val="008D0BEB"/>
    <w:rsid w:val="008D0C17"/>
    <w:rsid w:val="008D0CE7"/>
    <w:rsid w:val="008D0E62"/>
    <w:rsid w:val="008D0F51"/>
    <w:rsid w:val="008D1004"/>
    <w:rsid w:val="008D1038"/>
    <w:rsid w:val="008D1072"/>
    <w:rsid w:val="008D107A"/>
    <w:rsid w:val="008D107D"/>
    <w:rsid w:val="008D108B"/>
    <w:rsid w:val="008D10D5"/>
    <w:rsid w:val="008D10EE"/>
    <w:rsid w:val="008D10EF"/>
    <w:rsid w:val="008D12C7"/>
    <w:rsid w:val="008D1417"/>
    <w:rsid w:val="008D1427"/>
    <w:rsid w:val="008D143A"/>
    <w:rsid w:val="008D14C7"/>
    <w:rsid w:val="008D1636"/>
    <w:rsid w:val="008D16D7"/>
    <w:rsid w:val="008D1703"/>
    <w:rsid w:val="008D1774"/>
    <w:rsid w:val="008D17C6"/>
    <w:rsid w:val="008D18DE"/>
    <w:rsid w:val="008D19ED"/>
    <w:rsid w:val="008D1A58"/>
    <w:rsid w:val="008D1AAE"/>
    <w:rsid w:val="008D1B37"/>
    <w:rsid w:val="008D1B64"/>
    <w:rsid w:val="008D1C03"/>
    <w:rsid w:val="008D1D4E"/>
    <w:rsid w:val="008D1D68"/>
    <w:rsid w:val="008D1E7F"/>
    <w:rsid w:val="008D1EC7"/>
    <w:rsid w:val="008D1F5F"/>
    <w:rsid w:val="008D209A"/>
    <w:rsid w:val="008D21BB"/>
    <w:rsid w:val="008D228A"/>
    <w:rsid w:val="008D22CC"/>
    <w:rsid w:val="008D22CE"/>
    <w:rsid w:val="008D2313"/>
    <w:rsid w:val="008D241C"/>
    <w:rsid w:val="008D2670"/>
    <w:rsid w:val="008D279D"/>
    <w:rsid w:val="008D2806"/>
    <w:rsid w:val="008D2892"/>
    <w:rsid w:val="008D28A9"/>
    <w:rsid w:val="008D2A0A"/>
    <w:rsid w:val="008D2AAD"/>
    <w:rsid w:val="008D2B0D"/>
    <w:rsid w:val="008D2B69"/>
    <w:rsid w:val="008D2BA4"/>
    <w:rsid w:val="008D2C06"/>
    <w:rsid w:val="008D2C19"/>
    <w:rsid w:val="008D2C1B"/>
    <w:rsid w:val="008D2CC6"/>
    <w:rsid w:val="008D2CED"/>
    <w:rsid w:val="008D2D76"/>
    <w:rsid w:val="008D2DA3"/>
    <w:rsid w:val="008D2E91"/>
    <w:rsid w:val="008D2F54"/>
    <w:rsid w:val="008D2F86"/>
    <w:rsid w:val="008D3004"/>
    <w:rsid w:val="008D3059"/>
    <w:rsid w:val="008D309F"/>
    <w:rsid w:val="008D30C0"/>
    <w:rsid w:val="008D30C3"/>
    <w:rsid w:val="008D3297"/>
    <w:rsid w:val="008D32A3"/>
    <w:rsid w:val="008D32B8"/>
    <w:rsid w:val="008D339D"/>
    <w:rsid w:val="008D346D"/>
    <w:rsid w:val="008D34C1"/>
    <w:rsid w:val="008D3565"/>
    <w:rsid w:val="008D365F"/>
    <w:rsid w:val="008D36F0"/>
    <w:rsid w:val="008D3AD9"/>
    <w:rsid w:val="008D3B4C"/>
    <w:rsid w:val="008D3BBC"/>
    <w:rsid w:val="008D3BF3"/>
    <w:rsid w:val="008D3CA2"/>
    <w:rsid w:val="008D3E91"/>
    <w:rsid w:val="008D3F3C"/>
    <w:rsid w:val="008D3F4D"/>
    <w:rsid w:val="008D40AD"/>
    <w:rsid w:val="008D4100"/>
    <w:rsid w:val="008D4112"/>
    <w:rsid w:val="008D4145"/>
    <w:rsid w:val="008D4162"/>
    <w:rsid w:val="008D41A0"/>
    <w:rsid w:val="008D4203"/>
    <w:rsid w:val="008D424F"/>
    <w:rsid w:val="008D4253"/>
    <w:rsid w:val="008D4362"/>
    <w:rsid w:val="008D4380"/>
    <w:rsid w:val="008D4419"/>
    <w:rsid w:val="008D446B"/>
    <w:rsid w:val="008D4503"/>
    <w:rsid w:val="008D45EE"/>
    <w:rsid w:val="008D47E7"/>
    <w:rsid w:val="008D487A"/>
    <w:rsid w:val="008D4891"/>
    <w:rsid w:val="008D489B"/>
    <w:rsid w:val="008D4991"/>
    <w:rsid w:val="008D49FE"/>
    <w:rsid w:val="008D4A9B"/>
    <w:rsid w:val="008D4AC0"/>
    <w:rsid w:val="008D4B80"/>
    <w:rsid w:val="008D4B83"/>
    <w:rsid w:val="008D4CA2"/>
    <w:rsid w:val="008D4E54"/>
    <w:rsid w:val="008D4EC2"/>
    <w:rsid w:val="008D4ED9"/>
    <w:rsid w:val="008D4F11"/>
    <w:rsid w:val="008D4FBE"/>
    <w:rsid w:val="008D4FE1"/>
    <w:rsid w:val="008D5077"/>
    <w:rsid w:val="008D509C"/>
    <w:rsid w:val="008D50ED"/>
    <w:rsid w:val="008D513D"/>
    <w:rsid w:val="008D5192"/>
    <w:rsid w:val="008D531A"/>
    <w:rsid w:val="008D5332"/>
    <w:rsid w:val="008D533E"/>
    <w:rsid w:val="008D5372"/>
    <w:rsid w:val="008D541A"/>
    <w:rsid w:val="008D545E"/>
    <w:rsid w:val="008D5493"/>
    <w:rsid w:val="008D54E5"/>
    <w:rsid w:val="008D5692"/>
    <w:rsid w:val="008D56B3"/>
    <w:rsid w:val="008D57D5"/>
    <w:rsid w:val="008D57D7"/>
    <w:rsid w:val="008D580B"/>
    <w:rsid w:val="008D5866"/>
    <w:rsid w:val="008D5883"/>
    <w:rsid w:val="008D58A7"/>
    <w:rsid w:val="008D5903"/>
    <w:rsid w:val="008D59F6"/>
    <w:rsid w:val="008D5B1A"/>
    <w:rsid w:val="008D5C41"/>
    <w:rsid w:val="008D5CD1"/>
    <w:rsid w:val="008D5CF2"/>
    <w:rsid w:val="008D5DDA"/>
    <w:rsid w:val="008D5E8F"/>
    <w:rsid w:val="008D5EEF"/>
    <w:rsid w:val="008D5F14"/>
    <w:rsid w:val="008D5F8B"/>
    <w:rsid w:val="008D5F9C"/>
    <w:rsid w:val="008D5FD9"/>
    <w:rsid w:val="008D602B"/>
    <w:rsid w:val="008D60D5"/>
    <w:rsid w:val="008D61A0"/>
    <w:rsid w:val="008D6276"/>
    <w:rsid w:val="008D62E1"/>
    <w:rsid w:val="008D6398"/>
    <w:rsid w:val="008D63A1"/>
    <w:rsid w:val="008D63CD"/>
    <w:rsid w:val="008D63DC"/>
    <w:rsid w:val="008D6430"/>
    <w:rsid w:val="008D652C"/>
    <w:rsid w:val="008D65AE"/>
    <w:rsid w:val="008D66CD"/>
    <w:rsid w:val="008D66D4"/>
    <w:rsid w:val="008D66F5"/>
    <w:rsid w:val="008D6757"/>
    <w:rsid w:val="008D677E"/>
    <w:rsid w:val="008D687D"/>
    <w:rsid w:val="008D68D9"/>
    <w:rsid w:val="008D68FD"/>
    <w:rsid w:val="008D6A16"/>
    <w:rsid w:val="008D6A85"/>
    <w:rsid w:val="008D6AAC"/>
    <w:rsid w:val="008D6AC6"/>
    <w:rsid w:val="008D6B4B"/>
    <w:rsid w:val="008D6CE3"/>
    <w:rsid w:val="008D6CEB"/>
    <w:rsid w:val="008D6D1E"/>
    <w:rsid w:val="008D6D8F"/>
    <w:rsid w:val="008D6DC4"/>
    <w:rsid w:val="008D6DCE"/>
    <w:rsid w:val="008D6E54"/>
    <w:rsid w:val="008D6FB6"/>
    <w:rsid w:val="008D71C3"/>
    <w:rsid w:val="008D73B4"/>
    <w:rsid w:val="008D7560"/>
    <w:rsid w:val="008D75F2"/>
    <w:rsid w:val="008D763B"/>
    <w:rsid w:val="008D7677"/>
    <w:rsid w:val="008D76EC"/>
    <w:rsid w:val="008D7701"/>
    <w:rsid w:val="008D78A7"/>
    <w:rsid w:val="008D78CA"/>
    <w:rsid w:val="008D78F1"/>
    <w:rsid w:val="008D78FB"/>
    <w:rsid w:val="008D7901"/>
    <w:rsid w:val="008D794A"/>
    <w:rsid w:val="008D79A2"/>
    <w:rsid w:val="008D79B9"/>
    <w:rsid w:val="008D7AFE"/>
    <w:rsid w:val="008D7B18"/>
    <w:rsid w:val="008D7BEE"/>
    <w:rsid w:val="008D7D01"/>
    <w:rsid w:val="008D7D5E"/>
    <w:rsid w:val="008D7D88"/>
    <w:rsid w:val="008D7E4B"/>
    <w:rsid w:val="008D7F47"/>
    <w:rsid w:val="008D7F6F"/>
    <w:rsid w:val="008E001A"/>
    <w:rsid w:val="008E0022"/>
    <w:rsid w:val="008E005A"/>
    <w:rsid w:val="008E00C5"/>
    <w:rsid w:val="008E00CC"/>
    <w:rsid w:val="008E0257"/>
    <w:rsid w:val="008E02D7"/>
    <w:rsid w:val="008E02EF"/>
    <w:rsid w:val="008E04EC"/>
    <w:rsid w:val="008E0561"/>
    <w:rsid w:val="008E0584"/>
    <w:rsid w:val="008E0672"/>
    <w:rsid w:val="008E06B0"/>
    <w:rsid w:val="008E06E2"/>
    <w:rsid w:val="008E08B6"/>
    <w:rsid w:val="008E091B"/>
    <w:rsid w:val="008E0959"/>
    <w:rsid w:val="008E09A2"/>
    <w:rsid w:val="008E0A47"/>
    <w:rsid w:val="008E0AF1"/>
    <w:rsid w:val="008E0B2A"/>
    <w:rsid w:val="008E0B73"/>
    <w:rsid w:val="008E0CE1"/>
    <w:rsid w:val="008E0D33"/>
    <w:rsid w:val="008E0D35"/>
    <w:rsid w:val="008E0D94"/>
    <w:rsid w:val="008E0DA8"/>
    <w:rsid w:val="008E0F46"/>
    <w:rsid w:val="008E10D9"/>
    <w:rsid w:val="008E1142"/>
    <w:rsid w:val="008E115A"/>
    <w:rsid w:val="008E1178"/>
    <w:rsid w:val="008E11EB"/>
    <w:rsid w:val="008E1350"/>
    <w:rsid w:val="008E138F"/>
    <w:rsid w:val="008E149E"/>
    <w:rsid w:val="008E1602"/>
    <w:rsid w:val="008E169E"/>
    <w:rsid w:val="008E1787"/>
    <w:rsid w:val="008E1843"/>
    <w:rsid w:val="008E19EC"/>
    <w:rsid w:val="008E1A4C"/>
    <w:rsid w:val="008E1D79"/>
    <w:rsid w:val="008E1DCD"/>
    <w:rsid w:val="008E1F90"/>
    <w:rsid w:val="008E1FC8"/>
    <w:rsid w:val="008E203E"/>
    <w:rsid w:val="008E2079"/>
    <w:rsid w:val="008E20A1"/>
    <w:rsid w:val="008E21DC"/>
    <w:rsid w:val="008E2236"/>
    <w:rsid w:val="008E2289"/>
    <w:rsid w:val="008E22DE"/>
    <w:rsid w:val="008E2318"/>
    <w:rsid w:val="008E23F1"/>
    <w:rsid w:val="008E2666"/>
    <w:rsid w:val="008E26FB"/>
    <w:rsid w:val="008E2777"/>
    <w:rsid w:val="008E27D0"/>
    <w:rsid w:val="008E28FF"/>
    <w:rsid w:val="008E2A55"/>
    <w:rsid w:val="008E2ACA"/>
    <w:rsid w:val="008E2B21"/>
    <w:rsid w:val="008E2C2F"/>
    <w:rsid w:val="008E2C96"/>
    <w:rsid w:val="008E2CAC"/>
    <w:rsid w:val="008E2D29"/>
    <w:rsid w:val="008E2D43"/>
    <w:rsid w:val="008E2D5F"/>
    <w:rsid w:val="008E2E04"/>
    <w:rsid w:val="008E2E1B"/>
    <w:rsid w:val="008E2E44"/>
    <w:rsid w:val="008E2EA3"/>
    <w:rsid w:val="008E2EBB"/>
    <w:rsid w:val="008E2EBD"/>
    <w:rsid w:val="008E2F9F"/>
    <w:rsid w:val="008E2FB0"/>
    <w:rsid w:val="008E3031"/>
    <w:rsid w:val="008E3049"/>
    <w:rsid w:val="008E306A"/>
    <w:rsid w:val="008E30A3"/>
    <w:rsid w:val="008E30E1"/>
    <w:rsid w:val="008E30EE"/>
    <w:rsid w:val="008E3193"/>
    <w:rsid w:val="008E31B7"/>
    <w:rsid w:val="008E31C9"/>
    <w:rsid w:val="008E32C7"/>
    <w:rsid w:val="008E32D3"/>
    <w:rsid w:val="008E3392"/>
    <w:rsid w:val="008E3417"/>
    <w:rsid w:val="008E365E"/>
    <w:rsid w:val="008E36B2"/>
    <w:rsid w:val="008E3735"/>
    <w:rsid w:val="008E3921"/>
    <w:rsid w:val="008E3960"/>
    <w:rsid w:val="008E3AAD"/>
    <w:rsid w:val="008E3ABC"/>
    <w:rsid w:val="008E3B1A"/>
    <w:rsid w:val="008E3BA2"/>
    <w:rsid w:val="008E3CD7"/>
    <w:rsid w:val="008E3DDC"/>
    <w:rsid w:val="008E3E1C"/>
    <w:rsid w:val="008E3E8D"/>
    <w:rsid w:val="008E3F6E"/>
    <w:rsid w:val="008E3F7E"/>
    <w:rsid w:val="008E3FAF"/>
    <w:rsid w:val="008E3FE1"/>
    <w:rsid w:val="008E400C"/>
    <w:rsid w:val="008E4052"/>
    <w:rsid w:val="008E4129"/>
    <w:rsid w:val="008E41BF"/>
    <w:rsid w:val="008E4209"/>
    <w:rsid w:val="008E420C"/>
    <w:rsid w:val="008E43F4"/>
    <w:rsid w:val="008E44D0"/>
    <w:rsid w:val="008E44F9"/>
    <w:rsid w:val="008E457B"/>
    <w:rsid w:val="008E45C9"/>
    <w:rsid w:val="008E45CD"/>
    <w:rsid w:val="008E45E9"/>
    <w:rsid w:val="008E474B"/>
    <w:rsid w:val="008E4785"/>
    <w:rsid w:val="008E499F"/>
    <w:rsid w:val="008E4A19"/>
    <w:rsid w:val="008E4AE5"/>
    <w:rsid w:val="008E4AEA"/>
    <w:rsid w:val="008E4AFC"/>
    <w:rsid w:val="008E4B95"/>
    <w:rsid w:val="008E4C1E"/>
    <w:rsid w:val="008E4C89"/>
    <w:rsid w:val="008E4C95"/>
    <w:rsid w:val="008E4DD7"/>
    <w:rsid w:val="008E4E18"/>
    <w:rsid w:val="008E4E6C"/>
    <w:rsid w:val="008E4F28"/>
    <w:rsid w:val="008E4F2D"/>
    <w:rsid w:val="008E4FE3"/>
    <w:rsid w:val="008E5019"/>
    <w:rsid w:val="008E505B"/>
    <w:rsid w:val="008E505C"/>
    <w:rsid w:val="008E5175"/>
    <w:rsid w:val="008E51AF"/>
    <w:rsid w:val="008E51D3"/>
    <w:rsid w:val="008E5228"/>
    <w:rsid w:val="008E53F8"/>
    <w:rsid w:val="008E548A"/>
    <w:rsid w:val="008E5513"/>
    <w:rsid w:val="008E5557"/>
    <w:rsid w:val="008E556C"/>
    <w:rsid w:val="008E559C"/>
    <w:rsid w:val="008E5630"/>
    <w:rsid w:val="008E5668"/>
    <w:rsid w:val="008E56DC"/>
    <w:rsid w:val="008E56FF"/>
    <w:rsid w:val="008E571E"/>
    <w:rsid w:val="008E5825"/>
    <w:rsid w:val="008E586A"/>
    <w:rsid w:val="008E58A9"/>
    <w:rsid w:val="008E599C"/>
    <w:rsid w:val="008E59B6"/>
    <w:rsid w:val="008E5A32"/>
    <w:rsid w:val="008E5A7C"/>
    <w:rsid w:val="008E5A8A"/>
    <w:rsid w:val="008E5B84"/>
    <w:rsid w:val="008E5C24"/>
    <w:rsid w:val="008E6065"/>
    <w:rsid w:val="008E611B"/>
    <w:rsid w:val="008E6148"/>
    <w:rsid w:val="008E619A"/>
    <w:rsid w:val="008E6203"/>
    <w:rsid w:val="008E6287"/>
    <w:rsid w:val="008E6309"/>
    <w:rsid w:val="008E6327"/>
    <w:rsid w:val="008E63B0"/>
    <w:rsid w:val="008E649E"/>
    <w:rsid w:val="008E64B8"/>
    <w:rsid w:val="008E64C1"/>
    <w:rsid w:val="008E64E2"/>
    <w:rsid w:val="008E65D6"/>
    <w:rsid w:val="008E6613"/>
    <w:rsid w:val="008E662B"/>
    <w:rsid w:val="008E669A"/>
    <w:rsid w:val="008E6763"/>
    <w:rsid w:val="008E67B7"/>
    <w:rsid w:val="008E68E4"/>
    <w:rsid w:val="008E68F1"/>
    <w:rsid w:val="008E6A92"/>
    <w:rsid w:val="008E6AE5"/>
    <w:rsid w:val="008E6B48"/>
    <w:rsid w:val="008E6B53"/>
    <w:rsid w:val="008E6B78"/>
    <w:rsid w:val="008E6BFD"/>
    <w:rsid w:val="008E6C17"/>
    <w:rsid w:val="008E6C78"/>
    <w:rsid w:val="008E6E98"/>
    <w:rsid w:val="008E6EA2"/>
    <w:rsid w:val="008E6F74"/>
    <w:rsid w:val="008E6F93"/>
    <w:rsid w:val="008E70D4"/>
    <w:rsid w:val="008E72D8"/>
    <w:rsid w:val="008E7359"/>
    <w:rsid w:val="008E73A4"/>
    <w:rsid w:val="008E7467"/>
    <w:rsid w:val="008E74A2"/>
    <w:rsid w:val="008E754C"/>
    <w:rsid w:val="008E7561"/>
    <w:rsid w:val="008E777E"/>
    <w:rsid w:val="008E786E"/>
    <w:rsid w:val="008E78BA"/>
    <w:rsid w:val="008E78CB"/>
    <w:rsid w:val="008E79FF"/>
    <w:rsid w:val="008E7A44"/>
    <w:rsid w:val="008E7B41"/>
    <w:rsid w:val="008E7B9D"/>
    <w:rsid w:val="008E7C05"/>
    <w:rsid w:val="008E7C76"/>
    <w:rsid w:val="008E7D12"/>
    <w:rsid w:val="008E7DC7"/>
    <w:rsid w:val="008E7DCC"/>
    <w:rsid w:val="008F0023"/>
    <w:rsid w:val="008F018F"/>
    <w:rsid w:val="008F02D8"/>
    <w:rsid w:val="008F02F0"/>
    <w:rsid w:val="008F02FD"/>
    <w:rsid w:val="008F032E"/>
    <w:rsid w:val="008F033D"/>
    <w:rsid w:val="008F038A"/>
    <w:rsid w:val="008F03D1"/>
    <w:rsid w:val="008F04A5"/>
    <w:rsid w:val="008F04A9"/>
    <w:rsid w:val="008F0554"/>
    <w:rsid w:val="008F067E"/>
    <w:rsid w:val="008F0711"/>
    <w:rsid w:val="008F0759"/>
    <w:rsid w:val="008F07F3"/>
    <w:rsid w:val="008F086A"/>
    <w:rsid w:val="008F0897"/>
    <w:rsid w:val="008F0B1A"/>
    <w:rsid w:val="008F0BEF"/>
    <w:rsid w:val="008F0C04"/>
    <w:rsid w:val="008F0E32"/>
    <w:rsid w:val="008F0E89"/>
    <w:rsid w:val="008F0ED9"/>
    <w:rsid w:val="008F0F4E"/>
    <w:rsid w:val="008F1049"/>
    <w:rsid w:val="008F1073"/>
    <w:rsid w:val="008F10A8"/>
    <w:rsid w:val="008F10DF"/>
    <w:rsid w:val="008F110F"/>
    <w:rsid w:val="008F116E"/>
    <w:rsid w:val="008F117B"/>
    <w:rsid w:val="008F11EE"/>
    <w:rsid w:val="008F13E3"/>
    <w:rsid w:val="008F1750"/>
    <w:rsid w:val="008F176B"/>
    <w:rsid w:val="008F183F"/>
    <w:rsid w:val="008F1849"/>
    <w:rsid w:val="008F1860"/>
    <w:rsid w:val="008F18F1"/>
    <w:rsid w:val="008F19A4"/>
    <w:rsid w:val="008F19E7"/>
    <w:rsid w:val="008F19ED"/>
    <w:rsid w:val="008F1A49"/>
    <w:rsid w:val="008F1ACB"/>
    <w:rsid w:val="008F1B6E"/>
    <w:rsid w:val="008F1BD7"/>
    <w:rsid w:val="008F1BDB"/>
    <w:rsid w:val="008F1DEC"/>
    <w:rsid w:val="008F1E41"/>
    <w:rsid w:val="008F1E5F"/>
    <w:rsid w:val="008F1FE7"/>
    <w:rsid w:val="008F2011"/>
    <w:rsid w:val="008F20E1"/>
    <w:rsid w:val="008F214E"/>
    <w:rsid w:val="008F21BD"/>
    <w:rsid w:val="008F2207"/>
    <w:rsid w:val="008F2223"/>
    <w:rsid w:val="008F22DF"/>
    <w:rsid w:val="008F231D"/>
    <w:rsid w:val="008F23E3"/>
    <w:rsid w:val="008F24E7"/>
    <w:rsid w:val="008F24F2"/>
    <w:rsid w:val="008F2508"/>
    <w:rsid w:val="008F259D"/>
    <w:rsid w:val="008F25EF"/>
    <w:rsid w:val="008F2705"/>
    <w:rsid w:val="008F2728"/>
    <w:rsid w:val="008F2744"/>
    <w:rsid w:val="008F29B8"/>
    <w:rsid w:val="008F2A25"/>
    <w:rsid w:val="008F2CE2"/>
    <w:rsid w:val="008F2DFC"/>
    <w:rsid w:val="008F2EDA"/>
    <w:rsid w:val="008F2FC5"/>
    <w:rsid w:val="008F2FD9"/>
    <w:rsid w:val="008F3023"/>
    <w:rsid w:val="008F3030"/>
    <w:rsid w:val="008F306B"/>
    <w:rsid w:val="008F308F"/>
    <w:rsid w:val="008F30C9"/>
    <w:rsid w:val="008F30D5"/>
    <w:rsid w:val="008F31AD"/>
    <w:rsid w:val="008F328C"/>
    <w:rsid w:val="008F32B4"/>
    <w:rsid w:val="008F3349"/>
    <w:rsid w:val="008F3353"/>
    <w:rsid w:val="008F3556"/>
    <w:rsid w:val="008F372E"/>
    <w:rsid w:val="008F373C"/>
    <w:rsid w:val="008F39FE"/>
    <w:rsid w:val="008F3B13"/>
    <w:rsid w:val="008F3BAC"/>
    <w:rsid w:val="008F3C1D"/>
    <w:rsid w:val="008F3C51"/>
    <w:rsid w:val="008F3C65"/>
    <w:rsid w:val="008F3D1C"/>
    <w:rsid w:val="008F3DEC"/>
    <w:rsid w:val="008F3F11"/>
    <w:rsid w:val="008F3F4D"/>
    <w:rsid w:val="008F3FC2"/>
    <w:rsid w:val="008F3FC5"/>
    <w:rsid w:val="008F4039"/>
    <w:rsid w:val="008F41A0"/>
    <w:rsid w:val="008F41D1"/>
    <w:rsid w:val="008F420C"/>
    <w:rsid w:val="008F4436"/>
    <w:rsid w:val="008F449C"/>
    <w:rsid w:val="008F44DA"/>
    <w:rsid w:val="008F450A"/>
    <w:rsid w:val="008F46C4"/>
    <w:rsid w:val="008F47EA"/>
    <w:rsid w:val="008F4849"/>
    <w:rsid w:val="008F49C8"/>
    <w:rsid w:val="008F4A6E"/>
    <w:rsid w:val="008F4B20"/>
    <w:rsid w:val="008F4B82"/>
    <w:rsid w:val="008F4C01"/>
    <w:rsid w:val="008F4D68"/>
    <w:rsid w:val="008F4D9A"/>
    <w:rsid w:val="008F4DC7"/>
    <w:rsid w:val="008F4E0B"/>
    <w:rsid w:val="008F4EA6"/>
    <w:rsid w:val="008F4F86"/>
    <w:rsid w:val="008F505D"/>
    <w:rsid w:val="008F50D2"/>
    <w:rsid w:val="008F50F6"/>
    <w:rsid w:val="008F51A3"/>
    <w:rsid w:val="008F52B9"/>
    <w:rsid w:val="008F5421"/>
    <w:rsid w:val="008F5477"/>
    <w:rsid w:val="008F5564"/>
    <w:rsid w:val="008F56A9"/>
    <w:rsid w:val="008F57F2"/>
    <w:rsid w:val="008F5855"/>
    <w:rsid w:val="008F5A30"/>
    <w:rsid w:val="008F5A52"/>
    <w:rsid w:val="008F5A93"/>
    <w:rsid w:val="008F5B0C"/>
    <w:rsid w:val="008F5B4B"/>
    <w:rsid w:val="008F5B83"/>
    <w:rsid w:val="008F5BA1"/>
    <w:rsid w:val="008F5BC1"/>
    <w:rsid w:val="008F5D27"/>
    <w:rsid w:val="008F5DAD"/>
    <w:rsid w:val="008F5ED9"/>
    <w:rsid w:val="008F5F5B"/>
    <w:rsid w:val="008F5F69"/>
    <w:rsid w:val="008F6020"/>
    <w:rsid w:val="008F6099"/>
    <w:rsid w:val="008F60B1"/>
    <w:rsid w:val="008F61D4"/>
    <w:rsid w:val="008F62A3"/>
    <w:rsid w:val="008F6391"/>
    <w:rsid w:val="008F63BD"/>
    <w:rsid w:val="008F640B"/>
    <w:rsid w:val="008F6449"/>
    <w:rsid w:val="008F64F0"/>
    <w:rsid w:val="008F656D"/>
    <w:rsid w:val="008F6681"/>
    <w:rsid w:val="008F673A"/>
    <w:rsid w:val="008F6873"/>
    <w:rsid w:val="008F68BA"/>
    <w:rsid w:val="008F68D8"/>
    <w:rsid w:val="008F68FE"/>
    <w:rsid w:val="008F6906"/>
    <w:rsid w:val="008F6911"/>
    <w:rsid w:val="008F69C3"/>
    <w:rsid w:val="008F69F8"/>
    <w:rsid w:val="008F69FB"/>
    <w:rsid w:val="008F6B08"/>
    <w:rsid w:val="008F6B15"/>
    <w:rsid w:val="008F6BBD"/>
    <w:rsid w:val="008F6BD7"/>
    <w:rsid w:val="008F6BE8"/>
    <w:rsid w:val="008F6C63"/>
    <w:rsid w:val="008F6D91"/>
    <w:rsid w:val="008F6F5A"/>
    <w:rsid w:val="008F6FC6"/>
    <w:rsid w:val="008F6FDD"/>
    <w:rsid w:val="008F6FE5"/>
    <w:rsid w:val="008F7032"/>
    <w:rsid w:val="008F709F"/>
    <w:rsid w:val="008F70C3"/>
    <w:rsid w:val="008F7170"/>
    <w:rsid w:val="008F717E"/>
    <w:rsid w:val="008F728F"/>
    <w:rsid w:val="008F72DF"/>
    <w:rsid w:val="008F736E"/>
    <w:rsid w:val="008F750A"/>
    <w:rsid w:val="008F77A9"/>
    <w:rsid w:val="008F78C1"/>
    <w:rsid w:val="008F7964"/>
    <w:rsid w:val="008F7991"/>
    <w:rsid w:val="008F79AB"/>
    <w:rsid w:val="008F7B50"/>
    <w:rsid w:val="008F7C11"/>
    <w:rsid w:val="008F7D89"/>
    <w:rsid w:val="008F7DB0"/>
    <w:rsid w:val="008F7DF0"/>
    <w:rsid w:val="008F7DFB"/>
    <w:rsid w:val="008F7E24"/>
    <w:rsid w:val="008F7E38"/>
    <w:rsid w:val="008F7F47"/>
    <w:rsid w:val="008F7F9C"/>
    <w:rsid w:val="009000A7"/>
    <w:rsid w:val="009000B6"/>
    <w:rsid w:val="009000E0"/>
    <w:rsid w:val="00900127"/>
    <w:rsid w:val="00900182"/>
    <w:rsid w:val="009001EA"/>
    <w:rsid w:val="00900218"/>
    <w:rsid w:val="0090022C"/>
    <w:rsid w:val="009002E1"/>
    <w:rsid w:val="00900330"/>
    <w:rsid w:val="009003E4"/>
    <w:rsid w:val="00900476"/>
    <w:rsid w:val="00900600"/>
    <w:rsid w:val="00900675"/>
    <w:rsid w:val="00900689"/>
    <w:rsid w:val="009006A6"/>
    <w:rsid w:val="009006C8"/>
    <w:rsid w:val="0090082D"/>
    <w:rsid w:val="009008B1"/>
    <w:rsid w:val="00900964"/>
    <w:rsid w:val="00900970"/>
    <w:rsid w:val="009009D1"/>
    <w:rsid w:val="00900B8C"/>
    <w:rsid w:val="00900CA5"/>
    <w:rsid w:val="00900DB1"/>
    <w:rsid w:val="00900E07"/>
    <w:rsid w:val="00900EFD"/>
    <w:rsid w:val="00900F37"/>
    <w:rsid w:val="00901243"/>
    <w:rsid w:val="00901246"/>
    <w:rsid w:val="009012AA"/>
    <w:rsid w:val="0090137D"/>
    <w:rsid w:val="0090139E"/>
    <w:rsid w:val="009014EA"/>
    <w:rsid w:val="0090166C"/>
    <w:rsid w:val="009016C7"/>
    <w:rsid w:val="009016D7"/>
    <w:rsid w:val="009017EB"/>
    <w:rsid w:val="00901973"/>
    <w:rsid w:val="009019DF"/>
    <w:rsid w:val="009019F1"/>
    <w:rsid w:val="00901A63"/>
    <w:rsid w:val="00901B67"/>
    <w:rsid w:val="00901BDE"/>
    <w:rsid w:val="00901BF3"/>
    <w:rsid w:val="00901D18"/>
    <w:rsid w:val="00901D42"/>
    <w:rsid w:val="00901E28"/>
    <w:rsid w:val="00901EA9"/>
    <w:rsid w:val="00901F33"/>
    <w:rsid w:val="00901F9D"/>
    <w:rsid w:val="0090204E"/>
    <w:rsid w:val="0090213B"/>
    <w:rsid w:val="00902178"/>
    <w:rsid w:val="00902193"/>
    <w:rsid w:val="009023DF"/>
    <w:rsid w:val="009024DA"/>
    <w:rsid w:val="0090259D"/>
    <w:rsid w:val="009025F0"/>
    <w:rsid w:val="009026C3"/>
    <w:rsid w:val="009027C8"/>
    <w:rsid w:val="00902933"/>
    <w:rsid w:val="0090298F"/>
    <w:rsid w:val="00902A29"/>
    <w:rsid w:val="00902B13"/>
    <w:rsid w:val="00902C6B"/>
    <w:rsid w:val="00902C82"/>
    <w:rsid w:val="00902D1D"/>
    <w:rsid w:val="00902D52"/>
    <w:rsid w:val="00902D60"/>
    <w:rsid w:val="00902D8C"/>
    <w:rsid w:val="00902E1C"/>
    <w:rsid w:val="00902EF9"/>
    <w:rsid w:val="00902F55"/>
    <w:rsid w:val="00902FAA"/>
    <w:rsid w:val="009030B0"/>
    <w:rsid w:val="00903111"/>
    <w:rsid w:val="0090335A"/>
    <w:rsid w:val="0090336C"/>
    <w:rsid w:val="009033BA"/>
    <w:rsid w:val="0090345D"/>
    <w:rsid w:val="009035AA"/>
    <w:rsid w:val="0090365D"/>
    <w:rsid w:val="009036AD"/>
    <w:rsid w:val="00903714"/>
    <w:rsid w:val="0090372C"/>
    <w:rsid w:val="009037C9"/>
    <w:rsid w:val="00903A3E"/>
    <w:rsid w:val="00903A5C"/>
    <w:rsid w:val="00903AC3"/>
    <w:rsid w:val="00903AFD"/>
    <w:rsid w:val="00903BA4"/>
    <w:rsid w:val="00903BDF"/>
    <w:rsid w:val="00903CAA"/>
    <w:rsid w:val="00903CD7"/>
    <w:rsid w:val="00903D20"/>
    <w:rsid w:val="00903D8E"/>
    <w:rsid w:val="00903EEE"/>
    <w:rsid w:val="00903F52"/>
    <w:rsid w:val="00903FE2"/>
    <w:rsid w:val="0090412E"/>
    <w:rsid w:val="00904163"/>
    <w:rsid w:val="00904204"/>
    <w:rsid w:val="00904216"/>
    <w:rsid w:val="0090424F"/>
    <w:rsid w:val="0090428B"/>
    <w:rsid w:val="009043F3"/>
    <w:rsid w:val="00904414"/>
    <w:rsid w:val="0090444F"/>
    <w:rsid w:val="009044BC"/>
    <w:rsid w:val="009044CE"/>
    <w:rsid w:val="00904536"/>
    <w:rsid w:val="009045BF"/>
    <w:rsid w:val="009045EE"/>
    <w:rsid w:val="0090461F"/>
    <w:rsid w:val="0090465D"/>
    <w:rsid w:val="009046FB"/>
    <w:rsid w:val="00904719"/>
    <w:rsid w:val="0090475B"/>
    <w:rsid w:val="0090478A"/>
    <w:rsid w:val="00904847"/>
    <w:rsid w:val="009049DB"/>
    <w:rsid w:val="00904A90"/>
    <w:rsid w:val="00904AB2"/>
    <w:rsid w:val="00904B01"/>
    <w:rsid w:val="00904BA5"/>
    <w:rsid w:val="00904BCB"/>
    <w:rsid w:val="00904BF7"/>
    <w:rsid w:val="00904D42"/>
    <w:rsid w:val="00904D4E"/>
    <w:rsid w:val="00904E94"/>
    <w:rsid w:val="00904EED"/>
    <w:rsid w:val="00904FB2"/>
    <w:rsid w:val="00904FC6"/>
    <w:rsid w:val="009053DB"/>
    <w:rsid w:val="0090559F"/>
    <w:rsid w:val="009055AF"/>
    <w:rsid w:val="00905637"/>
    <w:rsid w:val="009056F1"/>
    <w:rsid w:val="00905755"/>
    <w:rsid w:val="00905845"/>
    <w:rsid w:val="00905983"/>
    <w:rsid w:val="00905987"/>
    <w:rsid w:val="00905A08"/>
    <w:rsid w:val="00905AA4"/>
    <w:rsid w:val="00905B64"/>
    <w:rsid w:val="00905C3D"/>
    <w:rsid w:val="00905D2B"/>
    <w:rsid w:val="00905D8A"/>
    <w:rsid w:val="00905DC4"/>
    <w:rsid w:val="00905E4B"/>
    <w:rsid w:val="00905FA3"/>
    <w:rsid w:val="00905FDF"/>
    <w:rsid w:val="00906003"/>
    <w:rsid w:val="009060D7"/>
    <w:rsid w:val="009062AE"/>
    <w:rsid w:val="009062D2"/>
    <w:rsid w:val="00906341"/>
    <w:rsid w:val="009063CD"/>
    <w:rsid w:val="00906403"/>
    <w:rsid w:val="0090640B"/>
    <w:rsid w:val="00906497"/>
    <w:rsid w:val="0090650A"/>
    <w:rsid w:val="009065B5"/>
    <w:rsid w:val="00906630"/>
    <w:rsid w:val="00906648"/>
    <w:rsid w:val="00906655"/>
    <w:rsid w:val="00906687"/>
    <w:rsid w:val="00906712"/>
    <w:rsid w:val="0090671D"/>
    <w:rsid w:val="00906727"/>
    <w:rsid w:val="009068A9"/>
    <w:rsid w:val="009069FC"/>
    <w:rsid w:val="00906A31"/>
    <w:rsid w:val="00906AC2"/>
    <w:rsid w:val="00906AD9"/>
    <w:rsid w:val="00906B2A"/>
    <w:rsid w:val="00906C4B"/>
    <w:rsid w:val="00906D0B"/>
    <w:rsid w:val="00906E22"/>
    <w:rsid w:val="00906ED4"/>
    <w:rsid w:val="00906F63"/>
    <w:rsid w:val="0090708D"/>
    <w:rsid w:val="009070E3"/>
    <w:rsid w:val="0090712B"/>
    <w:rsid w:val="00907142"/>
    <w:rsid w:val="0090728D"/>
    <w:rsid w:val="009073B8"/>
    <w:rsid w:val="00907429"/>
    <w:rsid w:val="00907479"/>
    <w:rsid w:val="00907499"/>
    <w:rsid w:val="0090751C"/>
    <w:rsid w:val="00907572"/>
    <w:rsid w:val="00907629"/>
    <w:rsid w:val="0090764E"/>
    <w:rsid w:val="00907756"/>
    <w:rsid w:val="0090777C"/>
    <w:rsid w:val="009078E3"/>
    <w:rsid w:val="00907A7A"/>
    <w:rsid w:val="00907BB3"/>
    <w:rsid w:val="00907C19"/>
    <w:rsid w:val="00907D20"/>
    <w:rsid w:val="00907DE4"/>
    <w:rsid w:val="00907EFA"/>
    <w:rsid w:val="00907F76"/>
    <w:rsid w:val="00907F97"/>
    <w:rsid w:val="0091000C"/>
    <w:rsid w:val="00910029"/>
    <w:rsid w:val="0091003D"/>
    <w:rsid w:val="00910089"/>
    <w:rsid w:val="009101E1"/>
    <w:rsid w:val="009102A5"/>
    <w:rsid w:val="009102A7"/>
    <w:rsid w:val="009103A5"/>
    <w:rsid w:val="0091041C"/>
    <w:rsid w:val="009104FA"/>
    <w:rsid w:val="00910570"/>
    <w:rsid w:val="009105D1"/>
    <w:rsid w:val="009105F8"/>
    <w:rsid w:val="00910682"/>
    <w:rsid w:val="009106E5"/>
    <w:rsid w:val="009108CA"/>
    <w:rsid w:val="00910AB7"/>
    <w:rsid w:val="00910B43"/>
    <w:rsid w:val="00910D67"/>
    <w:rsid w:val="00910DA6"/>
    <w:rsid w:val="00910DEC"/>
    <w:rsid w:val="00910E27"/>
    <w:rsid w:val="00910EB7"/>
    <w:rsid w:val="00910F5D"/>
    <w:rsid w:val="00910FFB"/>
    <w:rsid w:val="009111B4"/>
    <w:rsid w:val="00911322"/>
    <w:rsid w:val="00911575"/>
    <w:rsid w:val="009115D1"/>
    <w:rsid w:val="0091162C"/>
    <w:rsid w:val="00911655"/>
    <w:rsid w:val="009116E4"/>
    <w:rsid w:val="009118B4"/>
    <w:rsid w:val="00911917"/>
    <w:rsid w:val="00911927"/>
    <w:rsid w:val="00911958"/>
    <w:rsid w:val="00911A67"/>
    <w:rsid w:val="00911B3D"/>
    <w:rsid w:val="00911BEA"/>
    <w:rsid w:val="00911BF7"/>
    <w:rsid w:val="00911CDA"/>
    <w:rsid w:val="00911D86"/>
    <w:rsid w:val="00911D92"/>
    <w:rsid w:val="00911E27"/>
    <w:rsid w:val="00912156"/>
    <w:rsid w:val="00912237"/>
    <w:rsid w:val="00912331"/>
    <w:rsid w:val="009125BD"/>
    <w:rsid w:val="0091263B"/>
    <w:rsid w:val="0091272F"/>
    <w:rsid w:val="00912832"/>
    <w:rsid w:val="00912920"/>
    <w:rsid w:val="00912A19"/>
    <w:rsid w:val="00912A45"/>
    <w:rsid w:val="00912A75"/>
    <w:rsid w:val="00912AC6"/>
    <w:rsid w:val="00912B25"/>
    <w:rsid w:val="00912B84"/>
    <w:rsid w:val="00912D68"/>
    <w:rsid w:val="00912ED2"/>
    <w:rsid w:val="00912FC1"/>
    <w:rsid w:val="0091308D"/>
    <w:rsid w:val="009131CC"/>
    <w:rsid w:val="0091339B"/>
    <w:rsid w:val="009133E6"/>
    <w:rsid w:val="0091342E"/>
    <w:rsid w:val="009134D8"/>
    <w:rsid w:val="00913594"/>
    <w:rsid w:val="0091363F"/>
    <w:rsid w:val="0091366A"/>
    <w:rsid w:val="009136B0"/>
    <w:rsid w:val="00913728"/>
    <w:rsid w:val="00913745"/>
    <w:rsid w:val="00913860"/>
    <w:rsid w:val="0091387D"/>
    <w:rsid w:val="009138C1"/>
    <w:rsid w:val="009138FA"/>
    <w:rsid w:val="00913930"/>
    <w:rsid w:val="00913963"/>
    <w:rsid w:val="00913AB3"/>
    <w:rsid w:val="00913B4C"/>
    <w:rsid w:val="00913BC2"/>
    <w:rsid w:val="00913BDA"/>
    <w:rsid w:val="00913C73"/>
    <w:rsid w:val="00913CDC"/>
    <w:rsid w:val="00913D15"/>
    <w:rsid w:val="00913D65"/>
    <w:rsid w:val="00913D8F"/>
    <w:rsid w:val="00913E3F"/>
    <w:rsid w:val="00913E8B"/>
    <w:rsid w:val="00913EFD"/>
    <w:rsid w:val="00913F69"/>
    <w:rsid w:val="00914060"/>
    <w:rsid w:val="009140A5"/>
    <w:rsid w:val="009141EB"/>
    <w:rsid w:val="009142AC"/>
    <w:rsid w:val="0091435C"/>
    <w:rsid w:val="009143D2"/>
    <w:rsid w:val="00914403"/>
    <w:rsid w:val="0091444F"/>
    <w:rsid w:val="009144B5"/>
    <w:rsid w:val="009144DA"/>
    <w:rsid w:val="0091459F"/>
    <w:rsid w:val="009146F6"/>
    <w:rsid w:val="00914724"/>
    <w:rsid w:val="009148B4"/>
    <w:rsid w:val="00914908"/>
    <w:rsid w:val="0091490F"/>
    <w:rsid w:val="0091494A"/>
    <w:rsid w:val="00914B31"/>
    <w:rsid w:val="00914B3A"/>
    <w:rsid w:val="00914B8F"/>
    <w:rsid w:val="00914C27"/>
    <w:rsid w:val="00914CF9"/>
    <w:rsid w:val="00914DE4"/>
    <w:rsid w:val="00914EF7"/>
    <w:rsid w:val="00914FC7"/>
    <w:rsid w:val="009152D6"/>
    <w:rsid w:val="0091532A"/>
    <w:rsid w:val="00915352"/>
    <w:rsid w:val="009153D8"/>
    <w:rsid w:val="009154D6"/>
    <w:rsid w:val="00915568"/>
    <w:rsid w:val="009156A8"/>
    <w:rsid w:val="0091581E"/>
    <w:rsid w:val="00915863"/>
    <w:rsid w:val="00915969"/>
    <w:rsid w:val="00915A88"/>
    <w:rsid w:val="00915AE4"/>
    <w:rsid w:val="00915B23"/>
    <w:rsid w:val="00915CF7"/>
    <w:rsid w:val="00915DB2"/>
    <w:rsid w:val="00915E80"/>
    <w:rsid w:val="00915F86"/>
    <w:rsid w:val="00915FD5"/>
    <w:rsid w:val="0091602C"/>
    <w:rsid w:val="009164BD"/>
    <w:rsid w:val="009165AE"/>
    <w:rsid w:val="009165AF"/>
    <w:rsid w:val="009165D8"/>
    <w:rsid w:val="0091666E"/>
    <w:rsid w:val="009166A8"/>
    <w:rsid w:val="0091677B"/>
    <w:rsid w:val="009167A1"/>
    <w:rsid w:val="009167E3"/>
    <w:rsid w:val="009168E3"/>
    <w:rsid w:val="0091690E"/>
    <w:rsid w:val="00916961"/>
    <w:rsid w:val="00916A10"/>
    <w:rsid w:val="00916C98"/>
    <w:rsid w:val="00916E2A"/>
    <w:rsid w:val="00916ED7"/>
    <w:rsid w:val="00916F5D"/>
    <w:rsid w:val="00917040"/>
    <w:rsid w:val="00917153"/>
    <w:rsid w:val="009171A4"/>
    <w:rsid w:val="009171C9"/>
    <w:rsid w:val="00917265"/>
    <w:rsid w:val="0091727D"/>
    <w:rsid w:val="00917361"/>
    <w:rsid w:val="0091750F"/>
    <w:rsid w:val="00917540"/>
    <w:rsid w:val="00917589"/>
    <w:rsid w:val="0091759D"/>
    <w:rsid w:val="0091778C"/>
    <w:rsid w:val="009177F4"/>
    <w:rsid w:val="00917829"/>
    <w:rsid w:val="00917848"/>
    <w:rsid w:val="00917A27"/>
    <w:rsid w:val="00917A75"/>
    <w:rsid w:val="00917B28"/>
    <w:rsid w:val="00917C7B"/>
    <w:rsid w:val="00917CA3"/>
    <w:rsid w:val="00917CBB"/>
    <w:rsid w:val="00917CC5"/>
    <w:rsid w:val="00917D69"/>
    <w:rsid w:val="00917D91"/>
    <w:rsid w:val="00917EFC"/>
    <w:rsid w:val="00917F68"/>
    <w:rsid w:val="00917FA9"/>
    <w:rsid w:val="00917FE8"/>
    <w:rsid w:val="0092007A"/>
    <w:rsid w:val="00920148"/>
    <w:rsid w:val="0092018D"/>
    <w:rsid w:val="009201BF"/>
    <w:rsid w:val="00920308"/>
    <w:rsid w:val="0092034B"/>
    <w:rsid w:val="0092040C"/>
    <w:rsid w:val="009204D8"/>
    <w:rsid w:val="00920738"/>
    <w:rsid w:val="00920794"/>
    <w:rsid w:val="009207C3"/>
    <w:rsid w:val="00920845"/>
    <w:rsid w:val="009209CF"/>
    <w:rsid w:val="00920A4B"/>
    <w:rsid w:val="00920A74"/>
    <w:rsid w:val="00920AA1"/>
    <w:rsid w:val="00920B7C"/>
    <w:rsid w:val="00920BFF"/>
    <w:rsid w:val="00920C65"/>
    <w:rsid w:val="00920CB1"/>
    <w:rsid w:val="00920D57"/>
    <w:rsid w:val="00920DE5"/>
    <w:rsid w:val="00920DF5"/>
    <w:rsid w:val="00920F8F"/>
    <w:rsid w:val="009211D6"/>
    <w:rsid w:val="009211EA"/>
    <w:rsid w:val="009211F4"/>
    <w:rsid w:val="00921233"/>
    <w:rsid w:val="0092133F"/>
    <w:rsid w:val="0092136A"/>
    <w:rsid w:val="00921559"/>
    <w:rsid w:val="00921710"/>
    <w:rsid w:val="0092175F"/>
    <w:rsid w:val="009217D8"/>
    <w:rsid w:val="00921876"/>
    <w:rsid w:val="00921899"/>
    <w:rsid w:val="009218BA"/>
    <w:rsid w:val="00921A99"/>
    <w:rsid w:val="00921AEB"/>
    <w:rsid w:val="00921B22"/>
    <w:rsid w:val="00921B2B"/>
    <w:rsid w:val="00921B5C"/>
    <w:rsid w:val="00921C3C"/>
    <w:rsid w:val="00921D30"/>
    <w:rsid w:val="00921E06"/>
    <w:rsid w:val="00921E5C"/>
    <w:rsid w:val="00921E75"/>
    <w:rsid w:val="00921FD4"/>
    <w:rsid w:val="0092216A"/>
    <w:rsid w:val="00922231"/>
    <w:rsid w:val="00922358"/>
    <w:rsid w:val="00922484"/>
    <w:rsid w:val="00922485"/>
    <w:rsid w:val="00922583"/>
    <w:rsid w:val="009226BC"/>
    <w:rsid w:val="009227DA"/>
    <w:rsid w:val="009228DC"/>
    <w:rsid w:val="009229FB"/>
    <w:rsid w:val="00922A4C"/>
    <w:rsid w:val="00922A8C"/>
    <w:rsid w:val="00922B61"/>
    <w:rsid w:val="00922B70"/>
    <w:rsid w:val="00922B82"/>
    <w:rsid w:val="00922C3C"/>
    <w:rsid w:val="00922E70"/>
    <w:rsid w:val="00922EA5"/>
    <w:rsid w:val="00922F74"/>
    <w:rsid w:val="00922FF2"/>
    <w:rsid w:val="009230A7"/>
    <w:rsid w:val="009230ED"/>
    <w:rsid w:val="00923102"/>
    <w:rsid w:val="009231CF"/>
    <w:rsid w:val="00923399"/>
    <w:rsid w:val="009233DB"/>
    <w:rsid w:val="00923445"/>
    <w:rsid w:val="009234C8"/>
    <w:rsid w:val="009234DC"/>
    <w:rsid w:val="00923564"/>
    <w:rsid w:val="009235B2"/>
    <w:rsid w:val="009235DB"/>
    <w:rsid w:val="009235EB"/>
    <w:rsid w:val="0092364E"/>
    <w:rsid w:val="009237B4"/>
    <w:rsid w:val="009237C2"/>
    <w:rsid w:val="0092384E"/>
    <w:rsid w:val="00923996"/>
    <w:rsid w:val="009239F7"/>
    <w:rsid w:val="00923AD6"/>
    <w:rsid w:val="00923C8A"/>
    <w:rsid w:val="00923D17"/>
    <w:rsid w:val="00923EA9"/>
    <w:rsid w:val="00923EB5"/>
    <w:rsid w:val="0092411D"/>
    <w:rsid w:val="00924221"/>
    <w:rsid w:val="0092423B"/>
    <w:rsid w:val="009242CF"/>
    <w:rsid w:val="009242FD"/>
    <w:rsid w:val="00924449"/>
    <w:rsid w:val="009246DD"/>
    <w:rsid w:val="0092480B"/>
    <w:rsid w:val="009248F6"/>
    <w:rsid w:val="00924979"/>
    <w:rsid w:val="00924A3E"/>
    <w:rsid w:val="00924A92"/>
    <w:rsid w:val="00924AFC"/>
    <w:rsid w:val="00924B29"/>
    <w:rsid w:val="00924B49"/>
    <w:rsid w:val="00924B82"/>
    <w:rsid w:val="00924C3E"/>
    <w:rsid w:val="00924C8A"/>
    <w:rsid w:val="00924DB1"/>
    <w:rsid w:val="00924F50"/>
    <w:rsid w:val="00924F8A"/>
    <w:rsid w:val="00924FAF"/>
    <w:rsid w:val="00925047"/>
    <w:rsid w:val="009250E0"/>
    <w:rsid w:val="0092529F"/>
    <w:rsid w:val="009252BB"/>
    <w:rsid w:val="009252C7"/>
    <w:rsid w:val="00925363"/>
    <w:rsid w:val="0092545F"/>
    <w:rsid w:val="009254F8"/>
    <w:rsid w:val="009255B8"/>
    <w:rsid w:val="0092561E"/>
    <w:rsid w:val="00925712"/>
    <w:rsid w:val="00925746"/>
    <w:rsid w:val="00925753"/>
    <w:rsid w:val="0092585D"/>
    <w:rsid w:val="00925957"/>
    <w:rsid w:val="00925989"/>
    <w:rsid w:val="00925AD7"/>
    <w:rsid w:val="00925AF9"/>
    <w:rsid w:val="00925B3A"/>
    <w:rsid w:val="00925B99"/>
    <w:rsid w:val="00925C1B"/>
    <w:rsid w:val="00925C35"/>
    <w:rsid w:val="00925E86"/>
    <w:rsid w:val="00925EDB"/>
    <w:rsid w:val="00925EE3"/>
    <w:rsid w:val="00925FF8"/>
    <w:rsid w:val="00926052"/>
    <w:rsid w:val="00926158"/>
    <w:rsid w:val="00926163"/>
    <w:rsid w:val="0092618C"/>
    <w:rsid w:val="009262AD"/>
    <w:rsid w:val="0092634F"/>
    <w:rsid w:val="009265E9"/>
    <w:rsid w:val="00926895"/>
    <w:rsid w:val="009268F9"/>
    <w:rsid w:val="009268FD"/>
    <w:rsid w:val="0092699D"/>
    <w:rsid w:val="009269BC"/>
    <w:rsid w:val="00926AD3"/>
    <w:rsid w:val="00926AE4"/>
    <w:rsid w:val="00926C8B"/>
    <w:rsid w:val="00926D07"/>
    <w:rsid w:val="00926E69"/>
    <w:rsid w:val="00926F0C"/>
    <w:rsid w:val="00926F8E"/>
    <w:rsid w:val="009270AF"/>
    <w:rsid w:val="009270FB"/>
    <w:rsid w:val="0092719C"/>
    <w:rsid w:val="00927380"/>
    <w:rsid w:val="009273B1"/>
    <w:rsid w:val="0092740B"/>
    <w:rsid w:val="0092760A"/>
    <w:rsid w:val="0092764D"/>
    <w:rsid w:val="0092776E"/>
    <w:rsid w:val="00927817"/>
    <w:rsid w:val="00927887"/>
    <w:rsid w:val="009278DA"/>
    <w:rsid w:val="00927AB2"/>
    <w:rsid w:val="00927B0A"/>
    <w:rsid w:val="00927BD8"/>
    <w:rsid w:val="00927D16"/>
    <w:rsid w:val="00927D6C"/>
    <w:rsid w:val="00927DE5"/>
    <w:rsid w:val="00927E84"/>
    <w:rsid w:val="00927F00"/>
    <w:rsid w:val="00927F5A"/>
    <w:rsid w:val="00927F88"/>
    <w:rsid w:val="00930028"/>
    <w:rsid w:val="00930077"/>
    <w:rsid w:val="0093011E"/>
    <w:rsid w:val="0093017A"/>
    <w:rsid w:val="00930181"/>
    <w:rsid w:val="0093019A"/>
    <w:rsid w:val="009301EA"/>
    <w:rsid w:val="009302B6"/>
    <w:rsid w:val="0093041B"/>
    <w:rsid w:val="009305D8"/>
    <w:rsid w:val="009309F5"/>
    <w:rsid w:val="00930A06"/>
    <w:rsid w:val="00930AAB"/>
    <w:rsid w:val="00930AD9"/>
    <w:rsid w:val="00930BEF"/>
    <w:rsid w:val="00930CC4"/>
    <w:rsid w:val="00930CF1"/>
    <w:rsid w:val="00930D19"/>
    <w:rsid w:val="00930D5A"/>
    <w:rsid w:val="00930DBE"/>
    <w:rsid w:val="00930DD7"/>
    <w:rsid w:val="00930E4F"/>
    <w:rsid w:val="00930E9C"/>
    <w:rsid w:val="00930EE7"/>
    <w:rsid w:val="00930EF7"/>
    <w:rsid w:val="00930FB6"/>
    <w:rsid w:val="00930FC4"/>
    <w:rsid w:val="00931005"/>
    <w:rsid w:val="0093125C"/>
    <w:rsid w:val="009313ED"/>
    <w:rsid w:val="00931415"/>
    <w:rsid w:val="00931640"/>
    <w:rsid w:val="009317B8"/>
    <w:rsid w:val="00931860"/>
    <w:rsid w:val="00931C20"/>
    <w:rsid w:val="00931CA6"/>
    <w:rsid w:val="00931D07"/>
    <w:rsid w:val="00931E0C"/>
    <w:rsid w:val="00931FA2"/>
    <w:rsid w:val="0093205B"/>
    <w:rsid w:val="009320E5"/>
    <w:rsid w:val="0093211D"/>
    <w:rsid w:val="00932241"/>
    <w:rsid w:val="009322E3"/>
    <w:rsid w:val="00932343"/>
    <w:rsid w:val="00932493"/>
    <w:rsid w:val="009324AB"/>
    <w:rsid w:val="009324B9"/>
    <w:rsid w:val="009325ED"/>
    <w:rsid w:val="00932654"/>
    <w:rsid w:val="00932692"/>
    <w:rsid w:val="009327C3"/>
    <w:rsid w:val="0093282B"/>
    <w:rsid w:val="0093283A"/>
    <w:rsid w:val="0093287B"/>
    <w:rsid w:val="0093288F"/>
    <w:rsid w:val="009328D9"/>
    <w:rsid w:val="00932A98"/>
    <w:rsid w:val="00932BD4"/>
    <w:rsid w:val="00932BE3"/>
    <w:rsid w:val="00932BF9"/>
    <w:rsid w:val="00932C6A"/>
    <w:rsid w:val="00932D66"/>
    <w:rsid w:val="00932E1E"/>
    <w:rsid w:val="00932FAB"/>
    <w:rsid w:val="00933158"/>
    <w:rsid w:val="00933194"/>
    <w:rsid w:val="00933289"/>
    <w:rsid w:val="00933339"/>
    <w:rsid w:val="0093333A"/>
    <w:rsid w:val="0093336C"/>
    <w:rsid w:val="009333E3"/>
    <w:rsid w:val="0093357B"/>
    <w:rsid w:val="00933604"/>
    <w:rsid w:val="0093366A"/>
    <w:rsid w:val="009337E1"/>
    <w:rsid w:val="00933A95"/>
    <w:rsid w:val="00933B2B"/>
    <w:rsid w:val="00933C89"/>
    <w:rsid w:val="00933CCE"/>
    <w:rsid w:val="00933DE4"/>
    <w:rsid w:val="00933E44"/>
    <w:rsid w:val="00933EA2"/>
    <w:rsid w:val="00933EA3"/>
    <w:rsid w:val="00933EAD"/>
    <w:rsid w:val="00933F33"/>
    <w:rsid w:val="00933F3D"/>
    <w:rsid w:val="00933F82"/>
    <w:rsid w:val="0093407E"/>
    <w:rsid w:val="00934083"/>
    <w:rsid w:val="009340A9"/>
    <w:rsid w:val="009340D9"/>
    <w:rsid w:val="009341B1"/>
    <w:rsid w:val="009341E1"/>
    <w:rsid w:val="00934210"/>
    <w:rsid w:val="00934398"/>
    <w:rsid w:val="00934558"/>
    <w:rsid w:val="00934583"/>
    <w:rsid w:val="0093472A"/>
    <w:rsid w:val="00934761"/>
    <w:rsid w:val="00934878"/>
    <w:rsid w:val="009348BF"/>
    <w:rsid w:val="00934940"/>
    <w:rsid w:val="00934A36"/>
    <w:rsid w:val="00934A6B"/>
    <w:rsid w:val="00934BBF"/>
    <w:rsid w:val="00934C9D"/>
    <w:rsid w:val="00934CFA"/>
    <w:rsid w:val="00934E33"/>
    <w:rsid w:val="00934F7B"/>
    <w:rsid w:val="00934FA3"/>
    <w:rsid w:val="00934FB5"/>
    <w:rsid w:val="00934FBA"/>
    <w:rsid w:val="00935096"/>
    <w:rsid w:val="0093509D"/>
    <w:rsid w:val="009350A8"/>
    <w:rsid w:val="00935246"/>
    <w:rsid w:val="0093530B"/>
    <w:rsid w:val="00935347"/>
    <w:rsid w:val="009353C9"/>
    <w:rsid w:val="00935554"/>
    <w:rsid w:val="00935595"/>
    <w:rsid w:val="009355CD"/>
    <w:rsid w:val="00935699"/>
    <w:rsid w:val="009356CE"/>
    <w:rsid w:val="009356F5"/>
    <w:rsid w:val="00935783"/>
    <w:rsid w:val="009357E7"/>
    <w:rsid w:val="00935828"/>
    <w:rsid w:val="009358A2"/>
    <w:rsid w:val="009358B9"/>
    <w:rsid w:val="0093591D"/>
    <w:rsid w:val="009359E7"/>
    <w:rsid w:val="009359F1"/>
    <w:rsid w:val="00935A08"/>
    <w:rsid w:val="00935AEB"/>
    <w:rsid w:val="00935AF3"/>
    <w:rsid w:val="00935BBB"/>
    <w:rsid w:val="00935CB6"/>
    <w:rsid w:val="00935D5A"/>
    <w:rsid w:val="00935D78"/>
    <w:rsid w:val="00935DC5"/>
    <w:rsid w:val="00935DD9"/>
    <w:rsid w:val="00935E65"/>
    <w:rsid w:val="00935F48"/>
    <w:rsid w:val="00935FB4"/>
    <w:rsid w:val="00935FF1"/>
    <w:rsid w:val="00935FFC"/>
    <w:rsid w:val="009360D6"/>
    <w:rsid w:val="00936222"/>
    <w:rsid w:val="0093623D"/>
    <w:rsid w:val="00936245"/>
    <w:rsid w:val="00936282"/>
    <w:rsid w:val="009362A3"/>
    <w:rsid w:val="00936420"/>
    <w:rsid w:val="0093645C"/>
    <w:rsid w:val="00936469"/>
    <w:rsid w:val="009364D4"/>
    <w:rsid w:val="00936510"/>
    <w:rsid w:val="0093679D"/>
    <w:rsid w:val="009367F9"/>
    <w:rsid w:val="009368EC"/>
    <w:rsid w:val="00936905"/>
    <w:rsid w:val="009369B1"/>
    <w:rsid w:val="00936A46"/>
    <w:rsid w:val="00936AA1"/>
    <w:rsid w:val="00936AA6"/>
    <w:rsid w:val="00936B2E"/>
    <w:rsid w:val="00936B7F"/>
    <w:rsid w:val="00936BF6"/>
    <w:rsid w:val="00936C1A"/>
    <w:rsid w:val="00936D85"/>
    <w:rsid w:val="00936DAF"/>
    <w:rsid w:val="00936F3C"/>
    <w:rsid w:val="00937103"/>
    <w:rsid w:val="00937138"/>
    <w:rsid w:val="009372BF"/>
    <w:rsid w:val="009373B2"/>
    <w:rsid w:val="009373B5"/>
    <w:rsid w:val="0093740E"/>
    <w:rsid w:val="009374A7"/>
    <w:rsid w:val="009374BC"/>
    <w:rsid w:val="0093754B"/>
    <w:rsid w:val="00937596"/>
    <w:rsid w:val="0093764E"/>
    <w:rsid w:val="00937669"/>
    <w:rsid w:val="00937708"/>
    <w:rsid w:val="0093770F"/>
    <w:rsid w:val="0093786C"/>
    <w:rsid w:val="00937A44"/>
    <w:rsid w:val="00937E42"/>
    <w:rsid w:val="00937EA7"/>
    <w:rsid w:val="0094002C"/>
    <w:rsid w:val="009401A0"/>
    <w:rsid w:val="009402B9"/>
    <w:rsid w:val="0094035C"/>
    <w:rsid w:val="00940366"/>
    <w:rsid w:val="00940382"/>
    <w:rsid w:val="009404B2"/>
    <w:rsid w:val="009404C5"/>
    <w:rsid w:val="00940656"/>
    <w:rsid w:val="009406D1"/>
    <w:rsid w:val="00940764"/>
    <w:rsid w:val="00940802"/>
    <w:rsid w:val="00940826"/>
    <w:rsid w:val="009408C5"/>
    <w:rsid w:val="009409F3"/>
    <w:rsid w:val="00940AD6"/>
    <w:rsid w:val="00940C3E"/>
    <w:rsid w:val="00940CBA"/>
    <w:rsid w:val="00940E23"/>
    <w:rsid w:val="00940E66"/>
    <w:rsid w:val="00940EA4"/>
    <w:rsid w:val="00940F81"/>
    <w:rsid w:val="00940FF7"/>
    <w:rsid w:val="009410C6"/>
    <w:rsid w:val="009410E6"/>
    <w:rsid w:val="00941130"/>
    <w:rsid w:val="0094115F"/>
    <w:rsid w:val="00941190"/>
    <w:rsid w:val="009411A3"/>
    <w:rsid w:val="009411F2"/>
    <w:rsid w:val="00941233"/>
    <w:rsid w:val="009412B3"/>
    <w:rsid w:val="0094130D"/>
    <w:rsid w:val="0094132A"/>
    <w:rsid w:val="00941336"/>
    <w:rsid w:val="0094154E"/>
    <w:rsid w:val="00941656"/>
    <w:rsid w:val="009418CF"/>
    <w:rsid w:val="00941959"/>
    <w:rsid w:val="0094197C"/>
    <w:rsid w:val="00941A1F"/>
    <w:rsid w:val="00941AAF"/>
    <w:rsid w:val="00941B0D"/>
    <w:rsid w:val="00941BC5"/>
    <w:rsid w:val="00941CB8"/>
    <w:rsid w:val="00941CC0"/>
    <w:rsid w:val="00941D9E"/>
    <w:rsid w:val="00941E2B"/>
    <w:rsid w:val="00941F00"/>
    <w:rsid w:val="00942081"/>
    <w:rsid w:val="009420CC"/>
    <w:rsid w:val="009422C5"/>
    <w:rsid w:val="00942367"/>
    <w:rsid w:val="00942382"/>
    <w:rsid w:val="009423A3"/>
    <w:rsid w:val="009423EF"/>
    <w:rsid w:val="00942429"/>
    <w:rsid w:val="00942453"/>
    <w:rsid w:val="009425E2"/>
    <w:rsid w:val="00942694"/>
    <w:rsid w:val="009426A1"/>
    <w:rsid w:val="009426BA"/>
    <w:rsid w:val="009427EA"/>
    <w:rsid w:val="0094283E"/>
    <w:rsid w:val="00942872"/>
    <w:rsid w:val="009428E2"/>
    <w:rsid w:val="0094298D"/>
    <w:rsid w:val="009429E7"/>
    <w:rsid w:val="00942A1F"/>
    <w:rsid w:val="00942B17"/>
    <w:rsid w:val="00942B61"/>
    <w:rsid w:val="00942BC8"/>
    <w:rsid w:val="00942DEA"/>
    <w:rsid w:val="00942DFC"/>
    <w:rsid w:val="00942FAB"/>
    <w:rsid w:val="00943116"/>
    <w:rsid w:val="00943201"/>
    <w:rsid w:val="0094321F"/>
    <w:rsid w:val="00943242"/>
    <w:rsid w:val="009432C3"/>
    <w:rsid w:val="009434FF"/>
    <w:rsid w:val="0094351C"/>
    <w:rsid w:val="0094365B"/>
    <w:rsid w:val="009436B0"/>
    <w:rsid w:val="009436FF"/>
    <w:rsid w:val="0094374B"/>
    <w:rsid w:val="0094379B"/>
    <w:rsid w:val="009438A5"/>
    <w:rsid w:val="009438FA"/>
    <w:rsid w:val="00943965"/>
    <w:rsid w:val="0094397A"/>
    <w:rsid w:val="009439AC"/>
    <w:rsid w:val="00943A20"/>
    <w:rsid w:val="00943A88"/>
    <w:rsid w:val="00943AD2"/>
    <w:rsid w:val="00943B9F"/>
    <w:rsid w:val="00943BDE"/>
    <w:rsid w:val="00943C23"/>
    <w:rsid w:val="00943C27"/>
    <w:rsid w:val="00943C57"/>
    <w:rsid w:val="00943CD8"/>
    <w:rsid w:val="00943CE4"/>
    <w:rsid w:val="00943E35"/>
    <w:rsid w:val="00943F46"/>
    <w:rsid w:val="00944025"/>
    <w:rsid w:val="00944049"/>
    <w:rsid w:val="00944065"/>
    <w:rsid w:val="00944103"/>
    <w:rsid w:val="00944149"/>
    <w:rsid w:val="009441A2"/>
    <w:rsid w:val="009441C3"/>
    <w:rsid w:val="00944331"/>
    <w:rsid w:val="00944351"/>
    <w:rsid w:val="009443F6"/>
    <w:rsid w:val="0094443E"/>
    <w:rsid w:val="009445DC"/>
    <w:rsid w:val="00944728"/>
    <w:rsid w:val="00944754"/>
    <w:rsid w:val="009447AA"/>
    <w:rsid w:val="009447FB"/>
    <w:rsid w:val="00944844"/>
    <w:rsid w:val="00944937"/>
    <w:rsid w:val="009449EF"/>
    <w:rsid w:val="00944B1C"/>
    <w:rsid w:val="00944B6C"/>
    <w:rsid w:val="00944B73"/>
    <w:rsid w:val="00944BDA"/>
    <w:rsid w:val="00944BF1"/>
    <w:rsid w:val="00944C42"/>
    <w:rsid w:val="00944D0A"/>
    <w:rsid w:val="00944D40"/>
    <w:rsid w:val="00944D80"/>
    <w:rsid w:val="00944E9C"/>
    <w:rsid w:val="00944F24"/>
    <w:rsid w:val="00944F7D"/>
    <w:rsid w:val="00945292"/>
    <w:rsid w:val="00945476"/>
    <w:rsid w:val="00945534"/>
    <w:rsid w:val="00945546"/>
    <w:rsid w:val="0094556F"/>
    <w:rsid w:val="009455BB"/>
    <w:rsid w:val="009455E0"/>
    <w:rsid w:val="00945702"/>
    <w:rsid w:val="00945778"/>
    <w:rsid w:val="009457A0"/>
    <w:rsid w:val="009457C9"/>
    <w:rsid w:val="00945994"/>
    <w:rsid w:val="009459C3"/>
    <w:rsid w:val="00945A63"/>
    <w:rsid w:val="00945B89"/>
    <w:rsid w:val="00945B8A"/>
    <w:rsid w:val="00945BDE"/>
    <w:rsid w:val="00945C30"/>
    <w:rsid w:val="00945CB9"/>
    <w:rsid w:val="00945DAF"/>
    <w:rsid w:val="00945DBF"/>
    <w:rsid w:val="00945DD2"/>
    <w:rsid w:val="00945E16"/>
    <w:rsid w:val="00945E5A"/>
    <w:rsid w:val="00945E92"/>
    <w:rsid w:val="00945EB0"/>
    <w:rsid w:val="00945F09"/>
    <w:rsid w:val="00945F1E"/>
    <w:rsid w:val="00945F33"/>
    <w:rsid w:val="00945F59"/>
    <w:rsid w:val="00946161"/>
    <w:rsid w:val="009461E7"/>
    <w:rsid w:val="009462F6"/>
    <w:rsid w:val="00946407"/>
    <w:rsid w:val="00946425"/>
    <w:rsid w:val="009464AF"/>
    <w:rsid w:val="009464F2"/>
    <w:rsid w:val="00946578"/>
    <w:rsid w:val="009466E1"/>
    <w:rsid w:val="009466EE"/>
    <w:rsid w:val="009467C9"/>
    <w:rsid w:val="0094682F"/>
    <w:rsid w:val="00946884"/>
    <w:rsid w:val="00946961"/>
    <w:rsid w:val="0094696B"/>
    <w:rsid w:val="0094698E"/>
    <w:rsid w:val="009469AA"/>
    <w:rsid w:val="00946A25"/>
    <w:rsid w:val="00946AF3"/>
    <w:rsid w:val="00946D2C"/>
    <w:rsid w:val="00946D93"/>
    <w:rsid w:val="00946DA5"/>
    <w:rsid w:val="00946FA6"/>
    <w:rsid w:val="009471C4"/>
    <w:rsid w:val="009471C6"/>
    <w:rsid w:val="009472C6"/>
    <w:rsid w:val="009472E0"/>
    <w:rsid w:val="009473D1"/>
    <w:rsid w:val="009474E2"/>
    <w:rsid w:val="0094767A"/>
    <w:rsid w:val="00947684"/>
    <w:rsid w:val="0094784D"/>
    <w:rsid w:val="00947876"/>
    <w:rsid w:val="009479D1"/>
    <w:rsid w:val="009479E4"/>
    <w:rsid w:val="00947A92"/>
    <w:rsid w:val="00947B30"/>
    <w:rsid w:val="00947B9B"/>
    <w:rsid w:val="00947BA7"/>
    <w:rsid w:val="00947CA7"/>
    <w:rsid w:val="00947D64"/>
    <w:rsid w:val="00947DEA"/>
    <w:rsid w:val="00947E3D"/>
    <w:rsid w:val="00947E67"/>
    <w:rsid w:val="00947F02"/>
    <w:rsid w:val="00947F50"/>
    <w:rsid w:val="00947FCE"/>
    <w:rsid w:val="00947FD7"/>
    <w:rsid w:val="00947FED"/>
    <w:rsid w:val="0095012E"/>
    <w:rsid w:val="00950170"/>
    <w:rsid w:val="009501D3"/>
    <w:rsid w:val="009501D7"/>
    <w:rsid w:val="009501DE"/>
    <w:rsid w:val="009502F4"/>
    <w:rsid w:val="009503E0"/>
    <w:rsid w:val="009504E0"/>
    <w:rsid w:val="009504EC"/>
    <w:rsid w:val="0095050D"/>
    <w:rsid w:val="0095055B"/>
    <w:rsid w:val="009505A1"/>
    <w:rsid w:val="009505CE"/>
    <w:rsid w:val="009505D2"/>
    <w:rsid w:val="0095065B"/>
    <w:rsid w:val="00950679"/>
    <w:rsid w:val="009506A8"/>
    <w:rsid w:val="00950870"/>
    <w:rsid w:val="00950A1C"/>
    <w:rsid w:val="00950A46"/>
    <w:rsid w:val="00950A81"/>
    <w:rsid w:val="00950BA3"/>
    <w:rsid w:val="00950BF6"/>
    <w:rsid w:val="00950C0B"/>
    <w:rsid w:val="00950C7B"/>
    <w:rsid w:val="00950DB1"/>
    <w:rsid w:val="00950E5D"/>
    <w:rsid w:val="00950E83"/>
    <w:rsid w:val="00950EC3"/>
    <w:rsid w:val="0095102D"/>
    <w:rsid w:val="00951041"/>
    <w:rsid w:val="009510EB"/>
    <w:rsid w:val="009510FE"/>
    <w:rsid w:val="0095110A"/>
    <w:rsid w:val="00951145"/>
    <w:rsid w:val="009512D9"/>
    <w:rsid w:val="00951392"/>
    <w:rsid w:val="009513DF"/>
    <w:rsid w:val="00951524"/>
    <w:rsid w:val="00951590"/>
    <w:rsid w:val="0095161B"/>
    <w:rsid w:val="00951622"/>
    <w:rsid w:val="009516CE"/>
    <w:rsid w:val="00951721"/>
    <w:rsid w:val="0095182E"/>
    <w:rsid w:val="00951832"/>
    <w:rsid w:val="00951B37"/>
    <w:rsid w:val="00951B4A"/>
    <w:rsid w:val="00951C46"/>
    <w:rsid w:val="00951E6B"/>
    <w:rsid w:val="00952240"/>
    <w:rsid w:val="009522A9"/>
    <w:rsid w:val="00952320"/>
    <w:rsid w:val="0095236D"/>
    <w:rsid w:val="00952840"/>
    <w:rsid w:val="00952967"/>
    <w:rsid w:val="00952AC9"/>
    <w:rsid w:val="00952B02"/>
    <w:rsid w:val="00952B26"/>
    <w:rsid w:val="00952B29"/>
    <w:rsid w:val="00952C3D"/>
    <w:rsid w:val="00952CDF"/>
    <w:rsid w:val="00952E53"/>
    <w:rsid w:val="00952EA1"/>
    <w:rsid w:val="00952EB5"/>
    <w:rsid w:val="00952EF4"/>
    <w:rsid w:val="00953058"/>
    <w:rsid w:val="00953083"/>
    <w:rsid w:val="009530BC"/>
    <w:rsid w:val="0095322A"/>
    <w:rsid w:val="00953261"/>
    <w:rsid w:val="009534A7"/>
    <w:rsid w:val="0095354E"/>
    <w:rsid w:val="00953562"/>
    <w:rsid w:val="009535E8"/>
    <w:rsid w:val="00953691"/>
    <w:rsid w:val="00953766"/>
    <w:rsid w:val="009537F1"/>
    <w:rsid w:val="0095383D"/>
    <w:rsid w:val="0095396D"/>
    <w:rsid w:val="00953B7F"/>
    <w:rsid w:val="00953CBD"/>
    <w:rsid w:val="00953D41"/>
    <w:rsid w:val="00953D64"/>
    <w:rsid w:val="00953F2B"/>
    <w:rsid w:val="00954000"/>
    <w:rsid w:val="0095402B"/>
    <w:rsid w:val="009541A5"/>
    <w:rsid w:val="0095420B"/>
    <w:rsid w:val="009542D6"/>
    <w:rsid w:val="00954322"/>
    <w:rsid w:val="0095440B"/>
    <w:rsid w:val="0095447D"/>
    <w:rsid w:val="009544AA"/>
    <w:rsid w:val="00954663"/>
    <w:rsid w:val="0095469D"/>
    <w:rsid w:val="0095476B"/>
    <w:rsid w:val="0095477D"/>
    <w:rsid w:val="00954885"/>
    <w:rsid w:val="0095498D"/>
    <w:rsid w:val="009549F5"/>
    <w:rsid w:val="00954AAC"/>
    <w:rsid w:val="00954AD2"/>
    <w:rsid w:val="00954D5F"/>
    <w:rsid w:val="00954E85"/>
    <w:rsid w:val="00954E8E"/>
    <w:rsid w:val="00954F1C"/>
    <w:rsid w:val="0095500B"/>
    <w:rsid w:val="00955118"/>
    <w:rsid w:val="009551A9"/>
    <w:rsid w:val="009551AE"/>
    <w:rsid w:val="00955299"/>
    <w:rsid w:val="0095531C"/>
    <w:rsid w:val="009553C1"/>
    <w:rsid w:val="0095547D"/>
    <w:rsid w:val="00955531"/>
    <w:rsid w:val="00955554"/>
    <w:rsid w:val="009555FA"/>
    <w:rsid w:val="00955637"/>
    <w:rsid w:val="00955694"/>
    <w:rsid w:val="009556CE"/>
    <w:rsid w:val="0095578E"/>
    <w:rsid w:val="009557E5"/>
    <w:rsid w:val="009559B5"/>
    <w:rsid w:val="009559E1"/>
    <w:rsid w:val="009559F9"/>
    <w:rsid w:val="00955A25"/>
    <w:rsid w:val="00955A8E"/>
    <w:rsid w:val="00955B2E"/>
    <w:rsid w:val="00955B4C"/>
    <w:rsid w:val="00955BB2"/>
    <w:rsid w:val="00955C99"/>
    <w:rsid w:val="00955DA0"/>
    <w:rsid w:val="00955E3D"/>
    <w:rsid w:val="00955E55"/>
    <w:rsid w:val="00955E6B"/>
    <w:rsid w:val="00955E72"/>
    <w:rsid w:val="00955EF6"/>
    <w:rsid w:val="00955F23"/>
    <w:rsid w:val="00955F34"/>
    <w:rsid w:val="00955F44"/>
    <w:rsid w:val="00955FDC"/>
    <w:rsid w:val="00955FE9"/>
    <w:rsid w:val="00955FFD"/>
    <w:rsid w:val="009560E4"/>
    <w:rsid w:val="00956176"/>
    <w:rsid w:val="009562FF"/>
    <w:rsid w:val="009564B4"/>
    <w:rsid w:val="00956531"/>
    <w:rsid w:val="0095655A"/>
    <w:rsid w:val="009565F0"/>
    <w:rsid w:val="009565F6"/>
    <w:rsid w:val="00956661"/>
    <w:rsid w:val="00956773"/>
    <w:rsid w:val="009567DD"/>
    <w:rsid w:val="00956892"/>
    <w:rsid w:val="00956990"/>
    <w:rsid w:val="009569E1"/>
    <w:rsid w:val="00956CEF"/>
    <w:rsid w:val="00956D6A"/>
    <w:rsid w:val="00956E22"/>
    <w:rsid w:val="00956E2A"/>
    <w:rsid w:val="00956E4B"/>
    <w:rsid w:val="00956F26"/>
    <w:rsid w:val="00957003"/>
    <w:rsid w:val="00957099"/>
    <w:rsid w:val="009571C0"/>
    <w:rsid w:val="00957209"/>
    <w:rsid w:val="00957215"/>
    <w:rsid w:val="00957224"/>
    <w:rsid w:val="00957273"/>
    <w:rsid w:val="0095731E"/>
    <w:rsid w:val="009573F5"/>
    <w:rsid w:val="00957481"/>
    <w:rsid w:val="00957490"/>
    <w:rsid w:val="00957496"/>
    <w:rsid w:val="00957566"/>
    <w:rsid w:val="009575E1"/>
    <w:rsid w:val="0095764A"/>
    <w:rsid w:val="009576BF"/>
    <w:rsid w:val="00957703"/>
    <w:rsid w:val="0095798E"/>
    <w:rsid w:val="00957A34"/>
    <w:rsid w:val="00957A91"/>
    <w:rsid w:val="00957ACC"/>
    <w:rsid w:val="00957B92"/>
    <w:rsid w:val="00957C01"/>
    <w:rsid w:val="00957C5B"/>
    <w:rsid w:val="00957C75"/>
    <w:rsid w:val="00957CDC"/>
    <w:rsid w:val="00957CFA"/>
    <w:rsid w:val="00957D53"/>
    <w:rsid w:val="00957DDD"/>
    <w:rsid w:val="00957EC6"/>
    <w:rsid w:val="00957F55"/>
    <w:rsid w:val="0096011E"/>
    <w:rsid w:val="009601F6"/>
    <w:rsid w:val="00960254"/>
    <w:rsid w:val="009603F9"/>
    <w:rsid w:val="00960436"/>
    <w:rsid w:val="00960473"/>
    <w:rsid w:val="0096047F"/>
    <w:rsid w:val="009604DE"/>
    <w:rsid w:val="0096051E"/>
    <w:rsid w:val="00960533"/>
    <w:rsid w:val="009605F6"/>
    <w:rsid w:val="009608B9"/>
    <w:rsid w:val="009608D8"/>
    <w:rsid w:val="00960961"/>
    <w:rsid w:val="009609D5"/>
    <w:rsid w:val="00960BA8"/>
    <w:rsid w:val="00960BC7"/>
    <w:rsid w:val="00960BF4"/>
    <w:rsid w:val="00960C48"/>
    <w:rsid w:val="00960DC1"/>
    <w:rsid w:val="00960E62"/>
    <w:rsid w:val="00960EE1"/>
    <w:rsid w:val="00960FA1"/>
    <w:rsid w:val="00961038"/>
    <w:rsid w:val="00961130"/>
    <w:rsid w:val="00961210"/>
    <w:rsid w:val="009612FC"/>
    <w:rsid w:val="00961308"/>
    <w:rsid w:val="00961318"/>
    <w:rsid w:val="00961352"/>
    <w:rsid w:val="00961401"/>
    <w:rsid w:val="0096149C"/>
    <w:rsid w:val="009614C6"/>
    <w:rsid w:val="00961516"/>
    <w:rsid w:val="0096160F"/>
    <w:rsid w:val="00961692"/>
    <w:rsid w:val="0096176D"/>
    <w:rsid w:val="009618F9"/>
    <w:rsid w:val="00961947"/>
    <w:rsid w:val="00961989"/>
    <w:rsid w:val="009619FF"/>
    <w:rsid w:val="00961ACE"/>
    <w:rsid w:val="00961AD4"/>
    <w:rsid w:val="00961ADD"/>
    <w:rsid w:val="00961B6A"/>
    <w:rsid w:val="00961C3F"/>
    <w:rsid w:val="00961C47"/>
    <w:rsid w:val="00961C56"/>
    <w:rsid w:val="00961D3A"/>
    <w:rsid w:val="00961DB3"/>
    <w:rsid w:val="00961E1E"/>
    <w:rsid w:val="00961F74"/>
    <w:rsid w:val="00962053"/>
    <w:rsid w:val="00962129"/>
    <w:rsid w:val="009621A7"/>
    <w:rsid w:val="009622CF"/>
    <w:rsid w:val="0096250A"/>
    <w:rsid w:val="009625E3"/>
    <w:rsid w:val="0096269B"/>
    <w:rsid w:val="00962814"/>
    <w:rsid w:val="00962A7E"/>
    <w:rsid w:val="00962AE9"/>
    <w:rsid w:val="00962B6B"/>
    <w:rsid w:val="00962CA0"/>
    <w:rsid w:val="00962DC6"/>
    <w:rsid w:val="00962DCF"/>
    <w:rsid w:val="00962FF3"/>
    <w:rsid w:val="009630DE"/>
    <w:rsid w:val="00963183"/>
    <w:rsid w:val="009631EC"/>
    <w:rsid w:val="0096327C"/>
    <w:rsid w:val="0096329A"/>
    <w:rsid w:val="009632C9"/>
    <w:rsid w:val="00963318"/>
    <w:rsid w:val="00963322"/>
    <w:rsid w:val="0096337D"/>
    <w:rsid w:val="009633A3"/>
    <w:rsid w:val="0096344C"/>
    <w:rsid w:val="009636B1"/>
    <w:rsid w:val="00963771"/>
    <w:rsid w:val="00963822"/>
    <w:rsid w:val="009638CF"/>
    <w:rsid w:val="00963916"/>
    <w:rsid w:val="00963BD6"/>
    <w:rsid w:val="00963CA2"/>
    <w:rsid w:val="00963F81"/>
    <w:rsid w:val="0096405E"/>
    <w:rsid w:val="00964269"/>
    <w:rsid w:val="00964413"/>
    <w:rsid w:val="0096443A"/>
    <w:rsid w:val="00964566"/>
    <w:rsid w:val="0096456F"/>
    <w:rsid w:val="00964625"/>
    <w:rsid w:val="0096463D"/>
    <w:rsid w:val="009648AD"/>
    <w:rsid w:val="00964991"/>
    <w:rsid w:val="00964A59"/>
    <w:rsid w:val="00964C6C"/>
    <w:rsid w:val="00964D29"/>
    <w:rsid w:val="00964DEA"/>
    <w:rsid w:val="00964EA5"/>
    <w:rsid w:val="00964F3D"/>
    <w:rsid w:val="00964F7E"/>
    <w:rsid w:val="00964F88"/>
    <w:rsid w:val="009650C8"/>
    <w:rsid w:val="00965150"/>
    <w:rsid w:val="0096529A"/>
    <w:rsid w:val="009652C4"/>
    <w:rsid w:val="009653A2"/>
    <w:rsid w:val="00965439"/>
    <w:rsid w:val="0096547A"/>
    <w:rsid w:val="009654DD"/>
    <w:rsid w:val="00965509"/>
    <w:rsid w:val="0096554E"/>
    <w:rsid w:val="009655A4"/>
    <w:rsid w:val="00965632"/>
    <w:rsid w:val="00965662"/>
    <w:rsid w:val="0096566A"/>
    <w:rsid w:val="009656D4"/>
    <w:rsid w:val="009656FF"/>
    <w:rsid w:val="00965700"/>
    <w:rsid w:val="0096572C"/>
    <w:rsid w:val="009658F0"/>
    <w:rsid w:val="00965902"/>
    <w:rsid w:val="0096594F"/>
    <w:rsid w:val="00965A46"/>
    <w:rsid w:val="00965B73"/>
    <w:rsid w:val="00965E3A"/>
    <w:rsid w:val="00965ED2"/>
    <w:rsid w:val="00965F05"/>
    <w:rsid w:val="00965F08"/>
    <w:rsid w:val="0096606A"/>
    <w:rsid w:val="009660B7"/>
    <w:rsid w:val="009660F6"/>
    <w:rsid w:val="00966207"/>
    <w:rsid w:val="0096622C"/>
    <w:rsid w:val="009662BA"/>
    <w:rsid w:val="009662CD"/>
    <w:rsid w:val="00966347"/>
    <w:rsid w:val="00966434"/>
    <w:rsid w:val="009665A3"/>
    <w:rsid w:val="009666EB"/>
    <w:rsid w:val="009667E3"/>
    <w:rsid w:val="009667EE"/>
    <w:rsid w:val="009668BC"/>
    <w:rsid w:val="009668E1"/>
    <w:rsid w:val="00966BE8"/>
    <w:rsid w:val="00966D28"/>
    <w:rsid w:val="00966E1A"/>
    <w:rsid w:val="00966FFA"/>
    <w:rsid w:val="00967143"/>
    <w:rsid w:val="009671F5"/>
    <w:rsid w:val="009672C1"/>
    <w:rsid w:val="00967382"/>
    <w:rsid w:val="009673C7"/>
    <w:rsid w:val="009673F7"/>
    <w:rsid w:val="009673FB"/>
    <w:rsid w:val="009674E5"/>
    <w:rsid w:val="0096761B"/>
    <w:rsid w:val="009676D3"/>
    <w:rsid w:val="00967967"/>
    <w:rsid w:val="0096797A"/>
    <w:rsid w:val="009679E9"/>
    <w:rsid w:val="00967A05"/>
    <w:rsid w:val="00967AD2"/>
    <w:rsid w:val="00967C3D"/>
    <w:rsid w:val="00967CBA"/>
    <w:rsid w:val="00967D48"/>
    <w:rsid w:val="00967DA5"/>
    <w:rsid w:val="00967E39"/>
    <w:rsid w:val="00967EAE"/>
    <w:rsid w:val="0097015A"/>
    <w:rsid w:val="00970243"/>
    <w:rsid w:val="00970286"/>
    <w:rsid w:val="00970289"/>
    <w:rsid w:val="009702B6"/>
    <w:rsid w:val="009703AE"/>
    <w:rsid w:val="0097040D"/>
    <w:rsid w:val="0097051A"/>
    <w:rsid w:val="00970574"/>
    <w:rsid w:val="0097074B"/>
    <w:rsid w:val="0097087D"/>
    <w:rsid w:val="00970892"/>
    <w:rsid w:val="00970930"/>
    <w:rsid w:val="009709D8"/>
    <w:rsid w:val="00970A03"/>
    <w:rsid w:val="00970A1C"/>
    <w:rsid w:val="00970B07"/>
    <w:rsid w:val="00970DD2"/>
    <w:rsid w:val="00970E3D"/>
    <w:rsid w:val="00970F68"/>
    <w:rsid w:val="00970FED"/>
    <w:rsid w:val="009710D1"/>
    <w:rsid w:val="009710FF"/>
    <w:rsid w:val="00971117"/>
    <w:rsid w:val="0097112E"/>
    <w:rsid w:val="00971170"/>
    <w:rsid w:val="00971255"/>
    <w:rsid w:val="00971275"/>
    <w:rsid w:val="00971405"/>
    <w:rsid w:val="00971490"/>
    <w:rsid w:val="009716E2"/>
    <w:rsid w:val="009717CA"/>
    <w:rsid w:val="0097182D"/>
    <w:rsid w:val="00971939"/>
    <w:rsid w:val="0097193D"/>
    <w:rsid w:val="009719C9"/>
    <w:rsid w:val="00971A45"/>
    <w:rsid w:val="00971AB2"/>
    <w:rsid w:val="00971AE1"/>
    <w:rsid w:val="00971BB7"/>
    <w:rsid w:val="00971D1D"/>
    <w:rsid w:val="00971D72"/>
    <w:rsid w:val="00971E4F"/>
    <w:rsid w:val="00971E8F"/>
    <w:rsid w:val="00971EF9"/>
    <w:rsid w:val="00971F0F"/>
    <w:rsid w:val="00971F71"/>
    <w:rsid w:val="00972034"/>
    <w:rsid w:val="009720B6"/>
    <w:rsid w:val="009720D1"/>
    <w:rsid w:val="00972148"/>
    <w:rsid w:val="009721B1"/>
    <w:rsid w:val="009721C6"/>
    <w:rsid w:val="00972385"/>
    <w:rsid w:val="00972413"/>
    <w:rsid w:val="0097242E"/>
    <w:rsid w:val="00972611"/>
    <w:rsid w:val="00972635"/>
    <w:rsid w:val="00972675"/>
    <w:rsid w:val="0097268A"/>
    <w:rsid w:val="009726D0"/>
    <w:rsid w:val="009726D5"/>
    <w:rsid w:val="00972774"/>
    <w:rsid w:val="00972850"/>
    <w:rsid w:val="00972884"/>
    <w:rsid w:val="00972962"/>
    <w:rsid w:val="009729FE"/>
    <w:rsid w:val="00972A8A"/>
    <w:rsid w:val="00972B10"/>
    <w:rsid w:val="00972C9C"/>
    <w:rsid w:val="00972DEF"/>
    <w:rsid w:val="00972DF5"/>
    <w:rsid w:val="009730F7"/>
    <w:rsid w:val="0097316B"/>
    <w:rsid w:val="009732A7"/>
    <w:rsid w:val="00973345"/>
    <w:rsid w:val="0097336F"/>
    <w:rsid w:val="00973422"/>
    <w:rsid w:val="0097348B"/>
    <w:rsid w:val="0097354A"/>
    <w:rsid w:val="00973597"/>
    <w:rsid w:val="009735E3"/>
    <w:rsid w:val="00973660"/>
    <w:rsid w:val="00973690"/>
    <w:rsid w:val="009736EE"/>
    <w:rsid w:val="00973733"/>
    <w:rsid w:val="009737D9"/>
    <w:rsid w:val="0097382B"/>
    <w:rsid w:val="00973835"/>
    <w:rsid w:val="00973891"/>
    <w:rsid w:val="009738B1"/>
    <w:rsid w:val="009739B8"/>
    <w:rsid w:val="009739F9"/>
    <w:rsid w:val="00973A8B"/>
    <w:rsid w:val="00973B0B"/>
    <w:rsid w:val="00973B24"/>
    <w:rsid w:val="00973D6E"/>
    <w:rsid w:val="00973DEB"/>
    <w:rsid w:val="00973E66"/>
    <w:rsid w:val="00973E8C"/>
    <w:rsid w:val="00973ED5"/>
    <w:rsid w:val="00973EE8"/>
    <w:rsid w:val="00973F8A"/>
    <w:rsid w:val="009740B5"/>
    <w:rsid w:val="00974115"/>
    <w:rsid w:val="0097424E"/>
    <w:rsid w:val="009742D7"/>
    <w:rsid w:val="0097434A"/>
    <w:rsid w:val="009743AF"/>
    <w:rsid w:val="009743E4"/>
    <w:rsid w:val="00974402"/>
    <w:rsid w:val="0097440A"/>
    <w:rsid w:val="00974412"/>
    <w:rsid w:val="0097447C"/>
    <w:rsid w:val="0097448F"/>
    <w:rsid w:val="0097455D"/>
    <w:rsid w:val="0097456A"/>
    <w:rsid w:val="00974706"/>
    <w:rsid w:val="00974714"/>
    <w:rsid w:val="009747B8"/>
    <w:rsid w:val="00974834"/>
    <w:rsid w:val="00974958"/>
    <w:rsid w:val="0097498F"/>
    <w:rsid w:val="00974A47"/>
    <w:rsid w:val="00974AAD"/>
    <w:rsid w:val="00974AC9"/>
    <w:rsid w:val="00974BDB"/>
    <w:rsid w:val="00974BE2"/>
    <w:rsid w:val="00974C16"/>
    <w:rsid w:val="00974C92"/>
    <w:rsid w:val="00974F17"/>
    <w:rsid w:val="00974F32"/>
    <w:rsid w:val="00974FAA"/>
    <w:rsid w:val="009750C7"/>
    <w:rsid w:val="00975103"/>
    <w:rsid w:val="00975182"/>
    <w:rsid w:val="00975232"/>
    <w:rsid w:val="009752AE"/>
    <w:rsid w:val="00975447"/>
    <w:rsid w:val="0097547B"/>
    <w:rsid w:val="009754E1"/>
    <w:rsid w:val="0097557A"/>
    <w:rsid w:val="009755EE"/>
    <w:rsid w:val="00975640"/>
    <w:rsid w:val="00975708"/>
    <w:rsid w:val="0097570B"/>
    <w:rsid w:val="009757B5"/>
    <w:rsid w:val="009757EE"/>
    <w:rsid w:val="009758CA"/>
    <w:rsid w:val="00975904"/>
    <w:rsid w:val="00975933"/>
    <w:rsid w:val="00975A21"/>
    <w:rsid w:val="00975A22"/>
    <w:rsid w:val="00975A78"/>
    <w:rsid w:val="00975CFE"/>
    <w:rsid w:val="00975D3B"/>
    <w:rsid w:val="00975E97"/>
    <w:rsid w:val="00975FBC"/>
    <w:rsid w:val="009760AB"/>
    <w:rsid w:val="009760BF"/>
    <w:rsid w:val="00976203"/>
    <w:rsid w:val="009763D8"/>
    <w:rsid w:val="00976472"/>
    <w:rsid w:val="009764A5"/>
    <w:rsid w:val="009765D1"/>
    <w:rsid w:val="0097673B"/>
    <w:rsid w:val="00976755"/>
    <w:rsid w:val="00976764"/>
    <w:rsid w:val="00976777"/>
    <w:rsid w:val="00976C21"/>
    <w:rsid w:val="00976CEB"/>
    <w:rsid w:val="00976D20"/>
    <w:rsid w:val="00976D2A"/>
    <w:rsid w:val="00976D50"/>
    <w:rsid w:val="00976DA3"/>
    <w:rsid w:val="00976DB6"/>
    <w:rsid w:val="00976E33"/>
    <w:rsid w:val="00976E6E"/>
    <w:rsid w:val="00976FF5"/>
    <w:rsid w:val="00976FFC"/>
    <w:rsid w:val="00977009"/>
    <w:rsid w:val="009770C4"/>
    <w:rsid w:val="00977184"/>
    <w:rsid w:val="0097718F"/>
    <w:rsid w:val="00977236"/>
    <w:rsid w:val="00977245"/>
    <w:rsid w:val="009772DA"/>
    <w:rsid w:val="00977370"/>
    <w:rsid w:val="0097740C"/>
    <w:rsid w:val="00977505"/>
    <w:rsid w:val="009775E8"/>
    <w:rsid w:val="009776B0"/>
    <w:rsid w:val="009777C3"/>
    <w:rsid w:val="00977885"/>
    <w:rsid w:val="009778AD"/>
    <w:rsid w:val="009778B5"/>
    <w:rsid w:val="00977A33"/>
    <w:rsid w:val="00977BA4"/>
    <w:rsid w:val="00977BB5"/>
    <w:rsid w:val="00977C33"/>
    <w:rsid w:val="00977CCD"/>
    <w:rsid w:val="00977D98"/>
    <w:rsid w:val="00977DD5"/>
    <w:rsid w:val="00980134"/>
    <w:rsid w:val="0098023C"/>
    <w:rsid w:val="009802C9"/>
    <w:rsid w:val="009802F9"/>
    <w:rsid w:val="00980428"/>
    <w:rsid w:val="00980523"/>
    <w:rsid w:val="0098057F"/>
    <w:rsid w:val="009805CD"/>
    <w:rsid w:val="00980703"/>
    <w:rsid w:val="00980713"/>
    <w:rsid w:val="00980735"/>
    <w:rsid w:val="0098080A"/>
    <w:rsid w:val="009808DB"/>
    <w:rsid w:val="009808E9"/>
    <w:rsid w:val="00980901"/>
    <w:rsid w:val="0098092F"/>
    <w:rsid w:val="00980931"/>
    <w:rsid w:val="0098093F"/>
    <w:rsid w:val="00980A0C"/>
    <w:rsid w:val="00980AED"/>
    <w:rsid w:val="00980C0E"/>
    <w:rsid w:val="00980DDE"/>
    <w:rsid w:val="00980E81"/>
    <w:rsid w:val="009810BA"/>
    <w:rsid w:val="0098116D"/>
    <w:rsid w:val="009813F6"/>
    <w:rsid w:val="009814AA"/>
    <w:rsid w:val="0098153E"/>
    <w:rsid w:val="0098159A"/>
    <w:rsid w:val="009816C2"/>
    <w:rsid w:val="009817B0"/>
    <w:rsid w:val="009818FF"/>
    <w:rsid w:val="00981922"/>
    <w:rsid w:val="009819A2"/>
    <w:rsid w:val="009819B2"/>
    <w:rsid w:val="009819E6"/>
    <w:rsid w:val="00981A51"/>
    <w:rsid w:val="00981B9E"/>
    <w:rsid w:val="00981F01"/>
    <w:rsid w:val="00981F08"/>
    <w:rsid w:val="00981F21"/>
    <w:rsid w:val="00981F2C"/>
    <w:rsid w:val="009820C2"/>
    <w:rsid w:val="00982196"/>
    <w:rsid w:val="00982203"/>
    <w:rsid w:val="0098244B"/>
    <w:rsid w:val="00982450"/>
    <w:rsid w:val="009824F9"/>
    <w:rsid w:val="0098269D"/>
    <w:rsid w:val="009826D2"/>
    <w:rsid w:val="00982717"/>
    <w:rsid w:val="00982836"/>
    <w:rsid w:val="009829A9"/>
    <w:rsid w:val="00982A06"/>
    <w:rsid w:val="00982AF9"/>
    <w:rsid w:val="00982C97"/>
    <w:rsid w:val="00982CFD"/>
    <w:rsid w:val="00982F05"/>
    <w:rsid w:val="00982F6E"/>
    <w:rsid w:val="00983135"/>
    <w:rsid w:val="0098329D"/>
    <w:rsid w:val="0098329E"/>
    <w:rsid w:val="0098332F"/>
    <w:rsid w:val="00983335"/>
    <w:rsid w:val="009834E1"/>
    <w:rsid w:val="009835DC"/>
    <w:rsid w:val="009835F0"/>
    <w:rsid w:val="009836C8"/>
    <w:rsid w:val="00983782"/>
    <w:rsid w:val="00983874"/>
    <w:rsid w:val="00983881"/>
    <w:rsid w:val="009838A3"/>
    <w:rsid w:val="00983A63"/>
    <w:rsid w:val="00983AB0"/>
    <w:rsid w:val="00983B12"/>
    <w:rsid w:val="00983B38"/>
    <w:rsid w:val="00983C95"/>
    <w:rsid w:val="00983CEF"/>
    <w:rsid w:val="00983DC9"/>
    <w:rsid w:val="00983DCC"/>
    <w:rsid w:val="00983E0D"/>
    <w:rsid w:val="00983E4E"/>
    <w:rsid w:val="00983E80"/>
    <w:rsid w:val="00983FF3"/>
    <w:rsid w:val="009840E0"/>
    <w:rsid w:val="00984241"/>
    <w:rsid w:val="009842AD"/>
    <w:rsid w:val="009842B4"/>
    <w:rsid w:val="009843F3"/>
    <w:rsid w:val="009845D0"/>
    <w:rsid w:val="00984866"/>
    <w:rsid w:val="009848F1"/>
    <w:rsid w:val="0098496C"/>
    <w:rsid w:val="00984998"/>
    <w:rsid w:val="009849C7"/>
    <w:rsid w:val="009849D9"/>
    <w:rsid w:val="00984C10"/>
    <w:rsid w:val="00984CE1"/>
    <w:rsid w:val="00984D1C"/>
    <w:rsid w:val="00984E28"/>
    <w:rsid w:val="00984E68"/>
    <w:rsid w:val="0098503B"/>
    <w:rsid w:val="0098512B"/>
    <w:rsid w:val="0098513A"/>
    <w:rsid w:val="009851A3"/>
    <w:rsid w:val="00985214"/>
    <w:rsid w:val="00985219"/>
    <w:rsid w:val="0098530F"/>
    <w:rsid w:val="0098534A"/>
    <w:rsid w:val="0098546B"/>
    <w:rsid w:val="009855B9"/>
    <w:rsid w:val="009855CB"/>
    <w:rsid w:val="0098562D"/>
    <w:rsid w:val="00985663"/>
    <w:rsid w:val="00985680"/>
    <w:rsid w:val="00985682"/>
    <w:rsid w:val="00985821"/>
    <w:rsid w:val="00985ABF"/>
    <w:rsid w:val="00985B68"/>
    <w:rsid w:val="00985B82"/>
    <w:rsid w:val="00985BB0"/>
    <w:rsid w:val="00985CB9"/>
    <w:rsid w:val="00985D13"/>
    <w:rsid w:val="00985D81"/>
    <w:rsid w:val="00985E15"/>
    <w:rsid w:val="00986003"/>
    <w:rsid w:val="00986072"/>
    <w:rsid w:val="0098611F"/>
    <w:rsid w:val="009861C3"/>
    <w:rsid w:val="0098632C"/>
    <w:rsid w:val="009863B3"/>
    <w:rsid w:val="0098644B"/>
    <w:rsid w:val="00986473"/>
    <w:rsid w:val="009865BA"/>
    <w:rsid w:val="009865E5"/>
    <w:rsid w:val="009865FF"/>
    <w:rsid w:val="0098665E"/>
    <w:rsid w:val="009866D5"/>
    <w:rsid w:val="009867B3"/>
    <w:rsid w:val="009867D8"/>
    <w:rsid w:val="0098680C"/>
    <w:rsid w:val="0098689C"/>
    <w:rsid w:val="009868BA"/>
    <w:rsid w:val="00986924"/>
    <w:rsid w:val="0098696F"/>
    <w:rsid w:val="00986A2B"/>
    <w:rsid w:val="00986ACA"/>
    <w:rsid w:val="00986ADE"/>
    <w:rsid w:val="00986AF4"/>
    <w:rsid w:val="00986B2B"/>
    <w:rsid w:val="00986C03"/>
    <w:rsid w:val="00986CD2"/>
    <w:rsid w:val="00986D1E"/>
    <w:rsid w:val="00986D57"/>
    <w:rsid w:val="00986DB0"/>
    <w:rsid w:val="00986E93"/>
    <w:rsid w:val="00986ECF"/>
    <w:rsid w:val="00986EF0"/>
    <w:rsid w:val="00986FED"/>
    <w:rsid w:val="009870FE"/>
    <w:rsid w:val="00987104"/>
    <w:rsid w:val="009871A5"/>
    <w:rsid w:val="009871B6"/>
    <w:rsid w:val="009871DD"/>
    <w:rsid w:val="0098721F"/>
    <w:rsid w:val="0098724E"/>
    <w:rsid w:val="009873A3"/>
    <w:rsid w:val="00987405"/>
    <w:rsid w:val="009874D2"/>
    <w:rsid w:val="0098751C"/>
    <w:rsid w:val="009876B7"/>
    <w:rsid w:val="009877CE"/>
    <w:rsid w:val="009877FF"/>
    <w:rsid w:val="00987847"/>
    <w:rsid w:val="009878D5"/>
    <w:rsid w:val="00987991"/>
    <w:rsid w:val="00987C5C"/>
    <w:rsid w:val="00987D4B"/>
    <w:rsid w:val="00987FB5"/>
    <w:rsid w:val="0099008E"/>
    <w:rsid w:val="0099015E"/>
    <w:rsid w:val="009901CA"/>
    <w:rsid w:val="009903D4"/>
    <w:rsid w:val="00990413"/>
    <w:rsid w:val="009904B0"/>
    <w:rsid w:val="009905F2"/>
    <w:rsid w:val="00990632"/>
    <w:rsid w:val="009907CA"/>
    <w:rsid w:val="0099092E"/>
    <w:rsid w:val="009909BD"/>
    <w:rsid w:val="00990A24"/>
    <w:rsid w:val="00990B8F"/>
    <w:rsid w:val="00990BFC"/>
    <w:rsid w:val="00990C74"/>
    <w:rsid w:val="00990C7B"/>
    <w:rsid w:val="00990C9E"/>
    <w:rsid w:val="00990CFF"/>
    <w:rsid w:val="00990DB7"/>
    <w:rsid w:val="00990E05"/>
    <w:rsid w:val="00990EC7"/>
    <w:rsid w:val="00990F35"/>
    <w:rsid w:val="00990F3F"/>
    <w:rsid w:val="00990FF7"/>
    <w:rsid w:val="0099113B"/>
    <w:rsid w:val="009911B7"/>
    <w:rsid w:val="009912FD"/>
    <w:rsid w:val="00991320"/>
    <w:rsid w:val="009913C3"/>
    <w:rsid w:val="00991475"/>
    <w:rsid w:val="00991518"/>
    <w:rsid w:val="0099161E"/>
    <w:rsid w:val="00991685"/>
    <w:rsid w:val="009916B9"/>
    <w:rsid w:val="00991856"/>
    <w:rsid w:val="00991865"/>
    <w:rsid w:val="009918A8"/>
    <w:rsid w:val="00991925"/>
    <w:rsid w:val="00991939"/>
    <w:rsid w:val="00991948"/>
    <w:rsid w:val="00991A70"/>
    <w:rsid w:val="00991C12"/>
    <w:rsid w:val="00991E10"/>
    <w:rsid w:val="00991E25"/>
    <w:rsid w:val="00991E34"/>
    <w:rsid w:val="00991EBE"/>
    <w:rsid w:val="00991FF4"/>
    <w:rsid w:val="00992111"/>
    <w:rsid w:val="009921DC"/>
    <w:rsid w:val="009921F1"/>
    <w:rsid w:val="009921FE"/>
    <w:rsid w:val="00992220"/>
    <w:rsid w:val="00992255"/>
    <w:rsid w:val="00992332"/>
    <w:rsid w:val="00992339"/>
    <w:rsid w:val="00992387"/>
    <w:rsid w:val="009923A5"/>
    <w:rsid w:val="009924C5"/>
    <w:rsid w:val="00992513"/>
    <w:rsid w:val="0099254C"/>
    <w:rsid w:val="00992646"/>
    <w:rsid w:val="009927FA"/>
    <w:rsid w:val="009928A8"/>
    <w:rsid w:val="009928AD"/>
    <w:rsid w:val="009928B3"/>
    <w:rsid w:val="00992942"/>
    <w:rsid w:val="00992A25"/>
    <w:rsid w:val="00992A3B"/>
    <w:rsid w:val="00992A94"/>
    <w:rsid w:val="00992ACA"/>
    <w:rsid w:val="00992AD6"/>
    <w:rsid w:val="00992CB7"/>
    <w:rsid w:val="00992D1A"/>
    <w:rsid w:val="00992D5E"/>
    <w:rsid w:val="00992D67"/>
    <w:rsid w:val="00992F4D"/>
    <w:rsid w:val="00992FE5"/>
    <w:rsid w:val="009930D4"/>
    <w:rsid w:val="00993177"/>
    <w:rsid w:val="009931A0"/>
    <w:rsid w:val="0099328C"/>
    <w:rsid w:val="009932B4"/>
    <w:rsid w:val="009932D4"/>
    <w:rsid w:val="009934E9"/>
    <w:rsid w:val="00993536"/>
    <w:rsid w:val="0099353A"/>
    <w:rsid w:val="0099361C"/>
    <w:rsid w:val="009936E5"/>
    <w:rsid w:val="00993723"/>
    <w:rsid w:val="00993751"/>
    <w:rsid w:val="009937B5"/>
    <w:rsid w:val="009939A1"/>
    <w:rsid w:val="00993A22"/>
    <w:rsid w:val="00993BB7"/>
    <w:rsid w:val="00993D13"/>
    <w:rsid w:val="00993D69"/>
    <w:rsid w:val="00994007"/>
    <w:rsid w:val="00994055"/>
    <w:rsid w:val="009940C4"/>
    <w:rsid w:val="00994152"/>
    <w:rsid w:val="00994207"/>
    <w:rsid w:val="0099420B"/>
    <w:rsid w:val="0099424C"/>
    <w:rsid w:val="0099449B"/>
    <w:rsid w:val="009944BE"/>
    <w:rsid w:val="009944C0"/>
    <w:rsid w:val="0099455A"/>
    <w:rsid w:val="0099479D"/>
    <w:rsid w:val="0099488D"/>
    <w:rsid w:val="00994917"/>
    <w:rsid w:val="00994A84"/>
    <w:rsid w:val="00994AA8"/>
    <w:rsid w:val="00994ADE"/>
    <w:rsid w:val="00994B38"/>
    <w:rsid w:val="00994CBD"/>
    <w:rsid w:val="00994D8D"/>
    <w:rsid w:val="00994E03"/>
    <w:rsid w:val="00994E51"/>
    <w:rsid w:val="00994E9F"/>
    <w:rsid w:val="00994EC9"/>
    <w:rsid w:val="00994F62"/>
    <w:rsid w:val="009951C9"/>
    <w:rsid w:val="009951F3"/>
    <w:rsid w:val="00995235"/>
    <w:rsid w:val="00995293"/>
    <w:rsid w:val="009952E7"/>
    <w:rsid w:val="00995463"/>
    <w:rsid w:val="009955E0"/>
    <w:rsid w:val="0099575B"/>
    <w:rsid w:val="009957EE"/>
    <w:rsid w:val="0099586D"/>
    <w:rsid w:val="0099590C"/>
    <w:rsid w:val="009959B0"/>
    <w:rsid w:val="00995A5B"/>
    <w:rsid w:val="00995A5D"/>
    <w:rsid w:val="00995A79"/>
    <w:rsid w:val="00995A7B"/>
    <w:rsid w:val="00995A85"/>
    <w:rsid w:val="00995AE1"/>
    <w:rsid w:val="00995B4A"/>
    <w:rsid w:val="00995B76"/>
    <w:rsid w:val="00995C43"/>
    <w:rsid w:val="00995D15"/>
    <w:rsid w:val="00995D79"/>
    <w:rsid w:val="00995EB4"/>
    <w:rsid w:val="00995F3A"/>
    <w:rsid w:val="00996000"/>
    <w:rsid w:val="009960A5"/>
    <w:rsid w:val="009960C3"/>
    <w:rsid w:val="009960EC"/>
    <w:rsid w:val="0099626D"/>
    <w:rsid w:val="009962C0"/>
    <w:rsid w:val="009962D7"/>
    <w:rsid w:val="0099631B"/>
    <w:rsid w:val="00996417"/>
    <w:rsid w:val="0099655F"/>
    <w:rsid w:val="00996570"/>
    <w:rsid w:val="0099657A"/>
    <w:rsid w:val="00996592"/>
    <w:rsid w:val="009965C0"/>
    <w:rsid w:val="009965EA"/>
    <w:rsid w:val="00996639"/>
    <w:rsid w:val="00996681"/>
    <w:rsid w:val="009967E4"/>
    <w:rsid w:val="009967F2"/>
    <w:rsid w:val="00996803"/>
    <w:rsid w:val="00996908"/>
    <w:rsid w:val="00996BBE"/>
    <w:rsid w:val="00996C92"/>
    <w:rsid w:val="00996D5E"/>
    <w:rsid w:val="00996E90"/>
    <w:rsid w:val="00996E95"/>
    <w:rsid w:val="00996EBF"/>
    <w:rsid w:val="00996F9A"/>
    <w:rsid w:val="00996FF8"/>
    <w:rsid w:val="00997003"/>
    <w:rsid w:val="0099707C"/>
    <w:rsid w:val="00997161"/>
    <w:rsid w:val="009971AC"/>
    <w:rsid w:val="009971BC"/>
    <w:rsid w:val="009971D1"/>
    <w:rsid w:val="00997259"/>
    <w:rsid w:val="009972D4"/>
    <w:rsid w:val="0099732B"/>
    <w:rsid w:val="00997393"/>
    <w:rsid w:val="0099743C"/>
    <w:rsid w:val="00997486"/>
    <w:rsid w:val="00997560"/>
    <w:rsid w:val="00997664"/>
    <w:rsid w:val="0099769C"/>
    <w:rsid w:val="009976C7"/>
    <w:rsid w:val="009976CC"/>
    <w:rsid w:val="00997702"/>
    <w:rsid w:val="00997715"/>
    <w:rsid w:val="00997790"/>
    <w:rsid w:val="0099779C"/>
    <w:rsid w:val="009977D7"/>
    <w:rsid w:val="009978C2"/>
    <w:rsid w:val="00997985"/>
    <w:rsid w:val="00997A5D"/>
    <w:rsid w:val="00997A5E"/>
    <w:rsid w:val="00997D65"/>
    <w:rsid w:val="00997E4D"/>
    <w:rsid w:val="00997EAE"/>
    <w:rsid w:val="00997F48"/>
    <w:rsid w:val="009A00B4"/>
    <w:rsid w:val="009A00EB"/>
    <w:rsid w:val="009A019C"/>
    <w:rsid w:val="009A0300"/>
    <w:rsid w:val="009A0370"/>
    <w:rsid w:val="009A03A0"/>
    <w:rsid w:val="009A046E"/>
    <w:rsid w:val="009A0562"/>
    <w:rsid w:val="009A0597"/>
    <w:rsid w:val="009A05BF"/>
    <w:rsid w:val="009A0668"/>
    <w:rsid w:val="009A076C"/>
    <w:rsid w:val="009A07A0"/>
    <w:rsid w:val="009A07FD"/>
    <w:rsid w:val="009A0819"/>
    <w:rsid w:val="009A08E1"/>
    <w:rsid w:val="009A0AA1"/>
    <w:rsid w:val="009A0D87"/>
    <w:rsid w:val="009A0E37"/>
    <w:rsid w:val="009A0EAF"/>
    <w:rsid w:val="009A0ED7"/>
    <w:rsid w:val="009A0EF8"/>
    <w:rsid w:val="009A0F8A"/>
    <w:rsid w:val="009A1034"/>
    <w:rsid w:val="009A103F"/>
    <w:rsid w:val="009A1054"/>
    <w:rsid w:val="009A1092"/>
    <w:rsid w:val="009A110C"/>
    <w:rsid w:val="009A1155"/>
    <w:rsid w:val="009A1321"/>
    <w:rsid w:val="009A1583"/>
    <w:rsid w:val="009A1639"/>
    <w:rsid w:val="009A1776"/>
    <w:rsid w:val="009A17FE"/>
    <w:rsid w:val="009A180D"/>
    <w:rsid w:val="009A183A"/>
    <w:rsid w:val="009A18C1"/>
    <w:rsid w:val="009A18C5"/>
    <w:rsid w:val="009A18F3"/>
    <w:rsid w:val="009A19BE"/>
    <w:rsid w:val="009A1B55"/>
    <w:rsid w:val="009A1B9A"/>
    <w:rsid w:val="009A1BB7"/>
    <w:rsid w:val="009A1D31"/>
    <w:rsid w:val="009A1E09"/>
    <w:rsid w:val="009A1E88"/>
    <w:rsid w:val="009A1F0B"/>
    <w:rsid w:val="009A1F3E"/>
    <w:rsid w:val="009A1FE6"/>
    <w:rsid w:val="009A205D"/>
    <w:rsid w:val="009A2132"/>
    <w:rsid w:val="009A2169"/>
    <w:rsid w:val="009A21A2"/>
    <w:rsid w:val="009A21A9"/>
    <w:rsid w:val="009A23AE"/>
    <w:rsid w:val="009A2418"/>
    <w:rsid w:val="009A2486"/>
    <w:rsid w:val="009A25BD"/>
    <w:rsid w:val="009A26ED"/>
    <w:rsid w:val="009A2735"/>
    <w:rsid w:val="009A27EA"/>
    <w:rsid w:val="009A2837"/>
    <w:rsid w:val="009A296C"/>
    <w:rsid w:val="009A2A19"/>
    <w:rsid w:val="009A2A54"/>
    <w:rsid w:val="009A2BCD"/>
    <w:rsid w:val="009A2BD0"/>
    <w:rsid w:val="009A2C21"/>
    <w:rsid w:val="009A2DAA"/>
    <w:rsid w:val="009A2F66"/>
    <w:rsid w:val="009A2FFE"/>
    <w:rsid w:val="009A3102"/>
    <w:rsid w:val="009A3168"/>
    <w:rsid w:val="009A317D"/>
    <w:rsid w:val="009A31D1"/>
    <w:rsid w:val="009A32A9"/>
    <w:rsid w:val="009A32E6"/>
    <w:rsid w:val="009A33A6"/>
    <w:rsid w:val="009A3647"/>
    <w:rsid w:val="009A365B"/>
    <w:rsid w:val="009A36D1"/>
    <w:rsid w:val="009A37F9"/>
    <w:rsid w:val="009A384B"/>
    <w:rsid w:val="009A3891"/>
    <w:rsid w:val="009A3A1F"/>
    <w:rsid w:val="009A3AEA"/>
    <w:rsid w:val="009A3B15"/>
    <w:rsid w:val="009A3BC2"/>
    <w:rsid w:val="009A3C9A"/>
    <w:rsid w:val="009A3CC3"/>
    <w:rsid w:val="009A3D01"/>
    <w:rsid w:val="009A3D55"/>
    <w:rsid w:val="009A3D68"/>
    <w:rsid w:val="009A3DEC"/>
    <w:rsid w:val="009A40BB"/>
    <w:rsid w:val="009A40C8"/>
    <w:rsid w:val="009A4120"/>
    <w:rsid w:val="009A4235"/>
    <w:rsid w:val="009A444B"/>
    <w:rsid w:val="009A4573"/>
    <w:rsid w:val="009A457E"/>
    <w:rsid w:val="009A45CE"/>
    <w:rsid w:val="009A4608"/>
    <w:rsid w:val="009A4660"/>
    <w:rsid w:val="009A47B4"/>
    <w:rsid w:val="009A47BE"/>
    <w:rsid w:val="009A485C"/>
    <w:rsid w:val="009A488D"/>
    <w:rsid w:val="009A4922"/>
    <w:rsid w:val="009A4968"/>
    <w:rsid w:val="009A4A55"/>
    <w:rsid w:val="009A4ABF"/>
    <w:rsid w:val="009A4ADF"/>
    <w:rsid w:val="009A4BAA"/>
    <w:rsid w:val="009A4C64"/>
    <w:rsid w:val="009A4C81"/>
    <w:rsid w:val="009A4C88"/>
    <w:rsid w:val="009A4CA6"/>
    <w:rsid w:val="009A4DC0"/>
    <w:rsid w:val="009A4E1F"/>
    <w:rsid w:val="009A4EA8"/>
    <w:rsid w:val="009A4F03"/>
    <w:rsid w:val="009A4F8B"/>
    <w:rsid w:val="009A5062"/>
    <w:rsid w:val="009A50FF"/>
    <w:rsid w:val="009A5222"/>
    <w:rsid w:val="009A522A"/>
    <w:rsid w:val="009A533C"/>
    <w:rsid w:val="009A545B"/>
    <w:rsid w:val="009A551B"/>
    <w:rsid w:val="009A561A"/>
    <w:rsid w:val="009A56E2"/>
    <w:rsid w:val="009A5792"/>
    <w:rsid w:val="009A5CC9"/>
    <w:rsid w:val="009A5E56"/>
    <w:rsid w:val="009A5E79"/>
    <w:rsid w:val="009A5E8E"/>
    <w:rsid w:val="009A5F35"/>
    <w:rsid w:val="009A5F66"/>
    <w:rsid w:val="009A6283"/>
    <w:rsid w:val="009A628A"/>
    <w:rsid w:val="009A6293"/>
    <w:rsid w:val="009A6363"/>
    <w:rsid w:val="009A64EA"/>
    <w:rsid w:val="009A6546"/>
    <w:rsid w:val="009A66D0"/>
    <w:rsid w:val="009A67B4"/>
    <w:rsid w:val="009A6872"/>
    <w:rsid w:val="009A68BF"/>
    <w:rsid w:val="009A6AD9"/>
    <w:rsid w:val="009A6ADC"/>
    <w:rsid w:val="009A6B0A"/>
    <w:rsid w:val="009A6B53"/>
    <w:rsid w:val="009A6C45"/>
    <w:rsid w:val="009A6C59"/>
    <w:rsid w:val="009A6D45"/>
    <w:rsid w:val="009A6D48"/>
    <w:rsid w:val="009A6DF8"/>
    <w:rsid w:val="009A6F79"/>
    <w:rsid w:val="009A70A7"/>
    <w:rsid w:val="009A71F0"/>
    <w:rsid w:val="009A7209"/>
    <w:rsid w:val="009A7232"/>
    <w:rsid w:val="009A725F"/>
    <w:rsid w:val="009A72EC"/>
    <w:rsid w:val="009A7406"/>
    <w:rsid w:val="009A7422"/>
    <w:rsid w:val="009A74FD"/>
    <w:rsid w:val="009A750F"/>
    <w:rsid w:val="009A7540"/>
    <w:rsid w:val="009A763B"/>
    <w:rsid w:val="009A7640"/>
    <w:rsid w:val="009A766F"/>
    <w:rsid w:val="009A76CC"/>
    <w:rsid w:val="009A770A"/>
    <w:rsid w:val="009A7754"/>
    <w:rsid w:val="009A792E"/>
    <w:rsid w:val="009A79E3"/>
    <w:rsid w:val="009A7A6E"/>
    <w:rsid w:val="009A7A8D"/>
    <w:rsid w:val="009A7ADD"/>
    <w:rsid w:val="009A7B1E"/>
    <w:rsid w:val="009A7CAA"/>
    <w:rsid w:val="009A7D05"/>
    <w:rsid w:val="009A7DC8"/>
    <w:rsid w:val="009A7DFD"/>
    <w:rsid w:val="009A7E41"/>
    <w:rsid w:val="009A7E69"/>
    <w:rsid w:val="009A7E97"/>
    <w:rsid w:val="009A7F1B"/>
    <w:rsid w:val="009A7F88"/>
    <w:rsid w:val="009A7FBA"/>
    <w:rsid w:val="009A7FE1"/>
    <w:rsid w:val="009A7FE8"/>
    <w:rsid w:val="009B001C"/>
    <w:rsid w:val="009B00C7"/>
    <w:rsid w:val="009B01FC"/>
    <w:rsid w:val="009B0287"/>
    <w:rsid w:val="009B02BF"/>
    <w:rsid w:val="009B0452"/>
    <w:rsid w:val="009B04C5"/>
    <w:rsid w:val="009B0526"/>
    <w:rsid w:val="009B05EB"/>
    <w:rsid w:val="009B07C7"/>
    <w:rsid w:val="009B086F"/>
    <w:rsid w:val="009B0997"/>
    <w:rsid w:val="009B09B6"/>
    <w:rsid w:val="009B09EE"/>
    <w:rsid w:val="009B09FE"/>
    <w:rsid w:val="009B0AF5"/>
    <w:rsid w:val="009B0C21"/>
    <w:rsid w:val="009B0C32"/>
    <w:rsid w:val="009B0C40"/>
    <w:rsid w:val="009B0C54"/>
    <w:rsid w:val="009B0D48"/>
    <w:rsid w:val="009B0DE8"/>
    <w:rsid w:val="009B0EE3"/>
    <w:rsid w:val="009B112E"/>
    <w:rsid w:val="009B11B8"/>
    <w:rsid w:val="009B127B"/>
    <w:rsid w:val="009B1369"/>
    <w:rsid w:val="009B1382"/>
    <w:rsid w:val="009B13A3"/>
    <w:rsid w:val="009B13B0"/>
    <w:rsid w:val="009B15B8"/>
    <w:rsid w:val="009B15D7"/>
    <w:rsid w:val="009B15E7"/>
    <w:rsid w:val="009B16BB"/>
    <w:rsid w:val="009B18A0"/>
    <w:rsid w:val="009B18FC"/>
    <w:rsid w:val="009B1A35"/>
    <w:rsid w:val="009B1A39"/>
    <w:rsid w:val="009B1AE6"/>
    <w:rsid w:val="009B1BD4"/>
    <w:rsid w:val="009B1BF4"/>
    <w:rsid w:val="009B1BFE"/>
    <w:rsid w:val="009B1D10"/>
    <w:rsid w:val="009B1D36"/>
    <w:rsid w:val="009B1D72"/>
    <w:rsid w:val="009B1ED3"/>
    <w:rsid w:val="009B200B"/>
    <w:rsid w:val="009B21E8"/>
    <w:rsid w:val="009B222B"/>
    <w:rsid w:val="009B23B6"/>
    <w:rsid w:val="009B2462"/>
    <w:rsid w:val="009B24A0"/>
    <w:rsid w:val="009B2831"/>
    <w:rsid w:val="009B28D7"/>
    <w:rsid w:val="009B2947"/>
    <w:rsid w:val="009B29FF"/>
    <w:rsid w:val="009B2A25"/>
    <w:rsid w:val="009B2A9E"/>
    <w:rsid w:val="009B2B08"/>
    <w:rsid w:val="009B2B7F"/>
    <w:rsid w:val="009B2C42"/>
    <w:rsid w:val="009B2CE3"/>
    <w:rsid w:val="009B2D61"/>
    <w:rsid w:val="009B2FA3"/>
    <w:rsid w:val="009B3019"/>
    <w:rsid w:val="009B303A"/>
    <w:rsid w:val="009B3041"/>
    <w:rsid w:val="009B307F"/>
    <w:rsid w:val="009B30AE"/>
    <w:rsid w:val="009B30F1"/>
    <w:rsid w:val="009B312B"/>
    <w:rsid w:val="009B32A3"/>
    <w:rsid w:val="009B345B"/>
    <w:rsid w:val="009B34BB"/>
    <w:rsid w:val="009B3540"/>
    <w:rsid w:val="009B35BF"/>
    <w:rsid w:val="009B35FF"/>
    <w:rsid w:val="009B363F"/>
    <w:rsid w:val="009B368F"/>
    <w:rsid w:val="009B382B"/>
    <w:rsid w:val="009B38F4"/>
    <w:rsid w:val="009B396D"/>
    <w:rsid w:val="009B3A13"/>
    <w:rsid w:val="009B3D74"/>
    <w:rsid w:val="009B3EC4"/>
    <w:rsid w:val="009B3F23"/>
    <w:rsid w:val="009B3F4F"/>
    <w:rsid w:val="009B421D"/>
    <w:rsid w:val="009B430B"/>
    <w:rsid w:val="009B43EC"/>
    <w:rsid w:val="009B44D4"/>
    <w:rsid w:val="009B44E1"/>
    <w:rsid w:val="009B457F"/>
    <w:rsid w:val="009B4678"/>
    <w:rsid w:val="009B479F"/>
    <w:rsid w:val="009B47EF"/>
    <w:rsid w:val="009B48A8"/>
    <w:rsid w:val="009B492E"/>
    <w:rsid w:val="009B4986"/>
    <w:rsid w:val="009B499B"/>
    <w:rsid w:val="009B49FF"/>
    <w:rsid w:val="009B4A99"/>
    <w:rsid w:val="009B4C22"/>
    <w:rsid w:val="009B4D0F"/>
    <w:rsid w:val="009B4E25"/>
    <w:rsid w:val="009B4E5A"/>
    <w:rsid w:val="009B4E99"/>
    <w:rsid w:val="009B4FE4"/>
    <w:rsid w:val="009B505A"/>
    <w:rsid w:val="009B507A"/>
    <w:rsid w:val="009B5089"/>
    <w:rsid w:val="009B5110"/>
    <w:rsid w:val="009B52E7"/>
    <w:rsid w:val="009B537D"/>
    <w:rsid w:val="009B5409"/>
    <w:rsid w:val="009B54B3"/>
    <w:rsid w:val="009B54CA"/>
    <w:rsid w:val="009B5597"/>
    <w:rsid w:val="009B56B4"/>
    <w:rsid w:val="009B56C3"/>
    <w:rsid w:val="009B57CF"/>
    <w:rsid w:val="009B58F3"/>
    <w:rsid w:val="009B5992"/>
    <w:rsid w:val="009B5A3E"/>
    <w:rsid w:val="009B5B3B"/>
    <w:rsid w:val="009B5B74"/>
    <w:rsid w:val="009B5C1C"/>
    <w:rsid w:val="009B5CD4"/>
    <w:rsid w:val="009B5D38"/>
    <w:rsid w:val="009B5D39"/>
    <w:rsid w:val="009B5D50"/>
    <w:rsid w:val="009B5E35"/>
    <w:rsid w:val="009B5E43"/>
    <w:rsid w:val="009B5E6F"/>
    <w:rsid w:val="009B5F2D"/>
    <w:rsid w:val="009B5F74"/>
    <w:rsid w:val="009B6041"/>
    <w:rsid w:val="009B6137"/>
    <w:rsid w:val="009B616D"/>
    <w:rsid w:val="009B62A7"/>
    <w:rsid w:val="009B6455"/>
    <w:rsid w:val="009B648C"/>
    <w:rsid w:val="009B6493"/>
    <w:rsid w:val="009B6520"/>
    <w:rsid w:val="009B6604"/>
    <w:rsid w:val="009B6649"/>
    <w:rsid w:val="009B6653"/>
    <w:rsid w:val="009B6762"/>
    <w:rsid w:val="009B6772"/>
    <w:rsid w:val="009B68C2"/>
    <w:rsid w:val="009B68DB"/>
    <w:rsid w:val="009B695A"/>
    <w:rsid w:val="009B699B"/>
    <w:rsid w:val="009B699D"/>
    <w:rsid w:val="009B69E2"/>
    <w:rsid w:val="009B6A1F"/>
    <w:rsid w:val="009B6AC0"/>
    <w:rsid w:val="009B6B11"/>
    <w:rsid w:val="009B6C41"/>
    <w:rsid w:val="009B6C7E"/>
    <w:rsid w:val="009B6CA4"/>
    <w:rsid w:val="009B6E9A"/>
    <w:rsid w:val="009B6ECD"/>
    <w:rsid w:val="009B6EE5"/>
    <w:rsid w:val="009B6F56"/>
    <w:rsid w:val="009B706D"/>
    <w:rsid w:val="009B7085"/>
    <w:rsid w:val="009B70CA"/>
    <w:rsid w:val="009B70DA"/>
    <w:rsid w:val="009B712B"/>
    <w:rsid w:val="009B7177"/>
    <w:rsid w:val="009B7186"/>
    <w:rsid w:val="009B71C8"/>
    <w:rsid w:val="009B729E"/>
    <w:rsid w:val="009B72EC"/>
    <w:rsid w:val="009B734C"/>
    <w:rsid w:val="009B7367"/>
    <w:rsid w:val="009B74A0"/>
    <w:rsid w:val="009B7526"/>
    <w:rsid w:val="009B752B"/>
    <w:rsid w:val="009B7572"/>
    <w:rsid w:val="009B757C"/>
    <w:rsid w:val="009B7619"/>
    <w:rsid w:val="009B768F"/>
    <w:rsid w:val="009B773B"/>
    <w:rsid w:val="009B7818"/>
    <w:rsid w:val="009B7968"/>
    <w:rsid w:val="009B7A2A"/>
    <w:rsid w:val="009B7A7B"/>
    <w:rsid w:val="009B7AE6"/>
    <w:rsid w:val="009B7CAA"/>
    <w:rsid w:val="009B7CBD"/>
    <w:rsid w:val="009B7CC9"/>
    <w:rsid w:val="009B7D58"/>
    <w:rsid w:val="009B7DD3"/>
    <w:rsid w:val="009B7E13"/>
    <w:rsid w:val="009B7E42"/>
    <w:rsid w:val="009B7E65"/>
    <w:rsid w:val="009B7EAA"/>
    <w:rsid w:val="009B7EC9"/>
    <w:rsid w:val="009B7FA8"/>
    <w:rsid w:val="009B7FDC"/>
    <w:rsid w:val="009C007C"/>
    <w:rsid w:val="009C0209"/>
    <w:rsid w:val="009C02BF"/>
    <w:rsid w:val="009C02EB"/>
    <w:rsid w:val="009C039A"/>
    <w:rsid w:val="009C0537"/>
    <w:rsid w:val="009C0689"/>
    <w:rsid w:val="009C07A6"/>
    <w:rsid w:val="009C094A"/>
    <w:rsid w:val="009C09C2"/>
    <w:rsid w:val="009C0C11"/>
    <w:rsid w:val="009C0C84"/>
    <w:rsid w:val="009C0D29"/>
    <w:rsid w:val="009C0FF0"/>
    <w:rsid w:val="009C1020"/>
    <w:rsid w:val="009C1038"/>
    <w:rsid w:val="009C10F8"/>
    <w:rsid w:val="009C115E"/>
    <w:rsid w:val="009C12BA"/>
    <w:rsid w:val="009C1549"/>
    <w:rsid w:val="009C155A"/>
    <w:rsid w:val="009C15D4"/>
    <w:rsid w:val="009C1672"/>
    <w:rsid w:val="009C1699"/>
    <w:rsid w:val="009C1721"/>
    <w:rsid w:val="009C17AE"/>
    <w:rsid w:val="009C1845"/>
    <w:rsid w:val="009C1864"/>
    <w:rsid w:val="009C18EF"/>
    <w:rsid w:val="009C1C28"/>
    <w:rsid w:val="009C1C2D"/>
    <w:rsid w:val="009C1C40"/>
    <w:rsid w:val="009C1C59"/>
    <w:rsid w:val="009C1D55"/>
    <w:rsid w:val="009C1D78"/>
    <w:rsid w:val="009C1DA8"/>
    <w:rsid w:val="009C1DB7"/>
    <w:rsid w:val="009C1DE8"/>
    <w:rsid w:val="009C1E8A"/>
    <w:rsid w:val="009C2004"/>
    <w:rsid w:val="009C2024"/>
    <w:rsid w:val="009C20A2"/>
    <w:rsid w:val="009C2205"/>
    <w:rsid w:val="009C221D"/>
    <w:rsid w:val="009C224E"/>
    <w:rsid w:val="009C235B"/>
    <w:rsid w:val="009C23BD"/>
    <w:rsid w:val="009C23FB"/>
    <w:rsid w:val="009C2752"/>
    <w:rsid w:val="009C27C2"/>
    <w:rsid w:val="009C28B8"/>
    <w:rsid w:val="009C295A"/>
    <w:rsid w:val="009C29F9"/>
    <w:rsid w:val="009C2A7C"/>
    <w:rsid w:val="009C2AB7"/>
    <w:rsid w:val="009C2ADA"/>
    <w:rsid w:val="009C2B9F"/>
    <w:rsid w:val="009C2BC4"/>
    <w:rsid w:val="009C2BEC"/>
    <w:rsid w:val="009C2C9C"/>
    <w:rsid w:val="009C2DFA"/>
    <w:rsid w:val="009C2FF3"/>
    <w:rsid w:val="009C32A6"/>
    <w:rsid w:val="009C3361"/>
    <w:rsid w:val="009C33A0"/>
    <w:rsid w:val="009C3489"/>
    <w:rsid w:val="009C366F"/>
    <w:rsid w:val="009C36A4"/>
    <w:rsid w:val="009C38EE"/>
    <w:rsid w:val="009C3ADD"/>
    <w:rsid w:val="009C3B56"/>
    <w:rsid w:val="009C3B73"/>
    <w:rsid w:val="009C3D46"/>
    <w:rsid w:val="009C3F32"/>
    <w:rsid w:val="009C41D0"/>
    <w:rsid w:val="009C43E6"/>
    <w:rsid w:val="009C48B5"/>
    <w:rsid w:val="009C48D1"/>
    <w:rsid w:val="009C4946"/>
    <w:rsid w:val="009C49F4"/>
    <w:rsid w:val="009C4BE6"/>
    <w:rsid w:val="009C4BFC"/>
    <w:rsid w:val="009C4C1D"/>
    <w:rsid w:val="009C4CF7"/>
    <w:rsid w:val="009C4CFC"/>
    <w:rsid w:val="009C4E51"/>
    <w:rsid w:val="009C4F65"/>
    <w:rsid w:val="009C4F76"/>
    <w:rsid w:val="009C4F9A"/>
    <w:rsid w:val="009C5022"/>
    <w:rsid w:val="009C5149"/>
    <w:rsid w:val="009C514D"/>
    <w:rsid w:val="009C51BB"/>
    <w:rsid w:val="009C5301"/>
    <w:rsid w:val="009C5432"/>
    <w:rsid w:val="009C54EE"/>
    <w:rsid w:val="009C5544"/>
    <w:rsid w:val="009C556F"/>
    <w:rsid w:val="009C5582"/>
    <w:rsid w:val="009C55FC"/>
    <w:rsid w:val="009C5665"/>
    <w:rsid w:val="009C569F"/>
    <w:rsid w:val="009C56BC"/>
    <w:rsid w:val="009C58EE"/>
    <w:rsid w:val="009C58FB"/>
    <w:rsid w:val="009C590C"/>
    <w:rsid w:val="009C595F"/>
    <w:rsid w:val="009C5A3A"/>
    <w:rsid w:val="009C5A4F"/>
    <w:rsid w:val="009C5AE0"/>
    <w:rsid w:val="009C5B53"/>
    <w:rsid w:val="009C5CB2"/>
    <w:rsid w:val="009C5EA1"/>
    <w:rsid w:val="009C5F25"/>
    <w:rsid w:val="009C5F76"/>
    <w:rsid w:val="009C5FC1"/>
    <w:rsid w:val="009C607F"/>
    <w:rsid w:val="009C608E"/>
    <w:rsid w:val="009C617C"/>
    <w:rsid w:val="009C61C6"/>
    <w:rsid w:val="009C63E3"/>
    <w:rsid w:val="009C6467"/>
    <w:rsid w:val="009C64A0"/>
    <w:rsid w:val="009C6536"/>
    <w:rsid w:val="009C6584"/>
    <w:rsid w:val="009C65A2"/>
    <w:rsid w:val="009C6601"/>
    <w:rsid w:val="009C6617"/>
    <w:rsid w:val="009C661F"/>
    <w:rsid w:val="009C663E"/>
    <w:rsid w:val="009C66CA"/>
    <w:rsid w:val="009C66CB"/>
    <w:rsid w:val="009C67B0"/>
    <w:rsid w:val="009C684A"/>
    <w:rsid w:val="009C6891"/>
    <w:rsid w:val="009C68D5"/>
    <w:rsid w:val="009C6A4E"/>
    <w:rsid w:val="009C6BE9"/>
    <w:rsid w:val="009C6C61"/>
    <w:rsid w:val="009C6C67"/>
    <w:rsid w:val="009C6D38"/>
    <w:rsid w:val="009C6D76"/>
    <w:rsid w:val="009C6DA3"/>
    <w:rsid w:val="009C6DFC"/>
    <w:rsid w:val="009C6E28"/>
    <w:rsid w:val="009C6EA0"/>
    <w:rsid w:val="009C6FBA"/>
    <w:rsid w:val="009C703F"/>
    <w:rsid w:val="009C71B3"/>
    <w:rsid w:val="009C728F"/>
    <w:rsid w:val="009C7298"/>
    <w:rsid w:val="009C72EA"/>
    <w:rsid w:val="009C7300"/>
    <w:rsid w:val="009C73CB"/>
    <w:rsid w:val="009C73FC"/>
    <w:rsid w:val="009C75D9"/>
    <w:rsid w:val="009C769B"/>
    <w:rsid w:val="009C76E0"/>
    <w:rsid w:val="009C7714"/>
    <w:rsid w:val="009C77C7"/>
    <w:rsid w:val="009C77DC"/>
    <w:rsid w:val="009C7975"/>
    <w:rsid w:val="009C79DE"/>
    <w:rsid w:val="009C7A0F"/>
    <w:rsid w:val="009C7A1A"/>
    <w:rsid w:val="009C7A54"/>
    <w:rsid w:val="009C7B32"/>
    <w:rsid w:val="009C7BB8"/>
    <w:rsid w:val="009C7BE5"/>
    <w:rsid w:val="009C7C01"/>
    <w:rsid w:val="009C7C3D"/>
    <w:rsid w:val="009C7C97"/>
    <w:rsid w:val="009C7CBD"/>
    <w:rsid w:val="009C7EAF"/>
    <w:rsid w:val="009C7ECE"/>
    <w:rsid w:val="009C7F7B"/>
    <w:rsid w:val="009C7F80"/>
    <w:rsid w:val="009D0077"/>
    <w:rsid w:val="009D018C"/>
    <w:rsid w:val="009D01C2"/>
    <w:rsid w:val="009D01D4"/>
    <w:rsid w:val="009D0220"/>
    <w:rsid w:val="009D0256"/>
    <w:rsid w:val="009D02CA"/>
    <w:rsid w:val="009D02FD"/>
    <w:rsid w:val="009D0330"/>
    <w:rsid w:val="009D033C"/>
    <w:rsid w:val="009D06E3"/>
    <w:rsid w:val="009D0775"/>
    <w:rsid w:val="009D077B"/>
    <w:rsid w:val="009D07D7"/>
    <w:rsid w:val="009D08FF"/>
    <w:rsid w:val="009D0958"/>
    <w:rsid w:val="009D0A5E"/>
    <w:rsid w:val="009D0B64"/>
    <w:rsid w:val="009D0B67"/>
    <w:rsid w:val="009D0BA7"/>
    <w:rsid w:val="009D0BDA"/>
    <w:rsid w:val="009D0BF4"/>
    <w:rsid w:val="009D0C2B"/>
    <w:rsid w:val="009D0C6A"/>
    <w:rsid w:val="009D0E3F"/>
    <w:rsid w:val="009D0FE5"/>
    <w:rsid w:val="009D1234"/>
    <w:rsid w:val="009D1243"/>
    <w:rsid w:val="009D1350"/>
    <w:rsid w:val="009D146F"/>
    <w:rsid w:val="009D1492"/>
    <w:rsid w:val="009D14A2"/>
    <w:rsid w:val="009D14F7"/>
    <w:rsid w:val="009D15D5"/>
    <w:rsid w:val="009D1729"/>
    <w:rsid w:val="009D199D"/>
    <w:rsid w:val="009D1A83"/>
    <w:rsid w:val="009D1A9A"/>
    <w:rsid w:val="009D1B9C"/>
    <w:rsid w:val="009D1CD3"/>
    <w:rsid w:val="009D1DDD"/>
    <w:rsid w:val="009D1F11"/>
    <w:rsid w:val="009D1F62"/>
    <w:rsid w:val="009D2018"/>
    <w:rsid w:val="009D2105"/>
    <w:rsid w:val="009D2135"/>
    <w:rsid w:val="009D21E6"/>
    <w:rsid w:val="009D2246"/>
    <w:rsid w:val="009D22E7"/>
    <w:rsid w:val="009D22E9"/>
    <w:rsid w:val="009D240F"/>
    <w:rsid w:val="009D2558"/>
    <w:rsid w:val="009D2598"/>
    <w:rsid w:val="009D264F"/>
    <w:rsid w:val="009D279D"/>
    <w:rsid w:val="009D28C7"/>
    <w:rsid w:val="009D2993"/>
    <w:rsid w:val="009D2B9B"/>
    <w:rsid w:val="009D2C0C"/>
    <w:rsid w:val="009D2DE1"/>
    <w:rsid w:val="009D2E1B"/>
    <w:rsid w:val="009D2FEA"/>
    <w:rsid w:val="009D3053"/>
    <w:rsid w:val="009D305D"/>
    <w:rsid w:val="009D3118"/>
    <w:rsid w:val="009D3218"/>
    <w:rsid w:val="009D3236"/>
    <w:rsid w:val="009D3256"/>
    <w:rsid w:val="009D333C"/>
    <w:rsid w:val="009D3398"/>
    <w:rsid w:val="009D34F3"/>
    <w:rsid w:val="009D34F7"/>
    <w:rsid w:val="009D35F9"/>
    <w:rsid w:val="009D3690"/>
    <w:rsid w:val="009D380A"/>
    <w:rsid w:val="009D3821"/>
    <w:rsid w:val="009D3986"/>
    <w:rsid w:val="009D3997"/>
    <w:rsid w:val="009D39A9"/>
    <w:rsid w:val="009D39CD"/>
    <w:rsid w:val="009D3A2E"/>
    <w:rsid w:val="009D3B4D"/>
    <w:rsid w:val="009D3BA0"/>
    <w:rsid w:val="009D3C06"/>
    <w:rsid w:val="009D3DBF"/>
    <w:rsid w:val="009D3E95"/>
    <w:rsid w:val="009D3EC0"/>
    <w:rsid w:val="009D3F76"/>
    <w:rsid w:val="009D3FD4"/>
    <w:rsid w:val="009D3FD6"/>
    <w:rsid w:val="009D3FD7"/>
    <w:rsid w:val="009D4117"/>
    <w:rsid w:val="009D4118"/>
    <w:rsid w:val="009D4222"/>
    <w:rsid w:val="009D4301"/>
    <w:rsid w:val="009D4313"/>
    <w:rsid w:val="009D442F"/>
    <w:rsid w:val="009D4478"/>
    <w:rsid w:val="009D44D9"/>
    <w:rsid w:val="009D44E1"/>
    <w:rsid w:val="009D4578"/>
    <w:rsid w:val="009D460C"/>
    <w:rsid w:val="009D468D"/>
    <w:rsid w:val="009D4896"/>
    <w:rsid w:val="009D48E9"/>
    <w:rsid w:val="009D4900"/>
    <w:rsid w:val="009D49A6"/>
    <w:rsid w:val="009D49F3"/>
    <w:rsid w:val="009D4A6F"/>
    <w:rsid w:val="009D4AE4"/>
    <w:rsid w:val="009D4B2D"/>
    <w:rsid w:val="009D4B5E"/>
    <w:rsid w:val="009D4D0C"/>
    <w:rsid w:val="009D4D3A"/>
    <w:rsid w:val="009D4D9F"/>
    <w:rsid w:val="009D4E0D"/>
    <w:rsid w:val="009D4F34"/>
    <w:rsid w:val="009D505B"/>
    <w:rsid w:val="009D5077"/>
    <w:rsid w:val="009D515F"/>
    <w:rsid w:val="009D520D"/>
    <w:rsid w:val="009D52E6"/>
    <w:rsid w:val="009D5335"/>
    <w:rsid w:val="009D5383"/>
    <w:rsid w:val="009D55A9"/>
    <w:rsid w:val="009D560E"/>
    <w:rsid w:val="009D57BD"/>
    <w:rsid w:val="009D5843"/>
    <w:rsid w:val="009D59AF"/>
    <w:rsid w:val="009D5B64"/>
    <w:rsid w:val="009D5BAD"/>
    <w:rsid w:val="009D5BD4"/>
    <w:rsid w:val="009D5C1E"/>
    <w:rsid w:val="009D5C93"/>
    <w:rsid w:val="009D5D04"/>
    <w:rsid w:val="009D5DA9"/>
    <w:rsid w:val="009D5E11"/>
    <w:rsid w:val="009D5E80"/>
    <w:rsid w:val="009D6000"/>
    <w:rsid w:val="009D6179"/>
    <w:rsid w:val="009D61B3"/>
    <w:rsid w:val="009D621B"/>
    <w:rsid w:val="009D6299"/>
    <w:rsid w:val="009D635B"/>
    <w:rsid w:val="009D6380"/>
    <w:rsid w:val="009D638D"/>
    <w:rsid w:val="009D6392"/>
    <w:rsid w:val="009D63BE"/>
    <w:rsid w:val="009D63D5"/>
    <w:rsid w:val="009D64C0"/>
    <w:rsid w:val="009D64F5"/>
    <w:rsid w:val="009D6746"/>
    <w:rsid w:val="009D679A"/>
    <w:rsid w:val="009D67BA"/>
    <w:rsid w:val="009D68F6"/>
    <w:rsid w:val="009D6945"/>
    <w:rsid w:val="009D69FF"/>
    <w:rsid w:val="009D6B47"/>
    <w:rsid w:val="009D6BC0"/>
    <w:rsid w:val="009D6BD7"/>
    <w:rsid w:val="009D6E33"/>
    <w:rsid w:val="009D6E35"/>
    <w:rsid w:val="009D6EF5"/>
    <w:rsid w:val="009D6F0F"/>
    <w:rsid w:val="009D6F73"/>
    <w:rsid w:val="009D7351"/>
    <w:rsid w:val="009D7386"/>
    <w:rsid w:val="009D73AE"/>
    <w:rsid w:val="009D7468"/>
    <w:rsid w:val="009D748C"/>
    <w:rsid w:val="009D756D"/>
    <w:rsid w:val="009D7591"/>
    <w:rsid w:val="009D76A6"/>
    <w:rsid w:val="009D7757"/>
    <w:rsid w:val="009D7797"/>
    <w:rsid w:val="009D7826"/>
    <w:rsid w:val="009D78DD"/>
    <w:rsid w:val="009D7900"/>
    <w:rsid w:val="009D7988"/>
    <w:rsid w:val="009D7ADE"/>
    <w:rsid w:val="009D7B8F"/>
    <w:rsid w:val="009D7BCA"/>
    <w:rsid w:val="009D7C64"/>
    <w:rsid w:val="009D7CBF"/>
    <w:rsid w:val="009D7D69"/>
    <w:rsid w:val="009D7E1F"/>
    <w:rsid w:val="009D7E3E"/>
    <w:rsid w:val="009E0057"/>
    <w:rsid w:val="009E00A1"/>
    <w:rsid w:val="009E0152"/>
    <w:rsid w:val="009E01AE"/>
    <w:rsid w:val="009E01B9"/>
    <w:rsid w:val="009E0219"/>
    <w:rsid w:val="009E0239"/>
    <w:rsid w:val="009E025E"/>
    <w:rsid w:val="009E02E3"/>
    <w:rsid w:val="009E040E"/>
    <w:rsid w:val="009E04D3"/>
    <w:rsid w:val="009E059C"/>
    <w:rsid w:val="009E05D6"/>
    <w:rsid w:val="009E0662"/>
    <w:rsid w:val="009E06AC"/>
    <w:rsid w:val="009E06EE"/>
    <w:rsid w:val="009E0712"/>
    <w:rsid w:val="009E08EC"/>
    <w:rsid w:val="009E0A88"/>
    <w:rsid w:val="009E0B13"/>
    <w:rsid w:val="009E0BC6"/>
    <w:rsid w:val="009E0C53"/>
    <w:rsid w:val="009E0C93"/>
    <w:rsid w:val="009E0EA2"/>
    <w:rsid w:val="009E0EFB"/>
    <w:rsid w:val="009E112B"/>
    <w:rsid w:val="009E11CA"/>
    <w:rsid w:val="009E125E"/>
    <w:rsid w:val="009E1308"/>
    <w:rsid w:val="009E15B2"/>
    <w:rsid w:val="009E15D7"/>
    <w:rsid w:val="009E17CC"/>
    <w:rsid w:val="009E17F2"/>
    <w:rsid w:val="009E1816"/>
    <w:rsid w:val="009E19F2"/>
    <w:rsid w:val="009E1A31"/>
    <w:rsid w:val="009E1A67"/>
    <w:rsid w:val="009E1A69"/>
    <w:rsid w:val="009E1AB8"/>
    <w:rsid w:val="009E1AC0"/>
    <w:rsid w:val="009E1C86"/>
    <w:rsid w:val="009E1CB2"/>
    <w:rsid w:val="009E1DBB"/>
    <w:rsid w:val="009E1E5D"/>
    <w:rsid w:val="009E1EB4"/>
    <w:rsid w:val="009E1EBB"/>
    <w:rsid w:val="009E1F59"/>
    <w:rsid w:val="009E1F6A"/>
    <w:rsid w:val="009E1F81"/>
    <w:rsid w:val="009E2035"/>
    <w:rsid w:val="009E20EC"/>
    <w:rsid w:val="009E2134"/>
    <w:rsid w:val="009E2141"/>
    <w:rsid w:val="009E214D"/>
    <w:rsid w:val="009E216E"/>
    <w:rsid w:val="009E2170"/>
    <w:rsid w:val="009E21DB"/>
    <w:rsid w:val="009E2356"/>
    <w:rsid w:val="009E238D"/>
    <w:rsid w:val="009E23DC"/>
    <w:rsid w:val="009E2458"/>
    <w:rsid w:val="009E24E1"/>
    <w:rsid w:val="009E2541"/>
    <w:rsid w:val="009E257A"/>
    <w:rsid w:val="009E26D8"/>
    <w:rsid w:val="009E27E7"/>
    <w:rsid w:val="009E28BF"/>
    <w:rsid w:val="009E28E9"/>
    <w:rsid w:val="009E28EC"/>
    <w:rsid w:val="009E2A61"/>
    <w:rsid w:val="009E2B46"/>
    <w:rsid w:val="009E2BB7"/>
    <w:rsid w:val="009E2DD2"/>
    <w:rsid w:val="009E2DE0"/>
    <w:rsid w:val="009E2E8B"/>
    <w:rsid w:val="009E2E94"/>
    <w:rsid w:val="009E2F41"/>
    <w:rsid w:val="009E2F70"/>
    <w:rsid w:val="009E2F7C"/>
    <w:rsid w:val="009E2FC4"/>
    <w:rsid w:val="009E30DC"/>
    <w:rsid w:val="009E3103"/>
    <w:rsid w:val="009E315A"/>
    <w:rsid w:val="009E31AC"/>
    <w:rsid w:val="009E3220"/>
    <w:rsid w:val="009E3283"/>
    <w:rsid w:val="009E335E"/>
    <w:rsid w:val="009E33DC"/>
    <w:rsid w:val="009E349A"/>
    <w:rsid w:val="009E349F"/>
    <w:rsid w:val="009E34ED"/>
    <w:rsid w:val="009E3525"/>
    <w:rsid w:val="009E353F"/>
    <w:rsid w:val="009E3565"/>
    <w:rsid w:val="009E3577"/>
    <w:rsid w:val="009E359C"/>
    <w:rsid w:val="009E3639"/>
    <w:rsid w:val="009E3657"/>
    <w:rsid w:val="009E3712"/>
    <w:rsid w:val="009E3791"/>
    <w:rsid w:val="009E37A2"/>
    <w:rsid w:val="009E3847"/>
    <w:rsid w:val="009E3894"/>
    <w:rsid w:val="009E38C3"/>
    <w:rsid w:val="009E3A4B"/>
    <w:rsid w:val="009E3AC5"/>
    <w:rsid w:val="009E3B13"/>
    <w:rsid w:val="009E3BDB"/>
    <w:rsid w:val="009E3BE5"/>
    <w:rsid w:val="009E3DE3"/>
    <w:rsid w:val="009E3E0C"/>
    <w:rsid w:val="009E3E5D"/>
    <w:rsid w:val="009E4021"/>
    <w:rsid w:val="009E403A"/>
    <w:rsid w:val="009E40EE"/>
    <w:rsid w:val="009E423D"/>
    <w:rsid w:val="009E4257"/>
    <w:rsid w:val="009E4280"/>
    <w:rsid w:val="009E42BC"/>
    <w:rsid w:val="009E431E"/>
    <w:rsid w:val="009E4438"/>
    <w:rsid w:val="009E4492"/>
    <w:rsid w:val="009E4657"/>
    <w:rsid w:val="009E46A6"/>
    <w:rsid w:val="009E4841"/>
    <w:rsid w:val="009E49FD"/>
    <w:rsid w:val="009E4B69"/>
    <w:rsid w:val="009E4BB3"/>
    <w:rsid w:val="009E4BDF"/>
    <w:rsid w:val="009E4D5A"/>
    <w:rsid w:val="009E4D8C"/>
    <w:rsid w:val="009E4E1B"/>
    <w:rsid w:val="009E4E4D"/>
    <w:rsid w:val="009E4E79"/>
    <w:rsid w:val="009E4EC6"/>
    <w:rsid w:val="009E4ECC"/>
    <w:rsid w:val="009E4EE4"/>
    <w:rsid w:val="009E4F09"/>
    <w:rsid w:val="009E4FEF"/>
    <w:rsid w:val="009E5010"/>
    <w:rsid w:val="009E50F0"/>
    <w:rsid w:val="009E5133"/>
    <w:rsid w:val="009E5184"/>
    <w:rsid w:val="009E51DB"/>
    <w:rsid w:val="009E51F8"/>
    <w:rsid w:val="009E5294"/>
    <w:rsid w:val="009E532F"/>
    <w:rsid w:val="009E543D"/>
    <w:rsid w:val="009E5443"/>
    <w:rsid w:val="009E54ED"/>
    <w:rsid w:val="009E5526"/>
    <w:rsid w:val="009E556E"/>
    <w:rsid w:val="009E558B"/>
    <w:rsid w:val="009E568D"/>
    <w:rsid w:val="009E57B2"/>
    <w:rsid w:val="009E5836"/>
    <w:rsid w:val="009E58E3"/>
    <w:rsid w:val="009E5951"/>
    <w:rsid w:val="009E59EE"/>
    <w:rsid w:val="009E5A0A"/>
    <w:rsid w:val="009E5BC2"/>
    <w:rsid w:val="009E5C18"/>
    <w:rsid w:val="009E5CA7"/>
    <w:rsid w:val="009E5E65"/>
    <w:rsid w:val="009E60BA"/>
    <w:rsid w:val="009E6107"/>
    <w:rsid w:val="009E6142"/>
    <w:rsid w:val="009E6242"/>
    <w:rsid w:val="009E62B5"/>
    <w:rsid w:val="009E635B"/>
    <w:rsid w:val="009E63F6"/>
    <w:rsid w:val="009E6474"/>
    <w:rsid w:val="009E64C4"/>
    <w:rsid w:val="009E64D0"/>
    <w:rsid w:val="009E64F5"/>
    <w:rsid w:val="009E6718"/>
    <w:rsid w:val="009E6925"/>
    <w:rsid w:val="009E69E9"/>
    <w:rsid w:val="009E6A16"/>
    <w:rsid w:val="009E6A28"/>
    <w:rsid w:val="009E6A4D"/>
    <w:rsid w:val="009E6B62"/>
    <w:rsid w:val="009E6B81"/>
    <w:rsid w:val="009E6D28"/>
    <w:rsid w:val="009E6D81"/>
    <w:rsid w:val="009E6EF1"/>
    <w:rsid w:val="009E6F47"/>
    <w:rsid w:val="009E6F58"/>
    <w:rsid w:val="009E6FF8"/>
    <w:rsid w:val="009E7101"/>
    <w:rsid w:val="009E712E"/>
    <w:rsid w:val="009E720A"/>
    <w:rsid w:val="009E7421"/>
    <w:rsid w:val="009E7477"/>
    <w:rsid w:val="009E74BA"/>
    <w:rsid w:val="009E75A7"/>
    <w:rsid w:val="009E7613"/>
    <w:rsid w:val="009E7673"/>
    <w:rsid w:val="009E76AB"/>
    <w:rsid w:val="009E7830"/>
    <w:rsid w:val="009E7882"/>
    <w:rsid w:val="009E78CF"/>
    <w:rsid w:val="009E78E7"/>
    <w:rsid w:val="009E7983"/>
    <w:rsid w:val="009E79A9"/>
    <w:rsid w:val="009E79F4"/>
    <w:rsid w:val="009E7B75"/>
    <w:rsid w:val="009E7B76"/>
    <w:rsid w:val="009E7B9E"/>
    <w:rsid w:val="009E7BBE"/>
    <w:rsid w:val="009E7BD7"/>
    <w:rsid w:val="009E7C0C"/>
    <w:rsid w:val="009E7C4D"/>
    <w:rsid w:val="009E7C7C"/>
    <w:rsid w:val="009E7D1C"/>
    <w:rsid w:val="009E7E0E"/>
    <w:rsid w:val="009E7EB1"/>
    <w:rsid w:val="009F00E5"/>
    <w:rsid w:val="009F01D1"/>
    <w:rsid w:val="009F021B"/>
    <w:rsid w:val="009F0235"/>
    <w:rsid w:val="009F0268"/>
    <w:rsid w:val="009F0310"/>
    <w:rsid w:val="009F0324"/>
    <w:rsid w:val="009F0396"/>
    <w:rsid w:val="009F0461"/>
    <w:rsid w:val="009F063C"/>
    <w:rsid w:val="009F075F"/>
    <w:rsid w:val="009F0760"/>
    <w:rsid w:val="009F0949"/>
    <w:rsid w:val="009F09F6"/>
    <w:rsid w:val="009F0A83"/>
    <w:rsid w:val="009F0AC0"/>
    <w:rsid w:val="009F0BAC"/>
    <w:rsid w:val="009F0C65"/>
    <w:rsid w:val="009F0D04"/>
    <w:rsid w:val="009F0E67"/>
    <w:rsid w:val="009F139D"/>
    <w:rsid w:val="009F140B"/>
    <w:rsid w:val="009F1524"/>
    <w:rsid w:val="009F15E3"/>
    <w:rsid w:val="009F1623"/>
    <w:rsid w:val="009F1695"/>
    <w:rsid w:val="009F16A6"/>
    <w:rsid w:val="009F1730"/>
    <w:rsid w:val="009F1852"/>
    <w:rsid w:val="009F18DC"/>
    <w:rsid w:val="009F1940"/>
    <w:rsid w:val="009F195F"/>
    <w:rsid w:val="009F1986"/>
    <w:rsid w:val="009F1AB2"/>
    <w:rsid w:val="009F1B7A"/>
    <w:rsid w:val="009F1CD6"/>
    <w:rsid w:val="009F1D01"/>
    <w:rsid w:val="009F1DA0"/>
    <w:rsid w:val="009F1E0F"/>
    <w:rsid w:val="009F1F89"/>
    <w:rsid w:val="009F1F8E"/>
    <w:rsid w:val="009F1FF5"/>
    <w:rsid w:val="009F2058"/>
    <w:rsid w:val="009F205E"/>
    <w:rsid w:val="009F2076"/>
    <w:rsid w:val="009F213C"/>
    <w:rsid w:val="009F214D"/>
    <w:rsid w:val="009F215B"/>
    <w:rsid w:val="009F2165"/>
    <w:rsid w:val="009F21A0"/>
    <w:rsid w:val="009F2276"/>
    <w:rsid w:val="009F229B"/>
    <w:rsid w:val="009F2575"/>
    <w:rsid w:val="009F26F6"/>
    <w:rsid w:val="009F272B"/>
    <w:rsid w:val="009F2791"/>
    <w:rsid w:val="009F28D2"/>
    <w:rsid w:val="009F2932"/>
    <w:rsid w:val="009F296E"/>
    <w:rsid w:val="009F2AD3"/>
    <w:rsid w:val="009F2B32"/>
    <w:rsid w:val="009F2D7B"/>
    <w:rsid w:val="009F2E31"/>
    <w:rsid w:val="009F2F65"/>
    <w:rsid w:val="009F2FD3"/>
    <w:rsid w:val="009F3185"/>
    <w:rsid w:val="009F31CC"/>
    <w:rsid w:val="009F328C"/>
    <w:rsid w:val="009F329D"/>
    <w:rsid w:val="009F3495"/>
    <w:rsid w:val="009F35D8"/>
    <w:rsid w:val="009F3643"/>
    <w:rsid w:val="009F3692"/>
    <w:rsid w:val="009F3783"/>
    <w:rsid w:val="009F380B"/>
    <w:rsid w:val="009F385B"/>
    <w:rsid w:val="009F3C7F"/>
    <w:rsid w:val="009F3DDE"/>
    <w:rsid w:val="009F3DF8"/>
    <w:rsid w:val="009F3E60"/>
    <w:rsid w:val="009F3EE3"/>
    <w:rsid w:val="009F3F1F"/>
    <w:rsid w:val="009F3FC0"/>
    <w:rsid w:val="009F4059"/>
    <w:rsid w:val="009F40A8"/>
    <w:rsid w:val="009F40BD"/>
    <w:rsid w:val="009F411B"/>
    <w:rsid w:val="009F423C"/>
    <w:rsid w:val="009F4286"/>
    <w:rsid w:val="009F4306"/>
    <w:rsid w:val="009F4384"/>
    <w:rsid w:val="009F4560"/>
    <w:rsid w:val="009F460A"/>
    <w:rsid w:val="009F479A"/>
    <w:rsid w:val="009F48C9"/>
    <w:rsid w:val="009F496E"/>
    <w:rsid w:val="009F49A8"/>
    <w:rsid w:val="009F4A23"/>
    <w:rsid w:val="009F4B22"/>
    <w:rsid w:val="009F4BA8"/>
    <w:rsid w:val="009F4BEF"/>
    <w:rsid w:val="009F4CDB"/>
    <w:rsid w:val="009F4E58"/>
    <w:rsid w:val="009F4F32"/>
    <w:rsid w:val="009F4F9D"/>
    <w:rsid w:val="009F4FB3"/>
    <w:rsid w:val="009F511E"/>
    <w:rsid w:val="009F523E"/>
    <w:rsid w:val="009F5392"/>
    <w:rsid w:val="009F54A2"/>
    <w:rsid w:val="009F550D"/>
    <w:rsid w:val="009F5649"/>
    <w:rsid w:val="009F566A"/>
    <w:rsid w:val="009F5826"/>
    <w:rsid w:val="009F58F5"/>
    <w:rsid w:val="009F591D"/>
    <w:rsid w:val="009F5954"/>
    <w:rsid w:val="009F597D"/>
    <w:rsid w:val="009F59D3"/>
    <w:rsid w:val="009F5AE2"/>
    <w:rsid w:val="009F5AEB"/>
    <w:rsid w:val="009F5AFA"/>
    <w:rsid w:val="009F5B7D"/>
    <w:rsid w:val="009F5BDB"/>
    <w:rsid w:val="009F5C54"/>
    <w:rsid w:val="009F5CF2"/>
    <w:rsid w:val="009F5D23"/>
    <w:rsid w:val="009F5D9E"/>
    <w:rsid w:val="009F5E15"/>
    <w:rsid w:val="009F5F1B"/>
    <w:rsid w:val="009F5F32"/>
    <w:rsid w:val="009F604E"/>
    <w:rsid w:val="009F60BE"/>
    <w:rsid w:val="009F60F2"/>
    <w:rsid w:val="009F623A"/>
    <w:rsid w:val="009F624D"/>
    <w:rsid w:val="009F62E6"/>
    <w:rsid w:val="009F63EB"/>
    <w:rsid w:val="009F643A"/>
    <w:rsid w:val="009F644D"/>
    <w:rsid w:val="009F648B"/>
    <w:rsid w:val="009F64BB"/>
    <w:rsid w:val="009F663F"/>
    <w:rsid w:val="009F6722"/>
    <w:rsid w:val="009F679F"/>
    <w:rsid w:val="009F686E"/>
    <w:rsid w:val="009F68BD"/>
    <w:rsid w:val="009F6997"/>
    <w:rsid w:val="009F69E8"/>
    <w:rsid w:val="009F6A5A"/>
    <w:rsid w:val="009F6AFA"/>
    <w:rsid w:val="009F6C10"/>
    <w:rsid w:val="009F6C1A"/>
    <w:rsid w:val="009F6C58"/>
    <w:rsid w:val="009F6C7B"/>
    <w:rsid w:val="009F6C8B"/>
    <w:rsid w:val="009F6CAD"/>
    <w:rsid w:val="009F6CD5"/>
    <w:rsid w:val="009F6D10"/>
    <w:rsid w:val="009F6D2C"/>
    <w:rsid w:val="009F6DCB"/>
    <w:rsid w:val="009F6DF3"/>
    <w:rsid w:val="009F6F5B"/>
    <w:rsid w:val="009F7163"/>
    <w:rsid w:val="009F716D"/>
    <w:rsid w:val="009F71D1"/>
    <w:rsid w:val="009F7340"/>
    <w:rsid w:val="009F7410"/>
    <w:rsid w:val="009F742B"/>
    <w:rsid w:val="009F7499"/>
    <w:rsid w:val="009F76D9"/>
    <w:rsid w:val="009F76EA"/>
    <w:rsid w:val="009F7729"/>
    <w:rsid w:val="009F77F5"/>
    <w:rsid w:val="009F7816"/>
    <w:rsid w:val="009F798D"/>
    <w:rsid w:val="009F79C1"/>
    <w:rsid w:val="009F7A38"/>
    <w:rsid w:val="009F7A9E"/>
    <w:rsid w:val="009F7C3E"/>
    <w:rsid w:val="009F7E08"/>
    <w:rsid w:val="009F7E3D"/>
    <w:rsid w:val="009F7E5A"/>
    <w:rsid w:val="009F7F03"/>
    <w:rsid w:val="00A0006E"/>
    <w:rsid w:val="00A0015E"/>
    <w:rsid w:val="00A00193"/>
    <w:rsid w:val="00A001A0"/>
    <w:rsid w:val="00A00220"/>
    <w:rsid w:val="00A00263"/>
    <w:rsid w:val="00A0028F"/>
    <w:rsid w:val="00A002E3"/>
    <w:rsid w:val="00A0032E"/>
    <w:rsid w:val="00A004AC"/>
    <w:rsid w:val="00A004F8"/>
    <w:rsid w:val="00A00572"/>
    <w:rsid w:val="00A005E7"/>
    <w:rsid w:val="00A00657"/>
    <w:rsid w:val="00A0070D"/>
    <w:rsid w:val="00A00734"/>
    <w:rsid w:val="00A0076A"/>
    <w:rsid w:val="00A0079F"/>
    <w:rsid w:val="00A007DA"/>
    <w:rsid w:val="00A007E5"/>
    <w:rsid w:val="00A00851"/>
    <w:rsid w:val="00A0095B"/>
    <w:rsid w:val="00A009BE"/>
    <w:rsid w:val="00A00A80"/>
    <w:rsid w:val="00A00B61"/>
    <w:rsid w:val="00A00D06"/>
    <w:rsid w:val="00A00D0E"/>
    <w:rsid w:val="00A00DD6"/>
    <w:rsid w:val="00A00E10"/>
    <w:rsid w:val="00A0111B"/>
    <w:rsid w:val="00A011E5"/>
    <w:rsid w:val="00A01387"/>
    <w:rsid w:val="00A0145B"/>
    <w:rsid w:val="00A014C6"/>
    <w:rsid w:val="00A01580"/>
    <w:rsid w:val="00A01598"/>
    <w:rsid w:val="00A016DF"/>
    <w:rsid w:val="00A017BA"/>
    <w:rsid w:val="00A017FF"/>
    <w:rsid w:val="00A01812"/>
    <w:rsid w:val="00A01813"/>
    <w:rsid w:val="00A0189B"/>
    <w:rsid w:val="00A01997"/>
    <w:rsid w:val="00A01A36"/>
    <w:rsid w:val="00A01A3A"/>
    <w:rsid w:val="00A01B32"/>
    <w:rsid w:val="00A01C0C"/>
    <w:rsid w:val="00A01CFF"/>
    <w:rsid w:val="00A01DAC"/>
    <w:rsid w:val="00A01EFD"/>
    <w:rsid w:val="00A020DB"/>
    <w:rsid w:val="00A02148"/>
    <w:rsid w:val="00A02162"/>
    <w:rsid w:val="00A021D5"/>
    <w:rsid w:val="00A021E9"/>
    <w:rsid w:val="00A02224"/>
    <w:rsid w:val="00A02226"/>
    <w:rsid w:val="00A0248D"/>
    <w:rsid w:val="00A02580"/>
    <w:rsid w:val="00A026DF"/>
    <w:rsid w:val="00A027BB"/>
    <w:rsid w:val="00A0291D"/>
    <w:rsid w:val="00A02AE0"/>
    <w:rsid w:val="00A02C13"/>
    <w:rsid w:val="00A02C9E"/>
    <w:rsid w:val="00A02DF7"/>
    <w:rsid w:val="00A02E39"/>
    <w:rsid w:val="00A02E80"/>
    <w:rsid w:val="00A02EC3"/>
    <w:rsid w:val="00A02F7A"/>
    <w:rsid w:val="00A02F88"/>
    <w:rsid w:val="00A02FF5"/>
    <w:rsid w:val="00A030CD"/>
    <w:rsid w:val="00A0315D"/>
    <w:rsid w:val="00A0326C"/>
    <w:rsid w:val="00A0340B"/>
    <w:rsid w:val="00A034FF"/>
    <w:rsid w:val="00A0351C"/>
    <w:rsid w:val="00A035A4"/>
    <w:rsid w:val="00A03618"/>
    <w:rsid w:val="00A03680"/>
    <w:rsid w:val="00A0369D"/>
    <w:rsid w:val="00A03739"/>
    <w:rsid w:val="00A03757"/>
    <w:rsid w:val="00A039C2"/>
    <w:rsid w:val="00A03A08"/>
    <w:rsid w:val="00A03A5F"/>
    <w:rsid w:val="00A03D20"/>
    <w:rsid w:val="00A03DDC"/>
    <w:rsid w:val="00A03F96"/>
    <w:rsid w:val="00A040C0"/>
    <w:rsid w:val="00A04100"/>
    <w:rsid w:val="00A0426B"/>
    <w:rsid w:val="00A043CA"/>
    <w:rsid w:val="00A04422"/>
    <w:rsid w:val="00A046C7"/>
    <w:rsid w:val="00A04835"/>
    <w:rsid w:val="00A0492E"/>
    <w:rsid w:val="00A04944"/>
    <w:rsid w:val="00A04959"/>
    <w:rsid w:val="00A049A7"/>
    <w:rsid w:val="00A049CB"/>
    <w:rsid w:val="00A04A95"/>
    <w:rsid w:val="00A04AE0"/>
    <w:rsid w:val="00A04BCD"/>
    <w:rsid w:val="00A04C34"/>
    <w:rsid w:val="00A04C3A"/>
    <w:rsid w:val="00A04CBC"/>
    <w:rsid w:val="00A04CF1"/>
    <w:rsid w:val="00A04D65"/>
    <w:rsid w:val="00A04D92"/>
    <w:rsid w:val="00A04DEA"/>
    <w:rsid w:val="00A04E16"/>
    <w:rsid w:val="00A04EB4"/>
    <w:rsid w:val="00A04EC0"/>
    <w:rsid w:val="00A04F9D"/>
    <w:rsid w:val="00A04FF7"/>
    <w:rsid w:val="00A05050"/>
    <w:rsid w:val="00A051C1"/>
    <w:rsid w:val="00A05310"/>
    <w:rsid w:val="00A053A8"/>
    <w:rsid w:val="00A05531"/>
    <w:rsid w:val="00A0554D"/>
    <w:rsid w:val="00A0560D"/>
    <w:rsid w:val="00A056D0"/>
    <w:rsid w:val="00A057B6"/>
    <w:rsid w:val="00A05842"/>
    <w:rsid w:val="00A059F9"/>
    <w:rsid w:val="00A05AE1"/>
    <w:rsid w:val="00A05B13"/>
    <w:rsid w:val="00A05CCE"/>
    <w:rsid w:val="00A05DE0"/>
    <w:rsid w:val="00A05DED"/>
    <w:rsid w:val="00A05E5F"/>
    <w:rsid w:val="00A05E73"/>
    <w:rsid w:val="00A05EEB"/>
    <w:rsid w:val="00A05F5B"/>
    <w:rsid w:val="00A05FAD"/>
    <w:rsid w:val="00A061C5"/>
    <w:rsid w:val="00A0621F"/>
    <w:rsid w:val="00A0627E"/>
    <w:rsid w:val="00A062A1"/>
    <w:rsid w:val="00A062D7"/>
    <w:rsid w:val="00A063CF"/>
    <w:rsid w:val="00A0661C"/>
    <w:rsid w:val="00A06683"/>
    <w:rsid w:val="00A0668C"/>
    <w:rsid w:val="00A066DE"/>
    <w:rsid w:val="00A0670C"/>
    <w:rsid w:val="00A06745"/>
    <w:rsid w:val="00A0676D"/>
    <w:rsid w:val="00A0679B"/>
    <w:rsid w:val="00A0691B"/>
    <w:rsid w:val="00A0694E"/>
    <w:rsid w:val="00A06A08"/>
    <w:rsid w:val="00A06B18"/>
    <w:rsid w:val="00A06B6D"/>
    <w:rsid w:val="00A06B7E"/>
    <w:rsid w:val="00A06BC6"/>
    <w:rsid w:val="00A06BCD"/>
    <w:rsid w:val="00A06D2D"/>
    <w:rsid w:val="00A06E7F"/>
    <w:rsid w:val="00A06F3C"/>
    <w:rsid w:val="00A070FC"/>
    <w:rsid w:val="00A07143"/>
    <w:rsid w:val="00A071D2"/>
    <w:rsid w:val="00A073CB"/>
    <w:rsid w:val="00A07441"/>
    <w:rsid w:val="00A07532"/>
    <w:rsid w:val="00A075C8"/>
    <w:rsid w:val="00A07697"/>
    <w:rsid w:val="00A0775F"/>
    <w:rsid w:val="00A07777"/>
    <w:rsid w:val="00A077AB"/>
    <w:rsid w:val="00A07846"/>
    <w:rsid w:val="00A0784F"/>
    <w:rsid w:val="00A07887"/>
    <w:rsid w:val="00A07969"/>
    <w:rsid w:val="00A07BD4"/>
    <w:rsid w:val="00A07CE7"/>
    <w:rsid w:val="00A07E59"/>
    <w:rsid w:val="00A07E94"/>
    <w:rsid w:val="00A1006D"/>
    <w:rsid w:val="00A1030B"/>
    <w:rsid w:val="00A10343"/>
    <w:rsid w:val="00A103FD"/>
    <w:rsid w:val="00A10516"/>
    <w:rsid w:val="00A106B0"/>
    <w:rsid w:val="00A10858"/>
    <w:rsid w:val="00A108A5"/>
    <w:rsid w:val="00A1090F"/>
    <w:rsid w:val="00A1098E"/>
    <w:rsid w:val="00A109BE"/>
    <w:rsid w:val="00A109EE"/>
    <w:rsid w:val="00A10A00"/>
    <w:rsid w:val="00A10AC5"/>
    <w:rsid w:val="00A10B1D"/>
    <w:rsid w:val="00A10B65"/>
    <w:rsid w:val="00A10CB7"/>
    <w:rsid w:val="00A10D06"/>
    <w:rsid w:val="00A10DC9"/>
    <w:rsid w:val="00A10E27"/>
    <w:rsid w:val="00A10E9E"/>
    <w:rsid w:val="00A10F32"/>
    <w:rsid w:val="00A110A3"/>
    <w:rsid w:val="00A111F0"/>
    <w:rsid w:val="00A1127E"/>
    <w:rsid w:val="00A11378"/>
    <w:rsid w:val="00A11465"/>
    <w:rsid w:val="00A11514"/>
    <w:rsid w:val="00A11605"/>
    <w:rsid w:val="00A11621"/>
    <w:rsid w:val="00A11656"/>
    <w:rsid w:val="00A1166B"/>
    <w:rsid w:val="00A1177D"/>
    <w:rsid w:val="00A1182B"/>
    <w:rsid w:val="00A11861"/>
    <w:rsid w:val="00A118C8"/>
    <w:rsid w:val="00A11A39"/>
    <w:rsid w:val="00A11A59"/>
    <w:rsid w:val="00A11A89"/>
    <w:rsid w:val="00A11B1D"/>
    <w:rsid w:val="00A11D27"/>
    <w:rsid w:val="00A11D55"/>
    <w:rsid w:val="00A11D57"/>
    <w:rsid w:val="00A11E7B"/>
    <w:rsid w:val="00A11F1A"/>
    <w:rsid w:val="00A11FE0"/>
    <w:rsid w:val="00A12008"/>
    <w:rsid w:val="00A12015"/>
    <w:rsid w:val="00A12134"/>
    <w:rsid w:val="00A1223D"/>
    <w:rsid w:val="00A122E4"/>
    <w:rsid w:val="00A12337"/>
    <w:rsid w:val="00A1235A"/>
    <w:rsid w:val="00A12399"/>
    <w:rsid w:val="00A123C5"/>
    <w:rsid w:val="00A123DA"/>
    <w:rsid w:val="00A1249E"/>
    <w:rsid w:val="00A124AA"/>
    <w:rsid w:val="00A12602"/>
    <w:rsid w:val="00A12616"/>
    <w:rsid w:val="00A1271C"/>
    <w:rsid w:val="00A12787"/>
    <w:rsid w:val="00A1280B"/>
    <w:rsid w:val="00A1288B"/>
    <w:rsid w:val="00A128E0"/>
    <w:rsid w:val="00A12907"/>
    <w:rsid w:val="00A1297D"/>
    <w:rsid w:val="00A12A14"/>
    <w:rsid w:val="00A12BA4"/>
    <w:rsid w:val="00A12BBA"/>
    <w:rsid w:val="00A12C02"/>
    <w:rsid w:val="00A12D60"/>
    <w:rsid w:val="00A12FAC"/>
    <w:rsid w:val="00A12FD8"/>
    <w:rsid w:val="00A130E6"/>
    <w:rsid w:val="00A13101"/>
    <w:rsid w:val="00A1316E"/>
    <w:rsid w:val="00A13189"/>
    <w:rsid w:val="00A13295"/>
    <w:rsid w:val="00A132DD"/>
    <w:rsid w:val="00A133DF"/>
    <w:rsid w:val="00A133EB"/>
    <w:rsid w:val="00A13443"/>
    <w:rsid w:val="00A13471"/>
    <w:rsid w:val="00A134B6"/>
    <w:rsid w:val="00A135D1"/>
    <w:rsid w:val="00A135F2"/>
    <w:rsid w:val="00A1360D"/>
    <w:rsid w:val="00A13689"/>
    <w:rsid w:val="00A136A6"/>
    <w:rsid w:val="00A136B4"/>
    <w:rsid w:val="00A136C1"/>
    <w:rsid w:val="00A13733"/>
    <w:rsid w:val="00A1389A"/>
    <w:rsid w:val="00A139C2"/>
    <w:rsid w:val="00A13A65"/>
    <w:rsid w:val="00A13A78"/>
    <w:rsid w:val="00A13AB4"/>
    <w:rsid w:val="00A13AD8"/>
    <w:rsid w:val="00A13CFF"/>
    <w:rsid w:val="00A13E1B"/>
    <w:rsid w:val="00A13E67"/>
    <w:rsid w:val="00A14127"/>
    <w:rsid w:val="00A14166"/>
    <w:rsid w:val="00A141E5"/>
    <w:rsid w:val="00A14212"/>
    <w:rsid w:val="00A1423C"/>
    <w:rsid w:val="00A14285"/>
    <w:rsid w:val="00A142E0"/>
    <w:rsid w:val="00A143A5"/>
    <w:rsid w:val="00A143C4"/>
    <w:rsid w:val="00A143CC"/>
    <w:rsid w:val="00A14469"/>
    <w:rsid w:val="00A1456A"/>
    <w:rsid w:val="00A14809"/>
    <w:rsid w:val="00A14842"/>
    <w:rsid w:val="00A14865"/>
    <w:rsid w:val="00A14878"/>
    <w:rsid w:val="00A14926"/>
    <w:rsid w:val="00A14958"/>
    <w:rsid w:val="00A14BE4"/>
    <w:rsid w:val="00A14CB9"/>
    <w:rsid w:val="00A14DC0"/>
    <w:rsid w:val="00A14E2B"/>
    <w:rsid w:val="00A14E8A"/>
    <w:rsid w:val="00A14FBC"/>
    <w:rsid w:val="00A14FEB"/>
    <w:rsid w:val="00A1502B"/>
    <w:rsid w:val="00A1508F"/>
    <w:rsid w:val="00A150C2"/>
    <w:rsid w:val="00A150D4"/>
    <w:rsid w:val="00A151A9"/>
    <w:rsid w:val="00A151D7"/>
    <w:rsid w:val="00A1529E"/>
    <w:rsid w:val="00A15306"/>
    <w:rsid w:val="00A15581"/>
    <w:rsid w:val="00A15652"/>
    <w:rsid w:val="00A15784"/>
    <w:rsid w:val="00A15818"/>
    <w:rsid w:val="00A1593F"/>
    <w:rsid w:val="00A15A1F"/>
    <w:rsid w:val="00A15B57"/>
    <w:rsid w:val="00A15BD0"/>
    <w:rsid w:val="00A15C32"/>
    <w:rsid w:val="00A15D1B"/>
    <w:rsid w:val="00A15D51"/>
    <w:rsid w:val="00A15D59"/>
    <w:rsid w:val="00A15D5A"/>
    <w:rsid w:val="00A15E11"/>
    <w:rsid w:val="00A15EF3"/>
    <w:rsid w:val="00A15FB6"/>
    <w:rsid w:val="00A15FD9"/>
    <w:rsid w:val="00A1607B"/>
    <w:rsid w:val="00A1609F"/>
    <w:rsid w:val="00A160C7"/>
    <w:rsid w:val="00A161DB"/>
    <w:rsid w:val="00A162F3"/>
    <w:rsid w:val="00A163FD"/>
    <w:rsid w:val="00A16436"/>
    <w:rsid w:val="00A164B8"/>
    <w:rsid w:val="00A165B2"/>
    <w:rsid w:val="00A166A2"/>
    <w:rsid w:val="00A166B0"/>
    <w:rsid w:val="00A1681B"/>
    <w:rsid w:val="00A16A49"/>
    <w:rsid w:val="00A16A4C"/>
    <w:rsid w:val="00A16A78"/>
    <w:rsid w:val="00A16C09"/>
    <w:rsid w:val="00A16CC5"/>
    <w:rsid w:val="00A16F05"/>
    <w:rsid w:val="00A1704D"/>
    <w:rsid w:val="00A17187"/>
    <w:rsid w:val="00A17332"/>
    <w:rsid w:val="00A17362"/>
    <w:rsid w:val="00A17369"/>
    <w:rsid w:val="00A173B1"/>
    <w:rsid w:val="00A17488"/>
    <w:rsid w:val="00A175CC"/>
    <w:rsid w:val="00A17684"/>
    <w:rsid w:val="00A177FD"/>
    <w:rsid w:val="00A17827"/>
    <w:rsid w:val="00A178C8"/>
    <w:rsid w:val="00A17972"/>
    <w:rsid w:val="00A17984"/>
    <w:rsid w:val="00A179D6"/>
    <w:rsid w:val="00A17A33"/>
    <w:rsid w:val="00A17BAB"/>
    <w:rsid w:val="00A17CE0"/>
    <w:rsid w:val="00A17CFD"/>
    <w:rsid w:val="00A17D15"/>
    <w:rsid w:val="00A17E79"/>
    <w:rsid w:val="00A17ECC"/>
    <w:rsid w:val="00A20029"/>
    <w:rsid w:val="00A200ED"/>
    <w:rsid w:val="00A20115"/>
    <w:rsid w:val="00A20438"/>
    <w:rsid w:val="00A2043D"/>
    <w:rsid w:val="00A2045F"/>
    <w:rsid w:val="00A20537"/>
    <w:rsid w:val="00A205D4"/>
    <w:rsid w:val="00A2077A"/>
    <w:rsid w:val="00A20A5E"/>
    <w:rsid w:val="00A20AAB"/>
    <w:rsid w:val="00A20B06"/>
    <w:rsid w:val="00A20B17"/>
    <w:rsid w:val="00A20B98"/>
    <w:rsid w:val="00A20C12"/>
    <w:rsid w:val="00A20CAC"/>
    <w:rsid w:val="00A20D68"/>
    <w:rsid w:val="00A20EBC"/>
    <w:rsid w:val="00A2104A"/>
    <w:rsid w:val="00A21052"/>
    <w:rsid w:val="00A2116F"/>
    <w:rsid w:val="00A2118A"/>
    <w:rsid w:val="00A211B2"/>
    <w:rsid w:val="00A21299"/>
    <w:rsid w:val="00A212DA"/>
    <w:rsid w:val="00A212FB"/>
    <w:rsid w:val="00A21300"/>
    <w:rsid w:val="00A213BE"/>
    <w:rsid w:val="00A213F8"/>
    <w:rsid w:val="00A21428"/>
    <w:rsid w:val="00A21480"/>
    <w:rsid w:val="00A214D0"/>
    <w:rsid w:val="00A214D1"/>
    <w:rsid w:val="00A21609"/>
    <w:rsid w:val="00A21621"/>
    <w:rsid w:val="00A2162E"/>
    <w:rsid w:val="00A216D6"/>
    <w:rsid w:val="00A2173E"/>
    <w:rsid w:val="00A2179C"/>
    <w:rsid w:val="00A21836"/>
    <w:rsid w:val="00A21A67"/>
    <w:rsid w:val="00A21AB6"/>
    <w:rsid w:val="00A21ABD"/>
    <w:rsid w:val="00A21C80"/>
    <w:rsid w:val="00A21D23"/>
    <w:rsid w:val="00A21D9B"/>
    <w:rsid w:val="00A21DC1"/>
    <w:rsid w:val="00A21EB3"/>
    <w:rsid w:val="00A21F92"/>
    <w:rsid w:val="00A220BC"/>
    <w:rsid w:val="00A221AB"/>
    <w:rsid w:val="00A22206"/>
    <w:rsid w:val="00A22256"/>
    <w:rsid w:val="00A2227B"/>
    <w:rsid w:val="00A22358"/>
    <w:rsid w:val="00A22480"/>
    <w:rsid w:val="00A224AD"/>
    <w:rsid w:val="00A2259E"/>
    <w:rsid w:val="00A225D9"/>
    <w:rsid w:val="00A227E4"/>
    <w:rsid w:val="00A2282B"/>
    <w:rsid w:val="00A2283C"/>
    <w:rsid w:val="00A2284D"/>
    <w:rsid w:val="00A228EA"/>
    <w:rsid w:val="00A22943"/>
    <w:rsid w:val="00A22C04"/>
    <w:rsid w:val="00A22C8F"/>
    <w:rsid w:val="00A22C9E"/>
    <w:rsid w:val="00A22D1E"/>
    <w:rsid w:val="00A22D45"/>
    <w:rsid w:val="00A22DDB"/>
    <w:rsid w:val="00A22E44"/>
    <w:rsid w:val="00A22ED9"/>
    <w:rsid w:val="00A22F4B"/>
    <w:rsid w:val="00A22FF1"/>
    <w:rsid w:val="00A23178"/>
    <w:rsid w:val="00A231AE"/>
    <w:rsid w:val="00A2326B"/>
    <w:rsid w:val="00A232A1"/>
    <w:rsid w:val="00A2331F"/>
    <w:rsid w:val="00A23321"/>
    <w:rsid w:val="00A23430"/>
    <w:rsid w:val="00A23447"/>
    <w:rsid w:val="00A2349F"/>
    <w:rsid w:val="00A23762"/>
    <w:rsid w:val="00A23785"/>
    <w:rsid w:val="00A2381B"/>
    <w:rsid w:val="00A238CA"/>
    <w:rsid w:val="00A238E2"/>
    <w:rsid w:val="00A239A1"/>
    <w:rsid w:val="00A23A21"/>
    <w:rsid w:val="00A23A6D"/>
    <w:rsid w:val="00A23B0C"/>
    <w:rsid w:val="00A23BB2"/>
    <w:rsid w:val="00A23BFB"/>
    <w:rsid w:val="00A23C33"/>
    <w:rsid w:val="00A23C7D"/>
    <w:rsid w:val="00A23CFA"/>
    <w:rsid w:val="00A23D2B"/>
    <w:rsid w:val="00A23D88"/>
    <w:rsid w:val="00A23DC5"/>
    <w:rsid w:val="00A23E95"/>
    <w:rsid w:val="00A24036"/>
    <w:rsid w:val="00A240C8"/>
    <w:rsid w:val="00A24150"/>
    <w:rsid w:val="00A24196"/>
    <w:rsid w:val="00A243FA"/>
    <w:rsid w:val="00A24459"/>
    <w:rsid w:val="00A244E0"/>
    <w:rsid w:val="00A24553"/>
    <w:rsid w:val="00A24580"/>
    <w:rsid w:val="00A246FE"/>
    <w:rsid w:val="00A24743"/>
    <w:rsid w:val="00A24767"/>
    <w:rsid w:val="00A248C1"/>
    <w:rsid w:val="00A24A2E"/>
    <w:rsid w:val="00A24BFF"/>
    <w:rsid w:val="00A24C43"/>
    <w:rsid w:val="00A24C48"/>
    <w:rsid w:val="00A24CAB"/>
    <w:rsid w:val="00A24DB1"/>
    <w:rsid w:val="00A24DD9"/>
    <w:rsid w:val="00A24E08"/>
    <w:rsid w:val="00A24F34"/>
    <w:rsid w:val="00A24FBA"/>
    <w:rsid w:val="00A251B4"/>
    <w:rsid w:val="00A251C8"/>
    <w:rsid w:val="00A2529D"/>
    <w:rsid w:val="00A252C2"/>
    <w:rsid w:val="00A2530D"/>
    <w:rsid w:val="00A2536F"/>
    <w:rsid w:val="00A25394"/>
    <w:rsid w:val="00A253E9"/>
    <w:rsid w:val="00A254F7"/>
    <w:rsid w:val="00A255E2"/>
    <w:rsid w:val="00A255F5"/>
    <w:rsid w:val="00A2564F"/>
    <w:rsid w:val="00A256FC"/>
    <w:rsid w:val="00A25786"/>
    <w:rsid w:val="00A257D6"/>
    <w:rsid w:val="00A25816"/>
    <w:rsid w:val="00A25869"/>
    <w:rsid w:val="00A25927"/>
    <w:rsid w:val="00A25A10"/>
    <w:rsid w:val="00A25B94"/>
    <w:rsid w:val="00A25D08"/>
    <w:rsid w:val="00A25DB6"/>
    <w:rsid w:val="00A25E53"/>
    <w:rsid w:val="00A25F7C"/>
    <w:rsid w:val="00A26080"/>
    <w:rsid w:val="00A2618B"/>
    <w:rsid w:val="00A26235"/>
    <w:rsid w:val="00A26239"/>
    <w:rsid w:val="00A26281"/>
    <w:rsid w:val="00A26389"/>
    <w:rsid w:val="00A263F4"/>
    <w:rsid w:val="00A26558"/>
    <w:rsid w:val="00A265E6"/>
    <w:rsid w:val="00A26608"/>
    <w:rsid w:val="00A2661C"/>
    <w:rsid w:val="00A266F8"/>
    <w:rsid w:val="00A267CD"/>
    <w:rsid w:val="00A268CD"/>
    <w:rsid w:val="00A26910"/>
    <w:rsid w:val="00A269A4"/>
    <w:rsid w:val="00A26A23"/>
    <w:rsid w:val="00A26A8B"/>
    <w:rsid w:val="00A26AF6"/>
    <w:rsid w:val="00A26BC1"/>
    <w:rsid w:val="00A26CE3"/>
    <w:rsid w:val="00A26CE7"/>
    <w:rsid w:val="00A26DA9"/>
    <w:rsid w:val="00A26E82"/>
    <w:rsid w:val="00A26ECF"/>
    <w:rsid w:val="00A26F1F"/>
    <w:rsid w:val="00A26F4D"/>
    <w:rsid w:val="00A26FF0"/>
    <w:rsid w:val="00A27042"/>
    <w:rsid w:val="00A27138"/>
    <w:rsid w:val="00A27165"/>
    <w:rsid w:val="00A2726A"/>
    <w:rsid w:val="00A272BF"/>
    <w:rsid w:val="00A27304"/>
    <w:rsid w:val="00A273EE"/>
    <w:rsid w:val="00A27500"/>
    <w:rsid w:val="00A2754D"/>
    <w:rsid w:val="00A2756C"/>
    <w:rsid w:val="00A27570"/>
    <w:rsid w:val="00A2761F"/>
    <w:rsid w:val="00A27640"/>
    <w:rsid w:val="00A27803"/>
    <w:rsid w:val="00A2781D"/>
    <w:rsid w:val="00A279C2"/>
    <w:rsid w:val="00A27AF1"/>
    <w:rsid w:val="00A27BD2"/>
    <w:rsid w:val="00A27C54"/>
    <w:rsid w:val="00A27CEE"/>
    <w:rsid w:val="00A27D17"/>
    <w:rsid w:val="00A27D21"/>
    <w:rsid w:val="00A27D4D"/>
    <w:rsid w:val="00A27DC9"/>
    <w:rsid w:val="00A27EEE"/>
    <w:rsid w:val="00A27F29"/>
    <w:rsid w:val="00A30249"/>
    <w:rsid w:val="00A302B7"/>
    <w:rsid w:val="00A302CF"/>
    <w:rsid w:val="00A30382"/>
    <w:rsid w:val="00A303D2"/>
    <w:rsid w:val="00A30422"/>
    <w:rsid w:val="00A30428"/>
    <w:rsid w:val="00A3057C"/>
    <w:rsid w:val="00A305FE"/>
    <w:rsid w:val="00A30832"/>
    <w:rsid w:val="00A30936"/>
    <w:rsid w:val="00A30A40"/>
    <w:rsid w:val="00A30A7E"/>
    <w:rsid w:val="00A30AF9"/>
    <w:rsid w:val="00A30B9C"/>
    <w:rsid w:val="00A30C07"/>
    <w:rsid w:val="00A30C33"/>
    <w:rsid w:val="00A30D5B"/>
    <w:rsid w:val="00A30D6D"/>
    <w:rsid w:val="00A30D8C"/>
    <w:rsid w:val="00A30DB3"/>
    <w:rsid w:val="00A30E84"/>
    <w:rsid w:val="00A30F5C"/>
    <w:rsid w:val="00A30FBE"/>
    <w:rsid w:val="00A30FC1"/>
    <w:rsid w:val="00A30FCF"/>
    <w:rsid w:val="00A31066"/>
    <w:rsid w:val="00A31085"/>
    <w:rsid w:val="00A310E7"/>
    <w:rsid w:val="00A31179"/>
    <w:rsid w:val="00A311AC"/>
    <w:rsid w:val="00A31221"/>
    <w:rsid w:val="00A31238"/>
    <w:rsid w:val="00A31267"/>
    <w:rsid w:val="00A3126B"/>
    <w:rsid w:val="00A3159C"/>
    <w:rsid w:val="00A31636"/>
    <w:rsid w:val="00A316CD"/>
    <w:rsid w:val="00A316DE"/>
    <w:rsid w:val="00A31840"/>
    <w:rsid w:val="00A31923"/>
    <w:rsid w:val="00A31953"/>
    <w:rsid w:val="00A319A0"/>
    <w:rsid w:val="00A319C0"/>
    <w:rsid w:val="00A319D8"/>
    <w:rsid w:val="00A31BAE"/>
    <w:rsid w:val="00A31C32"/>
    <w:rsid w:val="00A31D15"/>
    <w:rsid w:val="00A31D65"/>
    <w:rsid w:val="00A31E80"/>
    <w:rsid w:val="00A31E84"/>
    <w:rsid w:val="00A31ED3"/>
    <w:rsid w:val="00A3208C"/>
    <w:rsid w:val="00A320CE"/>
    <w:rsid w:val="00A32105"/>
    <w:rsid w:val="00A322C2"/>
    <w:rsid w:val="00A322EF"/>
    <w:rsid w:val="00A32394"/>
    <w:rsid w:val="00A3240C"/>
    <w:rsid w:val="00A32485"/>
    <w:rsid w:val="00A324E8"/>
    <w:rsid w:val="00A3259A"/>
    <w:rsid w:val="00A3264B"/>
    <w:rsid w:val="00A32658"/>
    <w:rsid w:val="00A32664"/>
    <w:rsid w:val="00A32737"/>
    <w:rsid w:val="00A32756"/>
    <w:rsid w:val="00A327B5"/>
    <w:rsid w:val="00A327C6"/>
    <w:rsid w:val="00A32881"/>
    <w:rsid w:val="00A328A7"/>
    <w:rsid w:val="00A328AA"/>
    <w:rsid w:val="00A32971"/>
    <w:rsid w:val="00A32A72"/>
    <w:rsid w:val="00A32A74"/>
    <w:rsid w:val="00A32A79"/>
    <w:rsid w:val="00A32A93"/>
    <w:rsid w:val="00A32A96"/>
    <w:rsid w:val="00A32AFF"/>
    <w:rsid w:val="00A32B15"/>
    <w:rsid w:val="00A32B60"/>
    <w:rsid w:val="00A32B6D"/>
    <w:rsid w:val="00A32BF6"/>
    <w:rsid w:val="00A32C8B"/>
    <w:rsid w:val="00A32D78"/>
    <w:rsid w:val="00A32DAF"/>
    <w:rsid w:val="00A32E18"/>
    <w:rsid w:val="00A32E23"/>
    <w:rsid w:val="00A32F4F"/>
    <w:rsid w:val="00A3304E"/>
    <w:rsid w:val="00A33074"/>
    <w:rsid w:val="00A33162"/>
    <w:rsid w:val="00A331DB"/>
    <w:rsid w:val="00A33290"/>
    <w:rsid w:val="00A3334F"/>
    <w:rsid w:val="00A333BE"/>
    <w:rsid w:val="00A333FF"/>
    <w:rsid w:val="00A33406"/>
    <w:rsid w:val="00A334BF"/>
    <w:rsid w:val="00A33507"/>
    <w:rsid w:val="00A3357E"/>
    <w:rsid w:val="00A3358E"/>
    <w:rsid w:val="00A335B7"/>
    <w:rsid w:val="00A335DD"/>
    <w:rsid w:val="00A33635"/>
    <w:rsid w:val="00A3369A"/>
    <w:rsid w:val="00A336BC"/>
    <w:rsid w:val="00A338C3"/>
    <w:rsid w:val="00A3392A"/>
    <w:rsid w:val="00A33990"/>
    <w:rsid w:val="00A33B4C"/>
    <w:rsid w:val="00A33BEE"/>
    <w:rsid w:val="00A33C0C"/>
    <w:rsid w:val="00A33C17"/>
    <w:rsid w:val="00A33C6C"/>
    <w:rsid w:val="00A33C9A"/>
    <w:rsid w:val="00A33CA0"/>
    <w:rsid w:val="00A33D1D"/>
    <w:rsid w:val="00A33D65"/>
    <w:rsid w:val="00A33D7A"/>
    <w:rsid w:val="00A33DE4"/>
    <w:rsid w:val="00A33E73"/>
    <w:rsid w:val="00A33F2B"/>
    <w:rsid w:val="00A33F5D"/>
    <w:rsid w:val="00A3401A"/>
    <w:rsid w:val="00A34058"/>
    <w:rsid w:val="00A3405D"/>
    <w:rsid w:val="00A3408A"/>
    <w:rsid w:val="00A3412D"/>
    <w:rsid w:val="00A34191"/>
    <w:rsid w:val="00A34232"/>
    <w:rsid w:val="00A3430B"/>
    <w:rsid w:val="00A34320"/>
    <w:rsid w:val="00A3433C"/>
    <w:rsid w:val="00A3437F"/>
    <w:rsid w:val="00A343E2"/>
    <w:rsid w:val="00A34432"/>
    <w:rsid w:val="00A34451"/>
    <w:rsid w:val="00A344A6"/>
    <w:rsid w:val="00A344CA"/>
    <w:rsid w:val="00A3457F"/>
    <w:rsid w:val="00A345CD"/>
    <w:rsid w:val="00A345F8"/>
    <w:rsid w:val="00A3469F"/>
    <w:rsid w:val="00A34732"/>
    <w:rsid w:val="00A3492C"/>
    <w:rsid w:val="00A34952"/>
    <w:rsid w:val="00A34A02"/>
    <w:rsid w:val="00A34AC0"/>
    <w:rsid w:val="00A34AFD"/>
    <w:rsid w:val="00A34B21"/>
    <w:rsid w:val="00A34C0F"/>
    <w:rsid w:val="00A34C32"/>
    <w:rsid w:val="00A34C6E"/>
    <w:rsid w:val="00A34C77"/>
    <w:rsid w:val="00A34E01"/>
    <w:rsid w:val="00A34E33"/>
    <w:rsid w:val="00A34E49"/>
    <w:rsid w:val="00A34F0E"/>
    <w:rsid w:val="00A34F31"/>
    <w:rsid w:val="00A34F40"/>
    <w:rsid w:val="00A34FFA"/>
    <w:rsid w:val="00A3504C"/>
    <w:rsid w:val="00A350A1"/>
    <w:rsid w:val="00A35141"/>
    <w:rsid w:val="00A3521E"/>
    <w:rsid w:val="00A35233"/>
    <w:rsid w:val="00A35248"/>
    <w:rsid w:val="00A3535F"/>
    <w:rsid w:val="00A353D4"/>
    <w:rsid w:val="00A354ED"/>
    <w:rsid w:val="00A35578"/>
    <w:rsid w:val="00A355EA"/>
    <w:rsid w:val="00A35608"/>
    <w:rsid w:val="00A356E5"/>
    <w:rsid w:val="00A357E7"/>
    <w:rsid w:val="00A35861"/>
    <w:rsid w:val="00A35882"/>
    <w:rsid w:val="00A35931"/>
    <w:rsid w:val="00A35A27"/>
    <w:rsid w:val="00A35A2D"/>
    <w:rsid w:val="00A35AF3"/>
    <w:rsid w:val="00A35DA6"/>
    <w:rsid w:val="00A35E4F"/>
    <w:rsid w:val="00A35ECD"/>
    <w:rsid w:val="00A35FFC"/>
    <w:rsid w:val="00A36024"/>
    <w:rsid w:val="00A36138"/>
    <w:rsid w:val="00A361FC"/>
    <w:rsid w:val="00A36209"/>
    <w:rsid w:val="00A3621D"/>
    <w:rsid w:val="00A362A6"/>
    <w:rsid w:val="00A36371"/>
    <w:rsid w:val="00A3647D"/>
    <w:rsid w:val="00A364C1"/>
    <w:rsid w:val="00A364C8"/>
    <w:rsid w:val="00A3661C"/>
    <w:rsid w:val="00A3675E"/>
    <w:rsid w:val="00A367DA"/>
    <w:rsid w:val="00A36852"/>
    <w:rsid w:val="00A3694C"/>
    <w:rsid w:val="00A36BC3"/>
    <w:rsid w:val="00A36BF8"/>
    <w:rsid w:val="00A36C1E"/>
    <w:rsid w:val="00A36DA4"/>
    <w:rsid w:val="00A36E1D"/>
    <w:rsid w:val="00A36E2E"/>
    <w:rsid w:val="00A36EB8"/>
    <w:rsid w:val="00A36ED5"/>
    <w:rsid w:val="00A36EF1"/>
    <w:rsid w:val="00A36FF4"/>
    <w:rsid w:val="00A370FC"/>
    <w:rsid w:val="00A3716F"/>
    <w:rsid w:val="00A3726E"/>
    <w:rsid w:val="00A372E6"/>
    <w:rsid w:val="00A37317"/>
    <w:rsid w:val="00A3748E"/>
    <w:rsid w:val="00A374FD"/>
    <w:rsid w:val="00A3754B"/>
    <w:rsid w:val="00A376DE"/>
    <w:rsid w:val="00A3770C"/>
    <w:rsid w:val="00A37755"/>
    <w:rsid w:val="00A37862"/>
    <w:rsid w:val="00A37981"/>
    <w:rsid w:val="00A37A59"/>
    <w:rsid w:val="00A37AB3"/>
    <w:rsid w:val="00A37ADF"/>
    <w:rsid w:val="00A37AE8"/>
    <w:rsid w:val="00A37B15"/>
    <w:rsid w:val="00A37B1D"/>
    <w:rsid w:val="00A37B6C"/>
    <w:rsid w:val="00A37D09"/>
    <w:rsid w:val="00A37EDD"/>
    <w:rsid w:val="00A37F76"/>
    <w:rsid w:val="00A40047"/>
    <w:rsid w:val="00A401A6"/>
    <w:rsid w:val="00A4023E"/>
    <w:rsid w:val="00A4024A"/>
    <w:rsid w:val="00A40277"/>
    <w:rsid w:val="00A40279"/>
    <w:rsid w:val="00A402CD"/>
    <w:rsid w:val="00A40338"/>
    <w:rsid w:val="00A403E9"/>
    <w:rsid w:val="00A4046A"/>
    <w:rsid w:val="00A404CD"/>
    <w:rsid w:val="00A405D0"/>
    <w:rsid w:val="00A40651"/>
    <w:rsid w:val="00A40692"/>
    <w:rsid w:val="00A406DC"/>
    <w:rsid w:val="00A4070E"/>
    <w:rsid w:val="00A40710"/>
    <w:rsid w:val="00A40933"/>
    <w:rsid w:val="00A4095A"/>
    <w:rsid w:val="00A409F1"/>
    <w:rsid w:val="00A40A1D"/>
    <w:rsid w:val="00A40A52"/>
    <w:rsid w:val="00A40A63"/>
    <w:rsid w:val="00A40BE7"/>
    <w:rsid w:val="00A40CCA"/>
    <w:rsid w:val="00A40CD8"/>
    <w:rsid w:val="00A40D20"/>
    <w:rsid w:val="00A40DDB"/>
    <w:rsid w:val="00A40E11"/>
    <w:rsid w:val="00A41119"/>
    <w:rsid w:val="00A41209"/>
    <w:rsid w:val="00A41426"/>
    <w:rsid w:val="00A41432"/>
    <w:rsid w:val="00A4154D"/>
    <w:rsid w:val="00A41634"/>
    <w:rsid w:val="00A4169A"/>
    <w:rsid w:val="00A4177C"/>
    <w:rsid w:val="00A41954"/>
    <w:rsid w:val="00A419BC"/>
    <w:rsid w:val="00A419F4"/>
    <w:rsid w:val="00A41A12"/>
    <w:rsid w:val="00A41A81"/>
    <w:rsid w:val="00A41B8B"/>
    <w:rsid w:val="00A41C8D"/>
    <w:rsid w:val="00A41CF8"/>
    <w:rsid w:val="00A41DBC"/>
    <w:rsid w:val="00A41DCE"/>
    <w:rsid w:val="00A41E5B"/>
    <w:rsid w:val="00A42018"/>
    <w:rsid w:val="00A4204D"/>
    <w:rsid w:val="00A42157"/>
    <w:rsid w:val="00A42176"/>
    <w:rsid w:val="00A4219E"/>
    <w:rsid w:val="00A421D9"/>
    <w:rsid w:val="00A4230B"/>
    <w:rsid w:val="00A42360"/>
    <w:rsid w:val="00A423DD"/>
    <w:rsid w:val="00A4250B"/>
    <w:rsid w:val="00A42523"/>
    <w:rsid w:val="00A4267D"/>
    <w:rsid w:val="00A427B3"/>
    <w:rsid w:val="00A427DF"/>
    <w:rsid w:val="00A427F2"/>
    <w:rsid w:val="00A42894"/>
    <w:rsid w:val="00A429FE"/>
    <w:rsid w:val="00A42A6C"/>
    <w:rsid w:val="00A42A7B"/>
    <w:rsid w:val="00A42ABC"/>
    <w:rsid w:val="00A42E83"/>
    <w:rsid w:val="00A42EC1"/>
    <w:rsid w:val="00A42F0F"/>
    <w:rsid w:val="00A42FC0"/>
    <w:rsid w:val="00A4305A"/>
    <w:rsid w:val="00A43085"/>
    <w:rsid w:val="00A4309F"/>
    <w:rsid w:val="00A43193"/>
    <w:rsid w:val="00A4329B"/>
    <w:rsid w:val="00A4347E"/>
    <w:rsid w:val="00A43515"/>
    <w:rsid w:val="00A43604"/>
    <w:rsid w:val="00A436AC"/>
    <w:rsid w:val="00A4381C"/>
    <w:rsid w:val="00A4381E"/>
    <w:rsid w:val="00A43846"/>
    <w:rsid w:val="00A43863"/>
    <w:rsid w:val="00A4386E"/>
    <w:rsid w:val="00A438FF"/>
    <w:rsid w:val="00A43ADD"/>
    <w:rsid w:val="00A43C23"/>
    <w:rsid w:val="00A43C44"/>
    <w:rsid w:val="00A43C70"/>
    <w:rsid w:val="00A43C90"/>
    <w:rsid w:val="00A43CB8"/>
    <w:rsid w:val="00A43D4D"/>
    <w:rsid w:val="00A43D7D"/>
    <w:rsid w:val="00A43F78"/>
    <w:rsid w:val="00A43FA2"/>
    <w:rsid w:val="00A4400A"/>
    <w:rsid w:val="00A44022"/>
    <w:rsid w:val="00A4404D"/>
    <w:rsid w:val="00A4405A"/>
    <w:rsid w:val="00A440F4"/>
    <w:rsid w:val="00A44153"/>
    <w:rsid w:val="00A44172"/>
    <w:rsid w:val="00A4419B"/>
    <w:rsid w:val="00A442D4"/>
    <w:rsid w:val="00A4439D"/>
    <w:rsid w:val="00A44423"/>
    <w:rsid w:val="00A4455F"/>
    <w:rsid w:val="00A4456B"/>
    <w:rsid w:val="00A445D0"/>
    <w:rsid w:val="00A4469B"/>
    <w:rsid w:val="00A447C5"/>
    <w:rsid w:val="00A44880"/>
    <w:rsid w:val="00A448A0"/>
    <w:rsid w:val="00A44A5D"/>
    <w:rsid w:val="00A44B9C"/>
    <w:rsid w:val="00A44D4C"/>
    <w:rsid w:val="00A44DE8"/>
    <w:rsid w:val="00A44EDE"/>
    <w:rsid w:val="00A44F7E"/>
    <w:rsid w:val="00A45057"/>
    <w:rsid w:val="00A45064"/>
    <w:rsid w:val="00A45080"/>
    <w:rsid w:val="00A450B8"/>
    <w:rsid w:val="00A451B7"/>
    <w:rsid w:val="00A452A2"/>
    <w:rsid w:val="00A452CC"/>
    <w:rsid w:val="00A453E8"/>
    <w:rsid w:val="00A454D3"/>
    <w:rsid w:val="00A45520"/>
    <w:rsid w:val="00A455D2"/>
    <w:rsid w:val="00A45638"/>
    <w:rsid w:val="00A45704"/>
    <w:rsid w:val="00A45801"/>
    <w:rsid w:val="00A458E5"/>
    <w:rsid w:val="00A45A0F"/>
    <w:rsid w:val="00A45A64"/>
    <w:rsid w:val="00A45B6D"/>
    <w:rsid w:val="00A45C91"/>
    <w:rsid w:val="00A45DAF"/>
    <w:rsid w:val="00A45DC8"/>
    <w:rsid w:val="00A45DCF"/>
    <w:rsid w:val="00A46030"/>
    <w:rsid w:val="00A461AB"/>
    <w:rsid w:val="00A461C1"/>
    <w:rsid w:val="00A4630E"/>
    <w:rsid w:val="00A465A3"/>
    <w:rsid w:val="00A46640"/>
    <w:rsid w:val="00A46680"/>
    <w:rsid w:val="00A466D7"/>
    <w:rsid w:val="00A466E7"/>
    <w:rsid w:val="00A4677A"/>
    <w:rsid w:val="00A467CA"/>
    <w:rsid w:val="00A46863"/>
    <w:rsid w:val="00A468DF"/>
    <w:rsid w:val="00A469FD"/>
    <w:rsid w:val="00A46A10"/>
    <w:rsid w:val="00A46A4A"/>
    <w:rsid w:val="00A46A8C"/>
    <w:rsid w:val="00A46AE7"/>
    <w:rsid w:val="00A46BA5"/>
    <w:rsid w:val="00A46C98"/>
    <w:rsid w:val="00A46CF0"/>
    <w:rsid w:val="00A46DDE"/>
    <w:rsid w:val="00A46DF1"/>
    <w:rsid w:val="00A46E31"/>
    <w:rsid w:val="00A46E35"/>
    <w:rsid w:val="00A46E68"/>
    <w:rsid w:val="00A46EBA"/>
    <w:rsid w:val="00A46F1B"/>
    <w:rsid w:val="00A47017"/>
    <w:rsid w:val="00A47040"/>
    <w:rsid w:val="00A47078"/>
    <w:rsid w:val="00A4707F"/>
    <w:rsid w:val="00A470A7"/>
    <w:rsid w:val="00A470F5"/>
    <w:rsid w:val="00A4712D"/>
    <w:rsid w:val="00A471B4"/>
    <w:rsid w:val="00A472C1"/>
    <w:rsid w:val="00A4733E"/>
    <w:rsid w:val="00A473A4"/>
    <w:rsid w:val="00A473B1"/>
    <w:rsid w:val="00A47400"/>
    <w:rsid w:val="00A47408"/>
    <w:rsid w:val="00A476A7"/>
    <w:rsid w:val="00A476AE"/>
    <w:rsid w:val="00A476DB"/>
    <w:rsid w:val="00A4776F"/>
    <w:rsid w:val="00A47796"/>
    <w:rsid w:val="00A477B4"/>
    <w:rsid w:val="00A47871"/>
    <w:rsid w:val="00A47898"/>
    <w:rsid w:val="00A479FC"/>
    <w:rsid w:val="00A47ABC"/>
    <w:rsid w:val="00A47C16"/>
    <w:rsid w:val="00A47C17"/>
    <w:rsid w:val="00A47C59"/>
    <w:rsid w:val="00A47D36"/>
    <w:rsid w:val="00A47DAA"/>
    <w:rsid w:val="00A47DE3"/>
    <w:rsid w:val="00A47E42"/>
    <w:rsid w:val="00A47EF0"/>
    <w:rsid w:val="00A50036"/>
    <w:rsid w:val="00A500C2"/>
    <w:rsid w:val="00A50287"/>
    <w:rsid w:val="00A5035C"/>
    <w:rsid w:val="00A50386"/>
    <w:rsid w:val="00A50392"/>
    <w:rsid w:val="00A503ED"/>
    <w:rsid w:val="00A50485"/>
    <w:rsid w:val="00A50489"/>
    <w:rsid w:val="00A50526"/>
    <w:rsid w:val="00A50545"/>
    <w:rsid w:val="00A5058D"/>
    <w:rsid w:val="00A505AD"/>
    <w:rsid w:val="00A506AA"/>
    <w:rsid w:val="00A508F5"/>
    <w:rsid w:val="00A50982"/>
    <w:rsid w:val="00A50B2E"/>
    <w:rsid w:val="00A50B54"/>
    <w:rsid w:val="00A50B99"/>
    <w:rsid w:val="00A50E69"/>
    <w:rsid w:val="00A50E92"/>
    <w:rsid w:val="00A50EF4"/>
    <w:rsid w:val="00A51007"/>
    <w:rsid w:val="00A5114C"/>
    <w:rsid w:val="00A51164"/>
    <w:rsid w:val="00A51196"/>
    <w:rsid w:val="00A5122D"/>
    <w:rsid w:val="00A51237"/>
    <w:rsid w:val="00A51255"/>
    <w:rsid w:val="00A5129C"/>
    <w:rsid w:val="00A512DE"/>
    <w:rsid w:val="00A5139B"/>
    <w:rsid w:val="00A51606"/>
    <w:rsid w:val="00A516CB"/>
    <w:rsid w:val="00A517A5"/>
    <w:rsid w:val="00A5198A"/>
    <w:rsid w:val="00A51A2A"/>
    <w:rsid w:val="00A51A58"/>
    <w:rsid w:val="00A51A86"/>
    <w:rsid w:val="00A51B44"/>
    <w:rsid w:val="00A51D7D"/>
    <w:rsid w:val="00A51EC7"/>
    <w:rsid w:val="00A51EEB"/>
    <w:rsid w:val="00A51F84"/>
    <w:rsid w:val="00A5219D"/>
    <w:rsid w:val="00A52229"/>
    <w:rsid w:val="00A5227A"/>
    <w:rsid w:val="00A52360"/>
    <w:rsid w:val="00A523B6"/>
    <w:rsid w:val="00A5243D"/>
    <w:rsid w:val="00A5252A"/>
    <w:rsid w:val="00A5276E"/>
    <w:rsid w:val="00A527B2"/>
    <w:rsid w:val="00A529E3"/>
    <w:rsid w:val="00A52A22"/>
    <w:rsid w:val="00A52A25"/>
    <w:rsid w:val="00A52A45"/>
    <w:rsid w:val="00A52B6C"/>
    <w:rsid w:val="00A52B74"/>
    <w:rsid w:val="00A52C1D"/>
    <w:rsid w:val="00A52C82"/>
    <w:rsid w:val="00A52DDD"/>
    <w:rsid w:val="00A52DF4"/>
    <w:rsid w:val="00A53029"/>
    <w:rsid w:val="00A530DE"/>
    <w:rsid w:val="00A5317B"/>
    <w:rsid w:val="00A53190"/>
    <w:rsid w:val="00A532CB"/>
    <w:rsid w:val="00A532D9"/>
    <w:rsid w:val="00A53329"/>
    <w:rsid w:val="00A534B6"/>
    <w:rsid w:val="00A535BA"/>
    <w:rsid w:val="00A535EA"/>
    <w:rsid w:val="00A53680"/>
    <w:rsid w:val="00A53751"/>
    <w:rsid w:val="00A538FE"/>
    <w:rsid w:val="00A53926"/>
    <w:rsid w:val="00A53A1D"/>
    <w:rsid w:val="00A53B3A"/>
    <w:rsid w:val="00A53C00"/>
    <w:rsid w:val="00A53C28"/>
    <w:rsid w:val="00A53CD3"/>
    <w:rsid w:val="00A53E40"/>
    <w:rsid w:val="00A53F31"/>
    <w:rsid w:val="00A53FD1"/>
    <w:rsid w:val="00A54040"/>
    <w:rsid w:val="00A54305"/>
    <w:rsid w:val="00A5437F"/>
    <w:rsid w:val="00A5442F"/>
    <w:rsid w:val="00A54506"/>
    <w:rsid w:val="00A54555"/>
    <w:rsid w:val="00A54686"/>
    <w:rsid w:val="00A546E2"/>
    <w:rsid w:val="00A54838"/>
    <w:rsid w:val="00A5483C"/>
    <w:rsid w:val="00A548CF"/>
    <w:rsid w:val="00A548D0"/>
    <w:rsid w:val="00A54AAD"/>
    <w:rsid w:val="00A54B02"/>
    <w:rsid w:val="00A54B89"/>
    <w:rsid w:val="00A54B97"/>
    <w:rsid w:val="00A54C53"/>
    <w:rsid w:val="00A54DE1"/>
    <w:rsid w:val="00A54E2C"/>
    <w:rsid w:val="00A54E3B"/>
    <w:rsid w:val="00A54EF3"/>
    <w:rsid w:val="00A54EF7"/>
    <w:rsid w:val="00A54FAF"/>
    <w:rsid w:val="00A55087"/>
    <w:rsid w:val="00A550B3"/>
    <w:rsid w:val="00A550DA"/>
    <w:rsid w:val="00A5529F"/>
    <w:rsid w:val="00A552FA"/>
    <w:rsid w:val="00A5530A"/>
    <w:rsid w:val="00A55339"/>
    <w:rsid w:val="00A55373"/>
    <w:rsid w:val="00A554B3"/>
    <w:rsid w:val="00A55506"/>
    <w:rsid w:val="00A55513"/>
    <w:rsid w:val="00A5556D"/>
    <w:rsid w:val="00A55631"/>
    <w:rsid w:val="00A557F8"/>
    <w:rsid w:val="00A5599E"/>
    <w:rsid w:val="00A55A52"/>
    <w:rsid w:val="00A55A5A"/>
    <w:rsid w:val="00A55B15"/>
    <w:rsid w:val="00A55B2D"/>
    <w:rsid w:val="00A55BBE"/>
    <w:rsid w:val="00A55C5C"/>
    <w:rsid w:val="00A55C82"/>
    <w:rsid w:val="00A55CCF"/>
    <w:rsid w:val="00A55DE0"/>
    <w:rsid w:val="00A55F0C"/>
    <w:rsid w:val="00A55F4F"/>
    <w:rsid w:val="00A55FFB"/>
    <w:rsid w:val="00A56047"/>
    <w:rsid w:val="00A560D6"/>
    <w:rsid w:val="00A5618D"/>
    <w:rsid w:val="00A561EE"/>
    <w:rsid w:val="00A56209"/>
    <w:rsid w:val="00A56268"/>
    <w:rsid w:val="00A562B3"/>
    <w:rsid w:val="00A5641A"/>
    <w:rsid w:val="00A56523"/>
    <w:rsid w:val="00A565CF"/>
    <w:rsid w:val="00A56645"/>
    <w:rsid w:val="00A56731"/>
    <w:rsid w:val="00A568E5"/>
    <w:rsid w:val="00A568FC"/>
    <w:rsid w:val="00A5698A"/>
    <w:rsid w:val="00A569C4"/>
    <w:rsid w:val="00A569C5"/>
    <w:rsid w:val="00A569C7"/>
    <w:rsid w:val="00A56D04"/>
    <w:rsid w:val="00A56D45"/>
    <w:rsid w:val="00A56D59"/>
    <w:rsid w:val="00A56F5C"/>
    <w:rsid w:val="00A56FD8"/>
    <w:rsid w:val="00A57048"/>
    <w:rsid w:val="00A57113"/>
    <w:rsid w:val="00A571AB"/>
    <w:rsid w:val="00A571E9"/>
    <w:rsid w:val="00A5742C"/>
    <w:rsid w:val="00A57454"/>
    <w:rsid w:val="00A5748A"/>
    <w:rsid w:val="00A574C3"/>
    <w:rsid w:val="00A574E5"/>
    <w:rsid w:val="00A57507"/>
    <w:rsid w:val="00A5753B"/>
    <w:rsid w:val="00A57618"/>
    <w:rsid w:val="00A57665"/>
    <w:rsid w:val="00A57885"/>
    <w:rsid w:val="00A578A3"/>
    <w:rsid w:val="00A578E2"/>
    <w:rsid w:val="00A5791A"/>
    <w:rsid w:val="00A57A16"/>
    <w:rsid w:val="00A57A4C"/>
    <w:rsid w:val="00A57B93"/>
    <w:rsid w:val="00A57D31"/>
    <w:rsid w:val="00A57D42"/>
    <w:rsid w:val="00A57E9D"/>
    <w:rsid w:val="00A57EEC"/>
    <w:rsid w:val="00A57F10"/>
    <w:rsid w:val="00A57FA7"/>
    <w:rsid w:val="00A57FE0"/>
    <w:rsid w:val="00A60085"/>
    <w:rsid w:val="00A60092"/>
    <w:rsid w:val="00A60125"/>
    <w:rsid w:val="00A60200"/>
    <w:rsid w:val="00A60212"/>
    <w:rsid w:val="00A6029E"/>
    <w:rsid w:val="00A60320"/>
    <w:rsid w:val="00A60338"/>
    <w:rsid w:val="00A603A2"/>
    <w:rsid w:val="00A603E7"/>
    <w:rsid w:val="00A6046A"/>
    <w:rsid w:val="00A6049A"/>
    <w:rsid w:val="00A6051D"/>
    <w:rsid w:val="00A60587"/>
    <w:rsid w:val="00A605B8"/>
    <w:rsid w:val="00A6062B"/>
    <w:rsid w:val="00A6065C"/>
    <w:rsid w:val="00A60732"/>
    <w:rsid w:val="00A60759"/>
    <w:rsid w:val="00A60778"/>
    <w:rsid w:val="00A60834"/>
    <w:rsid w:val="00A608B0"/>
    <w:rsid w:val="00A6099D"/>
    <w:rsid w:val="00A609B8"/>
    <w:rsid w:val="00A609C0"/>
    <w:rsid w:val="00A60BBB"/>
    <w:rsid w:val="00A60BBE"/>
    <w:rsid w:val="00A60BF9"/>
    <w:rsid w:val="00A60C03"/>
    <w:rsid w:val="00A60C0B"/>
    <w:rsid w:val="00A60C2A"/>
    <w:rsid w:val="00A60C83"/>
    <w:rsid w:val="00A60CF6"/>
    <w:rsid w:val="00A60D10"/>
    <w:rsid w:val="00A60D8C"/>
    <w:rsid w:val="00A60DC0"/>
    <w:rsid w:val="00A60E08"/>
    <w:rsid w:val="00A60F01"/>
    <w:rsid w:val="00A60F43"/>
    <w:rsid w:val="00A60F83"/>
    <w:rsid w:val="00A60F8D"/>
    <w:rsid w:val="00A60F97"/>
    <w:rsid w:val="00A6113F"/>
    <w:rsid w:val="00A61248"/>
    <w:rsid w:val="00A61253"/>
    <w:rsid w:val="00A616B1"/>
    <w:rsid w:val="00A61868"/>
    <w:rsid w:val="00A61966"/>
    <w:rsid w:val="00A619AB"/>
    <w:rsid w:val="00A619C0"/>
    <w:rsid w:val="00A61A59"/>
    <w:rsid w:val="00A61ABD"/>
    <w:rsid w:val="00A61CC2"/>
    <w:rsid w:val="00A61D51"/>
    <w:rsid w:val="00A61DB2"/>
    <w:rsid w:val="00A61FF0"/>
    <w:rsid w:val="00A620FA"/>
    <w:rsid w:val="00A622A7"/>
    <w:rsid w:val="00A62426"/>
    <w:rsid w:val="00A62515"/>
    <w:rsid w:val="00A626D7"/>
    <w:rsid w:val="00A62780"/>
    <w:rsid w:val="00A627B6"/>
    <w:rsid w:val="00A627D9"/>
    <w:rsid w:val="00A628A9"/>
    <w:rsid w:val="00A6293E"/>
    <w:rsid w:val="00A6296D"/>
    <w:rsid w:val="00A62999"/>
    <w:rsid w:val="00A629AE"/>
    <w:rsid w:val="00A62A43"/>
    <w:rsid w:val="00A62A80"/>
    <w:rsid w:val="00A62AD8"/>
    <w:rsid w:val="00A62BF7"/>
    <w:rsid w:val="00A62C89"/>
    <w:rsid w:val="00A62CB8"/>
    <w:rsid w:val="00A62DBC"/>
    <w:rsid w:val="00A62DCE"/>
    <w:rsid w:val="00A62E14"/>
    <w:rsid w:val="00A62E2B"/>
    <w:rsid w:val="00A62FB7"/>
    <w:rsid w:val="00A631AB"/>
    <w:rsid w:val="00A631B7"/>
    <w:rsid w:val="00A631C6"/>
    <w:rsid w:val="00A633F0"/>
    <w:rsid w:val="00A6347F"/>
    <w:rsid w:val="00A637EE"/>
    <w:rsid w:val="00A63855"/>
    <w:rsid w:val="00A638D4"/>
    <w:rsid w:val="00A638F1"/>
    <w:rsid w:val="00A63952"/>
    <w:rsid w:val="00A63974"/>
    <w:rsid w:val="00A6399C"/>
    <w:rsid w:val="00A63A0A"/>
    <w:rsid w:val="00A63A13"/>
    <w:rsid w:val="00A63A47"/>
    <w:rsid w:val="00A63A99"/>
    <w:rsid w:val="00A63AE8"/>
    <w:rsid w:val="00A63BBD"/>
    <w:rsid w:val="00A63CFD"/>
    <w:rsid w:val="00A63D45"/>
    <w:rsid w:val="00A63EC7"/>
    <w:rsid w:val="00A64186"/>
    <w:rsid w:val="00A64214"/>
    <w:rsid w:val="00A64369"/>
    <w:rsid w:val="00A64373"/>
    <w:rsid w:val="00A643BA"/>
    <w:rsid w:val="00A643D0"/>
    <w:rsid w:val="00A6442E"/>
    <w:rsid w:val="00A6445B"/>
    <w:rsid w:val="00A644E6"/>
    <w:rsid w:val="00A64598"/>
    <w:rsid w:val="00A645A4"/>
    <w:rsid w:val="00A64605"/>
    <w:rsid w:val="00A646DB"/>
    <w:rsid w:val="00A646F5"/>
    <w:rsid w:val="00A646F8"/>
    <w:rsid w:val="00A64987"/>
    <w:rsid w:val="00A649F5"/>
    <w:rsid w:val="00A64A1C"/>
    <w:rsid w:val="00A64B2E"/>
    <w:rsid w:val="00A64C01"/>
    <w:rsid w:val="00A64CD7"/>
    <w:rsid w:val="00A64D64"/>
    <w:rsid w:val="00A64E4B"/>
    <w:rsid w:val="00A64E51"/>
    <w:rsid w:val="00A64E59"/>
    <w:rsid w:val="00A64F05"/>
    <w:rsid w:val="00A64F79"/>
    <w:rsid w:val="00A6512E"/>
    <w:rsid w:val="00A6514B"/>
    <w:rsid w:val="00A65163"/>
    <w:rsid w:val="00A653BC"/>
    <w:rsid w:val="00A653C7"/>
    <w:rsid w:val="00A653C8"/>
    <w:rsid w:val="00A653D1"/>
    <w:rsid w:val="00A6553C"/>
    <w:rsid w:val="00A6561E"/>
    <w:rsid w:val="00A6576F"/>
    <w:rsid w:val="00A65AE6"/>
    <w:rsid w:val="00A65B12"/>
    <w:rsid w:val="00A65C80"/>
    <w:rsid w:val="00A65C82"/>
    <w:rsid w:val="00A65D0B"/>
    <w:rsid w:val="00A65DA7"/>
    <w:rsid w:val="00A65DBC"/>
    <w:rsid w:val="00A65DC1"/>
    <w:rsid w:val="00A65F1E"/>
    <w:rsid w:val="00A66010"/>
    <w:rsid w:val="00A66089"/>
    <w:rsid w:val="00A66175"/>
    <w:rsid w:val="00A661AA"/>
    <w:rsid w:val="00A6622D"/>
    <w:rsid w:val="00A6626A"/>
    <w:rsid w:val="00A66290"/>
    <w:rsid w:val="00A66469"/>
    <w:rsid w:val="00A66497"/>
    <w:rsid w:val="00A664FB"/>
    <w:rsid w:val="00A66543"/>
    <w:rsid w:val="00A6668F"/>
    <w:rsid w:val="00A66700"/>
    <w:rsid w:val="00A66768"/>
    <w:rsid w:val="00A66A27"/>
    <w:rsid w:val="00A66C4B"/>
    <w:rsid w:val="00A66E30"/>
    <w:rsid w:val="00A66E67"/>
    <w:rsid w:val="00A66E98"/>
    <w:rsid w:val="00A66EAA"/>
    <w:rsid w:val="00A66F08"/>
    <w:rsid w:val="00A6701C"/>
    <w:rsid w:val="00A670CF"/>
    <w:rsid w:val="00A670F0"/>
    <w:rsid w:val="00A6740B"/>
    <w:rsid w:val="00A674B8"/>
    <w:rsid w:val="00A675E0"/>
    <w:rsid w:val="00A675F3"/>
    <w:rsid w:val="00A67660"/>
    <w:rsid w:val="00A676C0"/>
    <w:rsid w:val="00A67826"/>
    <w:rsid w:val="00A6783E"/>
    <w:rsid w:val="00A678B7"/>
    <w:rsid w:val="00A679D5"/>
    <w:rsid w:val="00A67A3E"/>
    <w:rsid w:val="00A67B63"/>
    <w:rsid w:val="00A67B7B"/>
    <w:rsid w:val="00A67C68"/>
    <w:rsid w:val="00A67E07"/>
    <w:rsid w:val="00A67F49"/>
    <w:rsid w:val="00A70004"/>
    <w:rsid w:val="00A7008A"/>
    <w:rsid w:val="00A700DF"/>
    <w:rsid w:val="00A701EB"/>
    <w:rsid w:val="00A70448"/>
    <w:rsid w:val="00A70470"/>
    <w:rsid w:val="00A70480"/>
    <w:rsid w:val="00A7051A"/>
    <w:rsid w:val="00A70531"/>
    <w:rsid w:val="00A7074A"/>
    <w:rsid w:val="00A707B4"/>
    <w:rsid w:val="00A70911"/>
    <w:rsid w:val="00A7094E"/>
    <w:rsid w:val="00A70C79"/>
    <w:rsid w:val="00A70CA2"/>
    <w:rsid w:val="00A70CEE"/>
    <w:rsid w:val="00A70D98"/>
    <w:rsid w:val="00A70FA9"/>
    <w:rsid w:val="00A70FB9"/>
    <w:rsid w:val="00A70FE9"/>
    <w:rsid w:val="00A7107F"/>
    <w:rsid w:val="00A71297"/>
    <w:rsid w:val="00A7133A"/>
    <w:rsid w:val="00A7135D"/>
    <w:rsid w:val="00A7138B"/>
    <w:rsid w:val="00A713F7"/>
    <w:rsid w:val="00A7149A"/>
    <w:rsid w:val="00A714F3"/>
    <w:rsid w:val="00A71504"/>
    <w:rsid w:val="00A7155F"/>
    <w:rsid w:val="00A71653"/>
    <w:rsid w:val="00A7167A"/>
    <w:rsid w:val="00A71695"/>
    <w:rsid w:val="00A716E9"/>
    <w:rsid w:val="00A71859"/>
    <w:rsid w:val="00A718F8"/>
    <w:rsid w:val="00A719D5"/>
    <w:rsid w:val="00A71A30"/>
    <w:rsid w:val="00A71A4B"/>
    <w:rsid w:val="00A71B20"/>
    <w:rsid w:val="00A71B70"/>
    <w:rsid w:val="00A71B71"/>
    <w:rsid w:val="00A71D1D"/>
    <w:rsid w:val="00A71ECD"/>
    <w:rsid w:val="00A71EFB"/>
    <w:rsid w:val="00A71FE4"/>
    <w:rsid w:val="00A721C0"/>
    <w:rsid w:val="00A721DB"/>
    <w:rsid w:val="00A721E0"/>
    <w:rsid w:val="00A7242B"/>
    <w:rsid w:val="00A72439"/>
    <w:rsid w:val="00A72489"/>
    <w:rsid w:val="00A72627"/>
    <w:rsid w:val="00A726EC"/>
    <w:rsid w:val="00A72726"/>
    <w:rsid w:val="00A7283E"/>
    <w:rsid w:val="00A72875"/>
    <w:rsid w:val="00A72920"/>
    <w:rsid w:val="00A729A9"/>
    <w:rsid w:val="00A729D3"/>
    <w:rsid w:val="00A72A7F"/>
    <w:rsid w:val="00A72A99"/>
    <w:rsid w:val="00A72C63"/>
    <w:rsid w:val="00A72E03"/>
    <w:rsid w:val="00A72E15"/>
    <w:rsid w:val="00A72F6E"/>
    <w:rsid w:val="00A7316C"/>
    <w:rsid w:val="00A732AE"/>
    <w:rsid w:val="00A73454"/>
    <w:rsid w:val="00A73548"/>
    <w:rsid w:val="00A7365D"/>
    <w:rsid w:val="00A737A9"/>
    <w:rsid w:val="00A73804"/>
    <w:rsid w:val="00A739AD"/>
    <w:rsid w:val="00A739B3"/>
    <w:rsid w:val="00A739BD"/>
    <w:rsid w:val="00A73AC3"/>
    <w:rsid w:val="00A73B91"/>
    <w:rsid w:val="00A73BB4"/>
    <w:rsid w:val="00A73BF3"/>
    <w:rsid w:val="00A73CE2"/>
    <w:rsid w:val="00A73E3A"/>
    <w:rsid w:val="00A73E97"/>
    <w:rsid w:val="00A73F24"/>
    <w:rsid w:val="00A73F48"/>
    <w:rsid w:val="00A73F97"/>
    <w:rsid w:val="00A7405D"/>
    <w:rsid w:val="00A74156"/>
    <w:rsid w:val="00A7416B"/>
    <w:rsid w:val="00A741CE"/>
    <w:rsid w:val="00A742AA"/>
    <w:rsid w:val="00A742C6"/>
    <w:rsid w:val="00A742FD"/>
    <w:rsid w:val="00A7445C"/>
    <w:rsid w:val="00A74480"/>
    <w:rsid w:val="00A744A4"/>
    <w:rsid w:val="00A7457C"/>
    <w:rsid w:val="00A74616"/>
    <w:rsid w:val="00A74624"/>
    <w:rsid w:val="00A746AA"/>
    <w:rsid w:val="00A746C2"/>
    <w:rsid w:val="00A74740"/>
    <w:rsid w:val="00A747B5"/>
    <w:rsid w:val="00A74810"/>
    <w:rsid w:val="00A748F4"/>
    <w:rsid w:val="00A74912"/>
    <w:rsid w:val="00A74963"/>
    <w:rsid w:val="00A749DC"/>
    <w:rsid w:val="00A74A4A"/>
    <w:rsid w:val="00A74B2D"/>
    <w:rsid w:val="00A74B3E"/>
    <w:rsid w:val="00A74B68"/>
    <w:rsid w:val="00A74D4B"/>
    <w:rsid w:val="00A74D75"/>
    <w:rsid w:val="00A74DDF"/>
    <w:rsid w:val="00A75119"/>
    <w:rsid w:val="00A752B0"/>
    <w:rsid w:val="00A752C4"/>
    <w:rsid w:val="00A75468"/>
    <w:rsid w:val="00A75750"/>
    <w:rsid w:val="00A757BC"/>
    <w:rsid w:val="00A757C9"/>
    <w:rsid w:val="00A757EB"/>
    <w:rsid w:val="00A75922"/>
    <w:rsid w:val="00A7592B"/>
    <w:rsid w:val="00A75933"/>
    <w:rsid w:val="00A75C00"/>
    <w:rsid w:val="00A75E0C"/>
    <w:rsid w:val="00A75E74"/>
    <w:rsid w:val="00A75F75"/>
    <w:rsid w:val="00A760B2"/>
    <w:rsid w:val="00A7615B"/>
    <w:rsid w:val="00A761A4"/>
    <w:rsid w:val="00A761DD"/>
    <w:rsid w:val="00A763A8"/>
    <w:rsid w:val="00A764D2"/>
    <w:rsid w:val="00A7654F"/>
    <w:rsid w:val="00A767BF"/>
    <w:rsid w:val="00A7681E"/>
    <w:rsid w:val="00A76952"/>
    <w:rsid w:val="00A76A2E"/>
    <w:rsid w:val="00A76A77"/>
    <w:rsid w:val="00A76B63"/>
    <w:rsid w:val="00A76BF1"/>
    <w:rsid w:val="00A76DC3"/>
    <w:rsid w:val="00A76E7D"/>
    <w:rsid w:val="00A76ED7"/>
    <w:rsid w:val="00A76EE2"/>
    <w:rsid w:val="00A76F49"/>
    <w:rsid w:val="00A771C3"/>
    <w:rsid w:val="00A771CC"/>
    <w:rsid w:val="00A77227"/>
    <w:rsid w:val="00A77229"/>
    <w:rsid w:val="00A7722E"/>
    <w:rsid w:val="00A7735F"/>
    <w:rsid w:val="00A77390"/>
    <w:rsid w:val="00A7744C"/>
    <w:rsid w:val="00A7751E"/>
    <w:rsid w:val="00A7757A"/>
    <w:rsid w:val="00A77593"/>
    <w:rsid w:val="00A775B8"/>
    <w:rsid w:val="00A775D1"/>
    <w:rsid w:val="00A77602"/>
    <w:rsid w:val="00A77614"/>
    <w:rsid w:val="00A77668"/>
    <w:rsid w:val="00A776A7"/>
    <w:rsid w:val="00A776D4"/>
    <w:rsid w:val="00A776D5"/>
    <w:rsid w:val="00A7776C"/>
    <w:rsid w:val="00A778E7"/>
    <w:rsid w:val="00A77B7C"/>
    <w:rsid w:val="00A77B81"/>
    <w:rsid w:val="00A77BC9"/>
    <w:rsid w:val="00A77BF8"/>
    <w:rsid w:val="00A77C01"/>
    <w:rsid w:val="00A77D25"/>
    <w:rsid w:val="00A77E0B"/>
    <w:rsid w:val="00A77E76"/>
    <w:rsid w:val="00A77ED6"/>
    <w:rsid w:val="00A77EFA"/>
    <w:rsid w:val="00A77F74"/>
    <w:rsid w:val="00A80023"/>
    <w:rsid w:val="00A80045"/>
    <w:rsid w:val="00A800CC"/>
    <w:rsid w:val="00A80125"/>
    <w:rsid w:val="00A80134"/>
    <w:rsid w:val="00A80158"/>
    <w:rsid w:val="00A80177"/>
    <w:rsid w:val="00A80181"/>
    <w:rsid w:val="00A80253"/>
    <w:rsid w:val="00A80288"/>
    <w:rsid w:val="00A802A3"/>
    <w:rsid w:val="00A8038D"/>
    <w:rsid w:val="00A80455"/>
    <w:rsid w:val="00A804B6"/>
    <w:rsid w:val="00A80503"/>
    <w:rsid w:val="00A80532"/>
    <w:rsid w:val="00A80547"/>
    <w:rsid w:val="00A806A9"/>
    <w:rsid w:val="00A806D1"/>
    <w:rsid w:val="00A806E5"/>
    <w:rsid w:val="00A80713"/>
    <w:rsid w:val="00A80745"/>
    <w:rsid w:val="00A8084A"/>
    <w:rsid w:val="00A80893"/>
    <w:rsid w:val="00A8091A"/>
    <w:rsid w:val="00A80932"/>
    <w:rsid w:val="00A80964"/>
    <w:rsid w:val="00A80A5E"/>
    <w:rsid w:val="00A80BAA"/>
    <w:rsid w:val="00A80C62"/>
    <w:rsid w:val="00A80CAC"/>
    <w:rsid w:val="00A80DD1"/>
    <w:rsid w:val="00A80E0B"/>
    <w:rsid w:val="00A80E50"/>
    <w:rsid w:val="00A80F03"/>
    <w:rsid w:val="00A80F5B"/>
    <w:rsid w:val="00A80F79"/>
    <w:rsid w:val="00A81059"/>
    <w:rsid w:val="00A81067"/>
    <w:rsid w:val="00A810F0"/>
    <w:rsid w:val="00A81127"/>
    <w:rsid w:val="00A81136"/>
    <w:rsid w:val="00A81167"/>
    <w:rsid w:val="00A811B0"/>
    <w:rsid w:val="00A811DA"/>
    <w:rsid w:val="00A8125E"/>
    <w:rsid w:val="00A8128B"/>
    <w:rsid w:val="00A814E3"/>
    <w:rsid w:val="00A81542"/>
    <w:rsid w:val="00A8168C"/>
    <w:rsid w:val="00A81697"/>
    <w:rsid w:val="00A81748"/>
    <w:rsid w:val="00A817E9"/>
    <w:rsid w:val="00A81998"/>
    <w:rsid w:val="00A819BD"/>
    <w:rsid w:val="00A81B2B"/>
    <w:rsid w:val="00A81B57"/>
    <w:rsid w:val="00A81BDF"/>
    <w:rsid w:val="00A81C9D"/>
    <w:rsid w:val="00A81E31"/>
    <w:rsid w:val="00A81F2A"/>
    <w:rsid w:val="00A82093"/>
    <w:rsid w:val="00A8222B"/>
    <w:rsid w:val="00A822A3"/>
    <w:rsid w:val="00A822E5"/>
    <w:rsid w:val="00A82386"/>
    <w:rsid w:val="00A823AF"/>
    <w:rsid w:val="00A82640"/>
    <w:rsid w:val="00A826D3"/>
    <w:rsid w:val="00A8277A"/>
    <w:rsid w:val="00A82806"/>
    <w:rsid w:val="00A828D9"/>
    <w:rsid w:val="00A82A89"/>
    <w:rsid w:val="00A82B5C"/>
    <w:rsid w:val="00A82CD4"/>
    <w:rsid w:val="00A82D1C"/>
    <w:rsid w:val="00A82E59"/>
    <w:rsid w:val="00A82F4A"/>
    <w:rsid w:val="00A830A8"/>
    <w:rsid w:val="00A83111"/>
    <w:rsid w:val="00A83172"/>
    <w:rsid w:val="00A831B8"/>
    <w:rsid w:val="00A83299"/>
    <w:rsid w:val="00A8329D"/>
    <w:rsid w:val="00A832B7"/>
    <w:rsid w:val="00A8337D"/>
    <w:rsid w:val="00A833EC"/>
    <w:rsid w:val="00A8343E"/>
    <w:rsid w:val="00A83469"/>
    <w:rsid w:val="00A834BD"/>
    <w:rsid w:val="00A8350D"/>
    <w:rsid w:val="00A8355C"/>
    <w:rsid w:val="00A83690"/>
    <w:rsid w:val="00A8382E"/>
    <w:rsid w:val="00A83830"/>
    <w:rsid w:val="00A838E0"/>
    <w:rsid w:val="00A8392F"/>
    <w:rsid w:val="00A839AD"/>
    <w:rsid w:val="00A839D3"/>
    <w:rsid w:val="00A839FB"/>
    <w:rsid w:val="00A83A19"/>
    <w:rsid w:val="00A83ACF"/>
    <w:rsid w:val="00A83AF7"/>
    <w:rsid w:val="00A83CBF"/>
    <w:rsid w:val="00A83D35"/>
    <w:rsid w:val="00A83D91"/>
    <w:rsid w:val="00A83F17"/>
    <w:rsid w:val="00A84047"/>
    <w:rsid w:val="00A840A7"/>
    <w:rsid w:val="00A84159"/>
    <w:rsid w:val="00A84191"/>
    <w:rsid w:val="00A84297"/>
    <w:rsid w:val="00A84495"/>
    <w:rsid w:val="00A844C6"/>
    <w:rsid w:val="00A84747"/>
    <w:rsid w:val="00A8496C"/>
    <w:rsid w:val="00A84A65"/>
    <w:rsid w:val="00A84B83"/>
    <w:rsid w:val="00A84D81"/>
    <w:rsid w:val="00A84EB4"/>
    <w:rsid w:val="00A84FF5"/>
    <w:rsid w:val="00A85029"/>
    <w:rsid w:val="00A850A4"/>
    <w:rsid w:val="00A851A4"/>
    <w:rsid w:val="00A851B9"/>
    <w:rsid w:val="00A851FB"/>
    <w:rsid w:val="00A853FB"/>
    <w:rsid w:val="00A8543E"/>
    <w:rsid w:val="00A854B1"/>
    <w:rsid w:val="00A8559D"/>
    <w:rsid w:val="00A855AA"/>
    <w:rsid w:val="00A855D4"/>
    <w:rsid w:val="00A85634"/>
    <w:rsid w:val="00A8577F"/>
    <w:rsid w:val="00A857E3"/>
    <w:rsid w:val="00A85943"/>
    <w:rsid w:val="00A85982"/>
    <w:rsid w:val="00A859B0"/>
    <w:rsid w:val="00A859FC"/>
    <w:rsid w:val="00A85B10"/>
    <w:rsid w:val="00A85C37"/>
    <w:rsid w:val="00A85DF4"/>
    <w:rsid w:val="00A85E85"/>
    <w:rsid w:val="00A85E8D"/>
    <w:rsid w:val="00A8607B"/>
    <w:rsid w:val="00A86124"/>
    <w:rsid w:val="00A8615E"/>
    <w:rsid w:val="00A86192"/>
    <w:rsid w:val="00A8647A"/>
    <w:rsid w:val="00A86508"/>
    <w:rsid w:val="00A8654D"/>
    <w:rsid w:val="00A86589"/>
    <w:rsid w:val="00A86600"/>
    <w:rsid w:val="00A867A5"/>
    <w:rsid w:val="00A86815"/>
    <w:rsid w:val="00A86918"/>
    <w:rsid w:val="00A8696D"/>
    <w:rsid w:val="00A86A3C"/>
    <w:rsid w:val="00A86BDE"/>
    <w:rsid w:val="00A86BFE"/>
    <w:rsid w:val="00A86C00"/>
    <w:rsid w:val="00A86CB5"/>
    <w:rsid w:val="00A86CED"/>
    <w:rsid w:val="00A86D69"/>
    <w:rsid w:val="00A86D79"/>
    <w:rsid w:val="00A86E02"/>
    <w:rsid w:val="00A86E9D"/>
    <w:rsid w:val="00A87114"/>
    <w:rsid w:val="00A87132"/>
    <w:rsid w:val="00A871D2"/>
    <w:rsid w:val="00A87214"/>
    <w:rsid w:val="00A8722F"/>
    <w:rsid w:val="00A8724F"/>
    <w:rsid w:val="00A87275"/>
    <w:rsid w:val="00A87365"/>
    <w:rsid w:val="00A873A6"/>
    <w:rsid w:val="00A87488"/>
    <w:rsid w:val="00A87566"/>
    <w:rsid w:val="00A87623"/>
    <w:rsid w:val="00A876ED"/>
    <w:rsid w:val="00A87786"/>
    <w:rsid w:val="00A877A3"/>
    <w:rsid w:val="00A8780B"/>
    <w:rsid w:val="00A87820"/>
    <w:rsid w:val="00A87980"/>
    <w:rsid w:val="00A879C7"/>
    <w:rsid w:val="00A879FA"/>
    <w:rsid w:val="00A87AD3"/>
    <w:rsid w:val="00A87AEC"/>
    <w:rsid w:val="00A87C2A"/>
    <w:rsid w:val="00A87CB4"/>
    <w:rsid w:val="00A87D2D"/>
    <w:rsid w:val="00A87DE5"/>
    <w:rsid w:val="00A87E85"/>
    <w:rsid w:val="00A87EA3"/>
    <w:rsid w:val="00A87EB4"/>
    <w:rsid w:val="00A87ECB"/>
    <w:rsid w:val="00A87ECD"/>
    <w:rsid w:val="00A87F0B"/>
    <w:rsid w:val="00A87F11"/>
    <w:rsid w:val="00A87F14"/>
    <w:rsid w:val="00A87F24"/>
    <w:rsid w:val="00A87F71"/>
    <w:rsid w:val="00A9003E"/>
    <w:rsid w:val="00A90123"/>
    <w:rsid w:val="00A9024C"/>
    <w:rsid w:val="00A9025E"/>
    <w:rsid w:val="00A90370"/>
    <w:rsid w:val="00A90495"/>
    <w:rsid w:val="00A9068C"/>
    <w:rsid w:val="00A906A4"/>
    <w:rsid w:val="00A906BE"/>
    <w:rsid w:val="00A9088A"/>
    <w:rsid w:val="00A9091A"/>
    <w:rsid w:val="00A90976"/>
    <w:rsid w:val="00A9099D"/>
    <w:rsid w:val="00A90AAD"/>
    <w:rsid w:val="00A90AE3"/>
    <w:rsid w:val="00A90AEF"/>
    <w:rsid w:val="00A90AFF"/>
    <w:rsid w:val="00A90BDB"/>
    <w:rsid w:val="00A90BF0"/>
    <w:rsid w:val="00A90C73"/>
    <w:rsid w:val="00A90E0E"/>
    <w:rsid w:val="00A90E5B"/>
    <w:rsid w:val="00A90EC4"/>
    <w:rsid w:val="00A90EFA"/>
    <w:rsid w:val="00A90FC2"/>
    <w:rsid w:val="00A912C0"/>
    <w:rsid w:val="00A913DF"/>
    <w:rsid w:val="00A913E6"/>
    <w:rsid w:val="00A913FB"/>
    <w:rsid w:val="00A913FF"/>
    <w:rsid w:val="00A914DE"/>
    <w:rsid w:val="00A9160F"/>
    <w:rsid w:val="00A9177F"/>
    <w:rsid w:val="00A918AC"/>
    <w:rsid w:val="00A91969"/>
    <w:rsid w:val="00A919D3"/>
    <w:rsid w:val="00A919F0"/>
    <w:rsid w:val="00A91A11"/>
    <w:rsid w:val="00A91A63"/>
    <w:rsid w:val="00A91A78"/>
    <w:rsid w:val="00A91AC0"/>
    <w:rsid w:val="00A91B0E"/>
    <w:rsid w:val="00A91B63"/>
    <w:rsid w:val="00A91D5A"/>
    <w:rsid w:val="00A91F41"/>
    <w:rsid w:val="00A920D8"/>
    <w:rsid w:val="00A92153"/>
    <w:rsid w:val="00A9217D"/>
    <w:rsid w:val="00A921E3"/>
    <w:rsid w:val="00A92284"/>
    <w:rsid w:val="00A922BB"/>
    <w:rsid w:val="00A922BD"/>
    <w:rsid w:val="00A92336"/>
    <w:rsid w:val="00A92356"/>
    <w:rsid w:val="00A9240F"/>
    <w:rsid w:val="00A92411"/>
    <w:rsid w:val="00A924F7"/>
    <w:rsid w:val="00A92650"/>
    <w:rsid w:val="00A926DD"/>
    <w:rsid w:val="00A92705"/>
    <w:rsid w:val="00A92725"/>
    <w:rsid w:val="00A92749"/>
    <w:rsid w:val="00A9277B"/>
    <w:rsid w:val="00A9281A"/>
    <w:rsid w:val="00A92864"/>
    <w:rsid w:val="00A928FD"/>
    <w:rsid w:val="00A92960"/>
    <w:rsid w:val="00A92993"/>
    <w:rsid w:val="00A92B10"/>
    <w:rsid w:val="00A92B7D"/>
    <w:rsid w:val="00A92BE0"/>
    <w:rsid w:val="00A92C02"/>
    <w:rsid w:val="00A92CC1"/>
    <w:rsid w:val="00A92D04"/>
    <w:rsid w:val="00A92DBB"/>
    <w:rsid w:val="00A92E35"/>
    <w:rsid w:val="00A92EEB"/>
    <w:rsid w:val="00A92EF8"/>
    <w:rsid w:val="00A92F4F"/>
    <w:rsid w:val="00A92F92"/>
    <w:rsid w:val="00A9301C"/>
    <w:rsid w:val="00A930E6"/>
    <w:rsid w:val="00A93189"/>
    <w:rsid w:val="00A93367"/>
    <w:rsid w:val="00A9341D"/>
    <w:rsid w:val="00A9344C"/>
    <w:rsid w:val="00A934B2"/>
    <w:rsid w:val="00A934C1"/>
    <w:rsid w:val="00A93562"/>
    <w:rsid w:val="00A9363E"/>
    <w:rsid w:val="00A936F8"/>
    <w:rsid w:val="00A9377C"/>
    <w:rsid w:val="00A93871"/>
    <w:rsid w:val="00A938F2"/>
    <w:rsid w:val="00A93ABF"/>
    <w:rsid w:val="00A93AEB"/>
    <w:rsid w:val="00A93B80"/>
    <w:rsid w:val="00A93C46"/>
    <w:rsid w:val="00A93DF7"/>
    <w:rsid w:val="00A93ED0"/>
    <w:rsid w:val="00A9432F"/>
    <w:rsid w:val="00A94364"/>
    <w:rsid w:val="00A943EE"/>
    <w:rsid w:val="00A94475"/>
    <w:rsid w:val="00A946D0"/>
    <w:rsid w:val="00A94752"/>
    <w:rsid w:val="00A947ED"/>
    <w:rsid w:val="00A94825"/>
    <w:rsid w:val="00A94831"/>
    <w:rsid w:val="00A94910"/>
    <w:rsid w:val="00A9498B"/>
    <w:rsid w:val="00A94C1A"/>
    <w:rsid w:val="00A94CB7"/>
    <w:rsid w:val="00A94CBD"/>
    <w:rsid w:val="00A94D2B"/>
    <w:rsid w:val="00A94E8E"/>
    <w:rsid w:val="00A94EBB"/>
    <w:rsid w:val="00A94F2E"/>
    <w:rsid w:val="00A94F55"/>
    <w:rsid w:val="00A95012"/>
    <w:rsid w:val="00A95027"/>
    <w:rsid w:val="00A95072"/>
    <w:rsid w:val="00A9511D"/>
    <w:rsid w:val="00A951AE"/>
    <w:rsid w:val="00A95242"/>
    <w:rsid w:val="00A95355"/>
    <w:rsid w:val="00A9539C"/>
    <w:rsid w:val="00A953DD"/>
    <w:rsid w:val="00A95741"/>
    <w:rsid w:val="00A95863"/>
    <w:rsid w:val="00A95890"/>
    <w:rsid w:val="00A958AA"/>
    <w:rsid w:val="00A958EA"/>
    <w:rsid w:val="00A95ABB"/>
    <w:rsid w:val="00A95CF9"/>
    <w:rsid w:val="00A95D2A"/>
    <w:rsid w:val="00A95E21"/>
    <w:rsid w:val="00A95E53"/>
    <w:rsid w:val="00A95EF5"/>
    <w:rsid w:val="00A9610B"/>
    <w:rsid w:val="00A961F0"/>
    <w:rsid w:val="00A96233"/>
    <w:rsid w:val="00A962DE"/>
    <w:rsid w:val="00A96352"/>
    <w:rsid w:val="00A963CD"/>
    <w:rsid w:val="00A963FC"/>
    <w:rsid w:val="00A9646E"/>
    <w:rsid w:val="00A9647E"/>
    <w:rsid w:val="00A964AD"/>
    <w:rsid w:val="00A964EA"/>
    <w:rsid w:val="00A964F3"/>
    <w:rsid w:val="00A9651F"/>
    <w:rsid w:val="00A96541"/>
    <w:rsid w:val="00A966C6"/>
    <w:rsid w:val="00A96732"/>
    <w:rsid w:val="00A9674C"/>
    <w:rsid w:val="00A96797"/>
    <w:rsid w:val="00A968CD"/>
    <w:rsid w:val="00A96AFE"/>
    <w:rsid w:val="00A96B10"/>
    <w:rsid w:val="00A96B15"/>
    <w:rsid w:val="00A96B3B"/>
    <w:rsid w:val="00A96B55"/>
    <w:rsid w:val="00A96C15"/>
    <w:rsid w:val="00A96C3F"/>
    <w:rsid w:val="00A96C98"/>
    <w:rsid w:val="00A96E76"/>
    <w:rsid w:val="00A96EFE"/>
    <w:rsid w:val="00A96F1C"/>
    <w:rsid w:val="00A97085"/>
    <w:rsid w:val="00A97155"/>
    <w:rsid w:val="00A97204"/>
    <w:rsid w:val="00A9721C"/>
    <w:rsid w:val="00A972FF"/>
    <w:rsid w:val="00A9737E"/>
    <w:rsid w:val="00A97381"/>
    <w:rsid w:val="00A973AE"/>
    <w:rsid w:val="00A97461"/>
    <w:rsid w:val="00A9747F"/>
    <w:rsid w:val="00A975A2"/>
    <w:rsid w:val="00A97632"/>
    <w:rsid w:val="00A97739"/>
    <w:rsid w:val="00A97771"/>
    <w:rsid w:val="00A977B9"/>
    <w:rsid w:val="00A977DE"/>
    <w:rsid w:val="00A977F1"/>
    <w:rsid w:val="00A977FF"/>
    <w:rsid w:val="00A97AA6"/>
    <w:rsid w:val="00A97B3E"/>
    <w:rsid w:val="00A97B56"/>
    <w:rsid w:val="00A97E16"/>
    <w:rsid w:val="00A97EF1"/>
    <w:rsid w:val="00A97F8D"/>
    <w:rsid w:val="00A97FC8"/>
    <w:rsid w:val="00A97FF9"/>
    <w:rsid w:val="00AA0128"/>
    <w:rsid w:val="00AA014E"/>
    <w:rsid w:val="00AA01C1"/>
    <w:rsid w:val="00AA01EF"/>
    <w:rsid w:val="00AA02C1"/>
    <w:rsid w:val="00AA036C"/>
    <w:rsid w:val="00AA0386"/>
    <w:rsid w:val="00AA04A3"/>
    <w:rsid w:val="00AA0513"/>
    <w:rsid w:val="00AA058E"/>
    <w:rsid w:val="00AA06DF"/>
    <w:rsid w:val="00AA0833"/>
    <w:rsid w:val="00AA09AF"/>
    <w:rsid w:val="00AA0A42"/>
    <w:rsid w:val="00AA0A4A"/>
    <w:rsid w:val="00AA0A66"/>
    <w:rsid w:val="00AA0AAC"/>
    <w:rsid w:val="00AA0B27"/>
    <w:rsid w:val="00AA0B8C"/>
    <w:rsid w:val="00AA0C51"/>
    <w:rsid w:val="00AA0C5C"/>
    <w:rsid w:val="00AA0CA6"/>
    <w:rsid w:val="00AA0D1E"/>
    <w:rsid w:val="00AA0D6B"/>
    <w:rsid w:val="00AA0E33"/>
    <w:rsid w:val="00AA10B1"/>
    <w:rsid w:val="00AA10BD"/>
    <w:rsid w:val="00AA10F8"/>
    <w:rsid w:val="00AA1229"/>
    <w:rsid w:val="00AA1248"/>
    <w:rsid w:val="00AA12A8"/>
    <w:rsid w:val="00AA1323"/>
    <w:rsid w:val="00AA1450"/>
    <w:rsid w:val="00AA1456"/>
    <w:rsid w:val="00AA154A"/>
    <w:rsid w:val="00AA16B2"/>
    <w:rsid w:val="00AA18CB"/>
    <w:rsid w:val="00AA19EE"/>
    <w:rsid w:val="00AA1A3A"/>
    <w:rsid w:val="00AA1B13"/>
    <w:rsid w:val="00AA1C44"/>
    <w:rsid w:val="00AA1C4C"/>
    <w:rsid w:val="00AA1C88"/>
    <w:rsid w:val="00AA1DD9"/>
    <w:rsid w:val="00AA1E4F"/>
    <w:rsid w:val="00AA1F95"/>
    <w:rsid w:val="00AA203F"/>
    <w:rsid w:val="00AA2060"/>
    <w:rsid w:val="00AA21D5"/>
    <w:rsid w:val="00AA221C"/>
    <w:rsid w:val="00AA22CD"/>
    <w:rsid w:val="00AA22F9"/>
    <w:rsid w:val="00AA22FC"/>
    <w:rsid w:val="00AA2414"/>
    <w:rsid w:val="00AA2433"/>
    <w:rsid w:val="00AA2462"/>
    <w:rsid w:val="00AA249E"/>
    <w:rsid w:val="00AA24EE"/>
    <w:rsid w:val="00AA25E4"/>
    <w:rsid w:val="00AA26BC"/>
    <w:rsid w:val="00AA26D3"/>
    <w:rsid w:val="00AA2710"/>
    <w:rsid w:val="00AA27AB"/>
    <w:rsid w:val="00AA27B2"/>
    <w:rsid w:val="00AA27F6"/>
    <w:rsid w:val="00AA29A5"/>
    <w:rsid w:val="00AA29AE"/>
    <w:rsid w:val="00AA29D0"/>
    <w:rsid w:val="00AA2A1A"/>
    <w:rsid w:val="00AA2AB2"/>
    <w:rsid w:val="00AA2AC4"/>
    <w:rsid w:val="00AA2D01"/>
    <w:rsid w:val="00AA2D1E"/>
    <w:rsid w:val="00AA2E13"/>
    <w:rsid w:val="00AA319F"/>
    <w:rsid w:val="00AA31F0"/>
    <w:rsid w:val="00AA324B"/>
    <w:rsid w:val="00AA3477"/>
    <w:rsid w:val="00AA34A5"/>
    <w:rsid w:val="00AA34D9"/>
    <w:rsid w:val="00AA34E5"/>
    <w:rsid w:val="00AA3614"/>
    <w:rsid w:val="00AA3617"/>
    <w:rsid w:val="00AA363F"/>
    <w:rsid w:val="00AA36E9"/>
    <w:rsid w:val="00AA3724"/>
    <w:rsid w:val="00AA3786"/>
    <w:rsid w:val="00AA3852"/>
    <w:rsid w:val="00AA3A05"/>
    <w:rsid w:val="00AA3A1C"/>
    <w:rsid w:val="00AA3C5F"/>
    <w:rsid w:val="00AA3D33"/>
    <w:rsid w:val="00AA3D3B"/>
    <w:rsid w:val="00AA3D7D"/>
    <w:rsid w:val="00AA3D94"/>
    <w:rsid w:val="00AA3DDF"/>
    <w:rsid w:val="00AA3E1D"/>
    <w:rsid w:val="00AA3EB3"/>
    <w:rsid w:val="00AA3F86"/>
    <w:rsid w:val="00AA3F8C"/>
    <w:rsid w:val="00AA4025"/>
    <w:rsid w:val="00AA40F0"/>
    <w:rsid w:val="00AA42AA"/>
    <w:rsid w:val="00AA433B"/>
    <w:rsid w:val="00AA4361"/>
    <w:rsid w:val="00AA43B5"/>
    <w:rsid w:val="00AA4441"/>
    <w:rsid w:val="00AA44A0"/>
    <w:rsid w:val="00AA44F9"/>
    <w:rsid w:val="00AA455B"/>
    <w:rsid w:val="00AA466B"/>
    <w:rsid w:val="00AA46B4"/>
    <w:rsid w:val="00AA46DF"/>
    <w:rsid w:val="00AA47ED"/>
    <w:rsid w:val="00AA48A2"/>
    <w:rsid w:val="00AA4953"/>
    <w:rsid w:val="00AA4A38"/>
    <w:rsid w:val="00AA4A70"/>
    <w:rsid w:val="00AA4A77"/>
    <w:rsid w:val="00AA4B33"/>
    <w:rsid w:val="00AA4B5E"/>
    <w:rsid w:val="00AA4C15"/>
    <w:rsid w:val="00AA4C82"/>
    <w:rsid w:val="00AA4C8F"/>
    <w:rsid w:val="00AA4D3B"/>
    <w:rsid w:val="00AA4D58"/>
    <w:rsid w:val="00AA4E56"/>
    <w:rsid w:val="00AA500F"/>
    <w:rsid w:val="00AA5047"/>
    <w:rsid w:val="00AA51DC"/>
    <w:rsid w:val="00AA5234"/>
    <w:rsid w:val="00AA5375"/>
    <w:rsid w:val="00AA5386"/>
    <w:rsid w:val="00AA53AE"/>
    <w:rsid w:val="00AA540B"/>
    <w:rsid w:val="00AA5428"/>
    <w:rsid w:val="00AA549D"/>
    <w:rsid w:val="00AA561C"/>
    <w:rsid w:val="00AA56A8"/>
    <w:rsid w:val="00AA5719"/>
    <w:rsid w:val="00AA5761"/>
    <w:rsid w:val="00AA5764"/>
    <w:rsid w:val="00AA57D4"/>
    <w:rsid w:val="00AA59F5"/>
    <w:rsid w:val="00AA5B9A"/>
    <w:rsid w:val="00AA5CE2"/>
    <w:rsid w:val="00AA5D02"/>
    <w:rsid w:val="00AA5DF2"/>
    <w:rsid w:val="00AA5E71"/>
    <w:rsid w:val="00AA5ED2"/>
    <w:rsid w:val="00AA5FDA"/>
    <w:rsid w:val="00AA6004"/>
    <w:rsid w:val="00AA6151"/>
    <w:rsid w:val="00AA61E6"/>
    <w:rsid w:val="00AA61FB"/>
    <w:rsid w:val="00AA633E"/>
    <w:rsid w:val="00AA63B7"/>
    <w:rsid w:val="00AA63D2"/>
    <w:rsid w:val="00AA6432"/>
    <w:rsid w:val="00AA648D"/>
    <w:rsid w:val="00AA64E0"/>
    <w:rsid w:val="00AA666D"/>
    <w:rsid w:val="00AA66A4"/>
    <w:rsid w:val="00AA66B8"/>
    <w:rsid w:val="00AA66D0"/>
    <w:rsid w:val="00AA674C"/>
    <w:rsid w:val="00AA6887"/>
    <w:rsid w:val="00AA6970"/>
    <w:rsid w:val="00AA6A28"/>
    <w:rsid w:val="00AA6B18"/>
    <w:rsid w:val="00AA6CA7"/>
    <w:rsid w:val="00AA6D55"/>
    <w:rsid w:val="00AA6D87"/>
    <w:rsid w:val="00AA6EE5"/>
    <w:rsid w:val="00AA6F95"/>
    <w:rsid w:val="00AA6F9D"/>
    <w:rsid w:val="00AA6FE1"/>
    <w:rsid w:val="00AA703D"/>
    <w:rsid w:val="00AA7064"/>
    <w:rsid w:val="00AA71E0"/>
    <w:rsid w:val="00AA73A1"/>
    <w:rsid w:val="00AA73E8"/>
    <w:rsid w:val="00AA7446"/>
    <w:rsid w:val="00AA7497"/>
    <w:rsid w:val="00AA755C"/>
    <w:rsid w:val="00AA75D2"/>
    <w:rsid w:val="00AA7710"/>
    <w:rsid w:val="00AA7830"/>
    <w:rsid w:val="00AA7890"/>
    <w:rsid w:val="00AA796A"/>
    <w:rsid w:val="00AA7987"/>
    <w:rsid w:val="00AA7A8A"/>
    <w:rsid w:val="00AA7BE4"/>
    <w:rsid w:val="00AA7C16"/>
    <w:rsid w:val="00AA7D3D"/>
    <w:rsid w:val="00AA7EFD"/>
    <w:rsid w:val="00AA7F65"/>
    <w:rsid w:val="00AA7F82"/>
    <w:rsid w:val="00AA7F88"/>
    <w:rsid w:val="00AA7FD3"/>
    <w:rsid w:val="00AB00FC"/>
    <w:rsid w:val="00AB0198"/>
    <w:rsid w:val="00AB01CA"/>
    <w:rsid w:val="00AB0205"/>
    <w:rsid w:val="00AB04CE"/>
    <w:rsid w:val="00AB0503"/>
    <w:rsid w:val="00AB0529"/>
    <w:rsid w:val="00AB0558"/>
    <w:rsid w:val="00AB05FD"/>
    <w:rsid w:val="00AB0683"/>
    <w:rsid w:val="00AB0757"/>
    <w:rsid w:val="00AB0791"/>
    <w:rsid w:val="00AB093C"/>
    <w:rsid w:val="00AB09E7"/>
    <w:rsid w:val="00AB0A64"/>
    <w:rsid w:val="00AB0A66"/>
    <w:rsid w:val="00AB0ABC"/>
    <w:rsid w:val="00AB0AEA"/>
    <w:rsid w:val="00AB0B70"/>
    <w:rsid w:val="00AB0C0C"/>
    <w:rsid w:val="00AB0C73"/>
    <w:rsid w:val="00AB0C92"/>
    <w:rsid w:val="00AB0C93"/>
    <w:rsid w:val="00AB0C96"/>
    <w:rsid w:val="00AB0CBE"/>
    <w:rsid w:val="00AB0E22"/>
    <w:rsid w:val="00AB0E97"/>
    <w:rsid w:val="00AB0FF9"/>
    <w:rsid w:val="00AB102E"/>
    <w:rsid w:val="00AB120F"/>
    <w:rsid w:val="00AB1218"/>
    <w:rsid w:val="00AB1253"/>
    <w:rsid w:val="00AB12F9"/>
    <w:rsid w:val="00AB148C"/>
    <w:rsid w:val="00AB14AC"/>
    <w:rsid w:val="00AB1553"/>
    <w:rsid w:val="00AB158A"/>
    <w:rsid w:val="00AB15DC"/>
    <w:rsid w:val="00AB1618"/>
    <w:rsid w:val="00AB1692"/>
    <w:rsid w:val="00AB175B"/>
    <w:rsid w:val="00AB179B"/>
    <w:rsid w:val="00AB1854"/>
    <w:rsid w:val="00AB188C"/>
    <w:rsid w:val="00AB1933"/>
    <w:rsid w:val="00AB194D"/>
    <w:rsid w:val="00AB197C"/>
    <w:rsid w:val="00AB199E"/>
    <w:rsid w:val="00AB19BC"/>
    <w:rsid w:val="00AB1B8B"/>
    <w:rsid w:val="00AB1C13"/>
    <w:rsid w:val="00AB1D1D"/>
    <w:rsid w:val="00AB1D60"/>
    <w:rsid w:val="00AB2048"/>
    <w:rsid w:val="00AB2059"/>
    <w:rsid w:val="00AB2194"/>
    <w:rsid w:val="00AB223A"/>
    <w:rsid w:val="00AB22BF"/>
    <w:rsid w:val="00AB22E6"/>
    <w:rsid w:val="00AB2363"/>
    <w:rsid w:val="00AB236A"/>
    <w:rsid w:val="00AB2376"/>
    <w:rsid w:val="00AB2423"/>
    <w:rsid w:val="00AB2488"/>
    <w:rsid w:val="00AB24F8"/>
    <w:rsid w:val="00AB255C"/>
    <w:rsid w:val="00AB2635"/>
    <w:rsid w:val="00AB2667"/>
    <w:rsid w:val="00AB2730"/>
    <w:rsid w:val="00AB27E1"/>
    <w:rsid w:val="00AB2933"/>
    <w:rsid w:val="00AB29FB"/>
    <w:rsid w:val="00AB2A3F"/>
    <w:rsid w:val="00AB2A5D"/>
    <w:rsid w:val="00AB2ACB"/>
    <w:rsid w:val="00AB2B11"/>
    <w:rsid w:val="00AB2B4E"/>
    <w:rsid w:val="00AB2B51"/>
    <w:rsid w:val="00AB2B5E"/>
    <w:rsid w:val="00AB2C02"/>
    <w:rsid w:val="00AB2C17"/>
    <w:rsid w:val="00AB2D66"/>
    <w:rsid w:val="00AB2DA9"/>
    <w:rsid w:val="00AB2E1E"/>
    <w:rsid w:val="00AB2E62"/>
    <w:rsid w:val="00AB2FDF"/>
    <w:rsid w:val="00AB3032"/>
    <w:rsid w:val="00AB30A2"/>
    <w:rsid w:val="00AB3165"/>
    <w:rsid w:val="00AB324C"/>
    <w:rsid w:val="00AB32E5"/>
    <w:rsid w:val="00AB32F6"/>
    <w:rsid w:val="00AB33BB"/>
    <w:rsid w:val="00AB3477"/>
    <w:rsid w:val="00AB35E0"/>
    <w:rsid w:val="00AB36D7"/>
    <w:rsid w:val="00AB3702"/>
    <w:rsid w:val="00AB3729"/>
    <w:rsid w:val="00AB3775"/>
    <w:rsid w:val="00AB3882"/>
    <w:rsid w:val="00AB388C"/>
    <w:rsid w:val="00AB3992"/>
    <w:rsid w:val="00AB3A50"/>
    <w:rsid w:val="00AB3A93"/>
    <w:rsid w:val="00AB3AD3"/>
    <w:rsid w:val="00AB3B3F"/>
    <w:rsid w:val="00AB3CB4"/>
    <w:rsid w:val="00AB3D4E"/>
    <w:rsid w:val="00AB3D6E"/>
    <w:rsid w:val="00AB3E54"/>
    <w:rsid w:val="00AB3E56"/>
    <w:rsid w:val="00AB3EC1"/>
    <w:rsid w:val="00AB4056"/>
    <w:rsid w:val="00AB405E"/>
    <w:rsid w:val="00AB4130"/>
    <w:rsid w:val="00AB4326"/>
    <w:rsid w:val="00AB43D3"/>
    <w:rsid w:val="00AB43E3"/>
    <w:rsid w:val="00AB4454"/>
    <w:rsid w:val="00AB44CC"/>
    <w:rsid w:val="00AB44EA"/>
    <w:rsid w:val="00AB455A"/>
    <w:rsid w:val="00AB45E5"/>
    <w:rsid w:val="00AB45F9"/>
    <w:rsid w:val="00AB45FE"/>
    <w:rsid w:val="00AB4671"/>
    <w:rsid w:val="00AB4674"/>
    <w:rsid w:val="00AB4741"/>
    <w:rsid w:val="00AB47B5"/>
    <w:rsid w:val="00AB486A"/>
    <w:rsid w:val="00AB488B"/>
    <w:rsid w:val="00AB4890"/>
    <w:rsid w:val="00AB4938"/>
    <w:rsid w:val="00AB4960"/>
    <w:rsid w:val="00AB4983"/>
    <w:rsid w:val="00AB4990"/>
    <w:rsid w:val="00AB49FE"/>
    <w:rsid w:val="00AB4A27"/>
    <w:rsid w:val="00AB4B0B"/>
    <w:rsid w:val="00AB4B55"/>
    <w:rsid w:val="00AB4C17"/>
    <w:rsid w:val="00AB4C44"/>
    <w:rsid w:val="00AB4C61"/>
    <w:rsid w:val="00AB4D0B"/>
    <w:rsid w:val="00AB4D1B"/>
    <w:rsid w:val="00AB4E4E"/>
    <w:rsid w:val="00AB4EBD"/>
    <w:rsid w:val="00AB4F10"/>
    <w:rsid w:val="00AB4FEC"/>
    <w:rsid w:val="00AB5052"/>
    <w:rsid w:val="00AB5065"/>
    <w:rsid w:val="00AB508A"/>
    <w:rsid w:val="00AB527F"/>
    <w:rsid w:val="00AB52B9"/>
    <w:rsid w:val="00AB5370"/>
    <w:rsid w:val="00AB549E"/>
    <w:rsid w:val="00AB5501"/>
    <w:rsid w:val="00AB5560"/>
    <w:rsid w:val="00AB5635"/>
    <w:rsid w:val="00AB5701"/>
    <w:rsid w:val="00AB5734"/>
    <w:rsid w:val="00AB583D"/>
    <w:rsid w:val="00AB5AEF"/>
    <w:rsid w:val="00AB5B8F"/>
    <w:rsid w:val="00AB5C23"/>
    <w:rsid w:val="00AB5C6F"/>
    <w:rsid w:val="00AB5D12"/>
    <w:rsid w:val="00AB5D7C"/>
    <w:rsid w:val="00AB5DAD"/>
    <w:rsid w:val="00AB60A1"/>
    <w:rsid w:val="00AB615F"/>
    <w:rsid w:val="00AB61D0"/>
    <w:rsid w:val="00AB63A4"/>
    <w:rsid w:val="00AB63CB"/>
    <w:rsid w:val="00AB63D8"/>
    <w:rsid w:val="00AB640D"/>
    <w:rsid w:val="00AB648C"/>
    <w:rsid w:val="00AB6503"/>
    <w:rsid w:val="00AB66B1"/>
    <w:rsid w:val="00AB66B8"/>
    <w:rsid w:val="00AB672D"/>
    <w:rsid w:val="00AB6891"/>
    <w:rsid w:val="00AB68AF"/>
    <w:rsid w:val="00AB68EA"/>
    <w:rsid w:val="00AB699D"/>
    <w:rsid w:val="00AB6C56"/>
    <w:rsid w:val="00AB6C6A"/>
    <w:rsid w:val="00AB6DB6"/>
    <w:rsid w:val="00AB6DEE"/>
    <w:rsid w:val="00AB6E80"/>
    <w:rsid w:val="00AB6ECB"/>
    <w:rsid w:val="00AB6EDD"/>
    <w:rsid w:val="00AB6F07"/>
    <w:rsid w:val="00AB6FB5"/>
    <w:rsid w:val="00AB7057"/>
    <w:rsid w:val="00AB705C"/>
    <w:rsid w:val="00AB706D"/>
    <w:rsid w:val="00AB708C"/>
    <w:rsid w:val="00AB70EB"/>
    <w:rsid w:val="00AB7139"/>
    <w:rsid w:val="00AB715A"/>
    <w:rsid w:val="00AB7195"/>
    <w:rsid w:val="00AB71B0"/>
    <w:rsid w:val="00AB7228"/>
    <w:rsid w:val="00AB73C4"/>
    <w:rsid w:val="00AB7455"/>
    <w:rsid w:val="00AB747D"/>
    <w:rsid w:val="00AB754D"/>
    <w:rsid w:val="00AB7658"/>
    <w:rsid w:val="00AB7702"/>
    <w:rsid w:val="00AB7928"/>
    <w:rsid w:val="00AB7B3F"/>
    <w:rsid w:val="00AB7B99"/>
    <w:rsid w:val="00AB7C92"/>
    <w:rsid w:val="00AB7D62"/>
    <w:rsid w:val="00AB7F99"/>
    <w:rsid w:val="00AC008F"/>
    <w:rsid w:val="00AC00FF"/>
    <w:rsid w:val="00AC0187"/>
    <w:rsid w:val="00AC01F8"/>
    <w:rsid w:val="00AC0313"/>
    <w:rsid w:val="00AC03DA"/>
    <w:rsid w:val="00AC03ED"/>
    <w:rsid w:val="00AC040C"/>
    <w:rsid w:val="00AC0465"/>
    <w:rsid w:val="00AC0500"/>
    <w:rsid w:val="00AC057A"/>
    <w:rsid w:val="00AC057C"/>
    <w:rsid w:val="00AC05E3"/>
    <w:rsid w:val="00AC076B"/>
    <w:rsid w:val="00AC0846"/>
    <w:rsid w:val="00AC0858"/>
    <w:rsid w:val="00AC0901"/>
    <w:rsid w:val="00AC0A94"/>
    <w:rsid w:val="00AC0B91"/>
    <w:rsid w:val="00AC0BE6"/>
    <w:rsid w:val="00AC0D0A"/>
    <w:rsid w:val="00AC0DBB"/>
    <w:rsid w:val="00AC0DCA"/>
    <w:rsid w:val="00AC0DCF"/>
    <w:rsid w:val="00AC0E93"/>
    <w:rsid w:val="00AC0E96"/>
    <w:rsid w:val="00AC1153"/>
    <w:rsid w:val="00AC11B7"/>
    <w:rsid w:val="00AC129A"/>
    <w:rsid w:val="00AC1324"/>
    <w:rsid w:val="00AC133C"/>
    <w:rsid w:val="00AC1388"/>
    <w:rsid w:val="00AC14B5"/>
    <w:rsid w:val="00AC14C2"/>
    <w:rsid w:val="00AC14CC"/>
    <w:rsid w:val="00AC1520"/>
    <w:rsid w:val="00AC1537"/>
    <w:rsid w:val="00AC15D2"/>
    <w:rsid w:val="00AC174F"/>
    <w:rsid w:val="00AC191E"/>
    <w:rsid w:val="00AC192C"/>
    <w:rsid w:val="00AC1979"/>
    <w:rsid w:val="00AC199D"/>
    <w:rsid w:val="00AC1A96"/>
    <w:rsid w:val="00AC1B30"/>
    <w:rsid w:val="00AC1B34"/>
    <w:rsid w:val="00AC1B39"/>
    <w:rsid w:val="00AC1B61"/>
    <w:rsid w:val="00AC1C74"/>
    <w:rsid w:val="00AC1E51"/>
    <w:rsid w:val="00AC1EDC"/>
    <w:rsid w:val="00AC1F1C"/>
    <w:rsid w:val="00AC214E"/>
    <w:rsid w:val="00AC21C1"/>
    <w:rsid w:val="00AC2260"/>
    <w:rsid w:val="00AC226C"/>
    <w:rsid w:val="00AC2303"/>
    <w:rsid w:val="00AC240A"/>
    <w:rsid w:val="00AC25B3"/>
    <w:rsid w:val="00AC25C1"/>
    <w:rsid w:val="00AC25CB"/>
    <w:rsid w:val="00AC265D"/>
    <w:rsid w:val="00AC27B3"/>
    <w:rsid w:val="00AC27BB"/>
    <w:rsid w:val="00AC2889"/>
    <w:rsid w:val="00AC29C6"/>
    <w:rsid w:val="00AC29F4"/>
    <w:rsid w:val="00AC2BFE"/>
    <w:rsid w:val="00AC2CD9"/>
    <w:rsid w:val="00AC2CE4"/>
    <w:rsid w:val="00AC2D2B"/>
    <w:rsid w:val="00AC2D54"/>
    <w:rsid w:val="00AC2D6F"/>
    <w:rsid w:val="00AC2E2B"/>
    <w:rsid w:val="00AC2E5F"/>
    <w:rsid w:val="00AC2F1A"/>
    <w:rsid w:val="00AC2F35"/>
    <w:rsid w:val="00AC2F64"/>
    <w:rsid w:val="00AC307B"/>
    <w:rsid w:val="00AC30A8"/>
    <w:rsid w:val="00AC3322"/>
    <w:rsid w:val="00AC3369"/>
    <w:rsid w:val="00AC33C3"/>
    <w:rsid w:val="00AC340E"/>
    <w:rsid w:val="00AC3430"/>
    <w:rsid w:val="00AC3448"/>
    <w:rsid w:val="00AC3459"/>
    <w:rsid w:val="00AC3475"/>
    <w:rsid w:val="00AC35C7"/>
    <w:rsid w:val="00AC36FA"/>
    <w:rsid w:val="00AC3847"/>
    <w:rsid w:val="00AC3902"/>
    <w:rsid w:val="00AC390F"/>
    <w:rsid w:val="00AC3947"/>
    <w:rsid w:val="00AC3B0E"/>
    <w:rsid w:val="00AC3B84"/>
    <w:rsid w:val="00AC3C75"/>
    <w:rsid w:val="00AC3CA5"/>
    <w:rsid w:val="00AC3D59"/>
    <w:rsid w:val="00AC3E0B"/>
    <w:rsid w:val="00AC4005"/>
    <w:rsid w:val="00AC404A"/>
    <w:rsid w:val="00AC421F"/>
    <w:rsid w:val="00AC435C"/>
    <w:rsid w:val="00AC43BB"/>
    <w:rsid w:val="00AC43DA"/>
    <w:rsid w:val="00AC4456"/>
    <w:rsid w:val="00AC4531"/>
    <w:rsid w:val="00AC4801"/>
    <w:rsid w:val="00AC4985"/>
    <w:rsid w:val="00AC4A39"/>
    <w:rsid w:val="00AC4A54"/>
    <w:rsid w:val="00AC4A89"/>
    <w:rsid w:val="00AC4A9A"/>
    <w:rsid w:val="00AC4AB0"/>
    <w:rsid w:val="00AC4AF4"/>
    <w:rsid w:val="00AC4B4F"/>
    <w:rsid w:val="00AC4C8C"/>
    <w:rsid w:val="00AC4CFF"/>
    <w:rsid w:val="00AC4D00"/>
    <w:rsid w:val="00AC4D1B"/>
    <w:rsid w:val="00AC4D2B"/>
    <w:rsid w:val="00AC4D91"/>
    <w:rsid w:val="00AC4E48"/>
    <w:rsid w:val="00AC4E5D"/>
    <w:rsid w:val="00AC4E78"/>
    <w:rsid w:val="00AC4FA2"/>
    <w:rsid w:val="00AC503A"/>
    <w:rsid w:val="00AC50B4"/>
    <w:rsid w:val="00AC5123"/>
    <w:rsid w:val="00AC513E"/>
    <w:rsid w:val="00AC515B"/>
    <w:rsid w:val="00AC519A"/>
    <w:rsid w:val="00AC527C"/>
    <w:rsid w:val="00AC5282"/>
    <w:rsid w:val="00AC52A0"/>
    <w:rsid w:val="00AC52EE"/>
    <w:rsid w:val="00AC5485"/>
    <w:rsid w:val="00AC54DC"/>
    <w:rsid w:val="00AC54F7"/>
    <w:rsid w:val="00AC556D"/>
    <w:rsid w:val="00AC55E9"/>
    <w:rsid w:val="00AC5608"/>
    <w:rsid w:val="00AC56F7"/>
    <w:rsid w:val="00AC572B"/>
    <w:rsid w:val="00AC5748"/>
    <w:rsid w:val="00AC5787"/>
    <w:rsid w:val="00AC57F3"/>
    <w:rsid w:val="00AC588B"/>
    <w:rsid w:val="00AC589A"/>
    <w:rsid w:val="00AC58FA"/>
    <w:rsid w:val="00AC58FC"/>
    <w:rsid w:val="00AC597D"/>
    <w:rsid w:val="00AC59EA"/>
    <w:rsid w:val="00AC59FD"/>
    <w:rsid w:val="00AC5A5F"/>
    <w:rsid w:val="00AC5A7A"/>
    <w:rsid w:val="00AC5AC4"/>
    <w:rsid w:val="00AC5AD0"/>
    <w:rsid w:val="00AC5B5F"/>
    <w:rsid w:val="00AC5BB9"/>
    <w:rsid w:val="00AC5C5D"/>
    <w:rsid w:val="00AC5C98"/>
    <w:rsid w:val="00AC5D6F"/>
    <w:rsid w:val="00AC5DA5"/>
    <w:rsid w:val="00AC5E7C"/>
    <w:rsid w:val="00AC5EA3"/>
    <w:rsid w:val="00AC5EE5"/>
    <w:rsid w:val="00AC5F0C"/>
    <w:rsid w:val="00AC5F64"/>
    <w:rsid w:val="00AC6037"/>
    <w:rsid w:val="00AC6106"/>
    <w:rsid w:val="00AC612A"/>
    <w:rsid w:val="00AC6185"/>
    <w:rsid w:val="00AC61FF"/>
    <w:rsid w:val="00AC624E"/>
    <w:rsid w:val="00AC630A"/>
    <w:rsid w:val="00AC6361"/>
    <w:rsid w:val="00AC6522"/>
    <w:rsid w:val="00AC6549"/>
    <w:rsid w:val="00AC6716"/>
    <w:rsid w:val="00AC671B"/>
    <w:rsid w:val="00AC68C3"/>
    <w:rsid w:val="00AC69A7"/>
    <w:rsid w:val="00AC6A45"/>
    <w:rsid w:val="00AC6AB8"/>
    <w:rsid w:val="00AC6CD3"/>
    <w:rsid w:val="00AC6DF6"/>
    <w:rsid w:val="00AC6DF9"/>
    <w:rsid w:val="00AC6E20"/>
    <w:rsid w:val="00AC7085"/>
    <w:rsid w:val="00AC7143"/>
    <w:rsid w:val="00AC71B4"/>
    <w:rsid w:val="00AC729A"/>
    <w:rsid w:val="00AC735C"/>
    <w:rsid w:val="00AC73FE"/>
    <w:rsid w:val="00AC743A"/>
    <w:rsid w:val="00AC74EA"/>
    <w:rsid w:val="00AC755A"/>
    <w:rsid w:val="00AC75EA"/>
    <w:rsid w:val="00AC75FE"/>
    <w:rsid w:val="00AC7742"/>
    <w:rsid w:val="00AC77C0"/>
    <w:rsid w:val="00AC77E7"/>
    <w:rsid w:val="00AC7843"/>
    <w:rsid w:val="00AC7996"/>
    <w:rsid w:val="00AC7A20"/>
    <w:rsid w:val="00AC7A2E"/>
    <w:rsid w:val="00AC7A81"/>
    <w:rsid w:val="00AC7AA0"/>
    <w:rsid w:val="00AC7B8E"/>
    <w:rsid w:val="00AC7BA3"/>
    <w:rsid w:val="00AC7C05"/>
    <w:rsid w:val="00AC7C8B"/>
    <w:rsid w:val="00AC7CFD"/>
    <w:rsid w:val="00AC7D6A"/>
    <w:rsid w:val="00AC7D76"/>
    <w:rsid w:val="00AC7E94"/>
    <w:rsid w:val="00AC7E9B"/>
    <w:rsid w:val="00AD010D"/>
    <w:rsid w:val="00AD01AB"/>
    <w:rsid w:val="00AD01E4"/>
    <w:rsid w:val="00AD0345"/>
    <w:rsid w:val="00AD0372"/>
    <w:rsid w:val="00AD0445"/>
    <w:rsid w:val="00AD0490"/>
    <w:rsid w:val="00AD0533"/>
    <w:rsid w:val="00AD0565"/>
    <w:rsid w:val="00AD0576"/>
    <w:rsid w:val="00AD057C"/>
    <w:rsid w:val="00AD058F"/>
    <w:rsid w:val="00AD05A1"/>
    <w:rsid w:val="00AD05E4"/>
    <w:rsid w:val="00AD0643"/>
    <w:rsid w:val="00AD07B6"/>
    <w:rsid w:val="00AD09C1"/>
    <w:rsid w:val="00AD0BC4"/>
    <w:rsid w:val="00AD0BD6"/>
    <w:rsid w:val="00AD0DAB"/>
    <w:rsid w:val="00AD0DDB"/>
    <w:rsid w:val="00AD0EE1"/>
    <w:rsid w:val="00AD1036"/>
    <w:rsid w:val="00AD1042"/>
    <w:rsid w:val="00AD117B"/>
    <w:rsid w:val="00AD11AF"/>
    <w:rsid w:val="00AD11BC"/>
    <w:rsid w:val="00AD1392"/>
    <w:rsid w:val="00AD142D"/>
    <w:rsid w:val="00AD1435"/>
    <w:rsid w:val="00AD146C"/>
    <w:rsid w:val="00AD147B"/>
    <w:rsid w:val="00AD14B4"/>
    <w:rsid w:val="00AD14D3"/>
    <w:rsid w:val="00AD14E3"/>
    <w:rsid w:val="00AD1581"/>
    <w:rsid w:val="00AD16A3"/>
    <w:rsid w:val="00AD16A7"/>
    <w:rsid w:val="00AD170D"/>
    <w:rsid w:val="00AD1789"/>
    <w:rsid w:val="00AD19AB"/>
    <w:rsid w:val="00AD19FE"/>
    <w:rsid w:val="00AD1AAE"/>
    <w:rsid w:val="00AD1B0F"/>
    <w:rsid w:val="00AD1B68"/>
    <w:rsid w:val="00AD1B8D"/>
    <w:rsid w:val="00AD1BBC"/>
    <w:rsid w:val="00AD1C09"/>
    <w:rsid w:val="00AD1C4D"/>
    <w:rsid w:val="00AD1DC7"/>
    <w:rsid w:val="00AD1DD6"/>
    <w:rsid w:val="00AD1E4A"/>
    <w:rsid w:val="00AD1EC1"/>
    <w:rsid w:val="00AD1EF6"/>
    <w:rsid w:val="00AD1F49"/>
    <w:rsid w:val="00AD2005"/>
    <w:rsid w:val="00AD2049"/>
    <w:rsid w:val="00AD21DD"/>
    <w:rsid w:val="00AD22A1"/>
    <w:rsid w:val="00AD22B4"/>
    <w:rsid w:val="00AD23C6"/>
    <w:rsid w:val="00AD2561"/>
    <w:rsid w:val="00AD2634"/>
    <w:rsid w:val="00AD26E3"/>
    <w:rsid w:val="00AD27BD"/>
    <w:rsid w:val="00AD28EB"/>
    <w:rsid w:val="00AD2C77"/>
    <w:rsid w:val="00AD2CC8"/>
    <w:rsid w:val="00AD2CD3"/>
    <w:rsid w:val="00AD2CD4"/>
    <w:rsid w:val="00AD2D2C"/>
    <w:rsid w:val="00AD2E58"/>
    <w:rsid w:val="00AD2ECC"/>
    <w:rsid w:val="00AD306D"/>
    <w:rsid w:val="00AD30A2"/>
    <w:rsid w:val="00AD3138"/>
    <w:rsid w:val="00AD3334"/>
    <w:rsid w:val="00AD33A0"/>
    <w:rsid w:val="00AD33F5"/>
    <w:rsid w:val="00AD3425"/>
    <w:rsid w:val="00AD3588"/>
    <w:rsid w:val="00AD35B1"/>
    <w:rsid w:val="00AD3763"/>
    <w:rsid w:val="00AD38E8"/>
    <w:rsid w:val="00AD38F6"/>
    <w:rsid w:val="00AD3937"/>
    <w:rsid w:val="00AD39BB"/>
    <w:rsid w:val="00AD3A20"/>
    <w:rsid w:val="00AD3A33"/>
    <w:rsid w:val="00AD3B67"/>
    <w:rsid w:val="00AD3C11"/>
    <w:rsid w:val="00AD3CB7"/>
    <w:rsid w:val="00AD3D69"/>
    <w:rsid w:val="00AD3D9C"/>
    <w:rsid w:val="00AD3E21"/>
    <w:rsid w:val="00AD3ED6"/>
    <w:rsid w:val="00AD4119"/>
    <w:rsid w:val="00AD4159"/>
    <w:rsid w:val="00AD42A9"/>
    <w:rsid w:val="00AD437B"/>
    <w:rsid w:val="00AD43A3"/>
    <w:rsid w:val="00AD4427"/>
    <w:rsid w:val="00AD4464"/>
    <w:rsid w:val="00AD4491"/>
    <w:rsid w:val="00AD4631"/>
    <w:rsid w:val="00AD46E2"/>
    <w:rsid w:val="00AD46F8"/>
    <w:rsid w:val="00AD471F"/>
    <w:rsid w:val="00AD47A5"/>
    <w:rsid w:val="00AD47C0"/>
    <w:rsid w:val="00AD48BE"/>
    <w:rsid w:val="00AD4C7A"/>
    <w:rsid w:val="00AD4D64"/>
    <w:rsid w:val="00AD4E25"/>
    <w:rsid w:val="00AD4F5D"/>
    <w:rsid w:val="00AD5037"/>
    <w:rsid w:val="00AD5039"/>
    <w:rsid w:val="00AD5057"/>
    <w:rsid w:val="00AD5134"/>
    <w:rsid w:val="00AD515B"/>
    <w:rsid w:val="00AD5170"/>
    <w:rsid w:val="00AD517E"/>
    <w:rsid w:val="00AD51B0"/>
    <w:rsid w:val="00AD5242"/>
    <w:rsid w:val="00AD525C"/>
    <w:rsid w:val="00AD526E"/>
    <w:rsid w:val="00AD5270"/>
    <w:rsid w:val="00AD527A"/>
    <w:rsid w:val="00AD52DA"/>
    <w:rsid w:val="00AD52E4"/>
    <w:rsid w:val="00AD549D"/>
    <w:rsid w:val="00AD54EA"/>
    <w:rsid w:val="00AD57C2"/>
    <w:rsid w:val="00AD58C7"/>
    <w:rsid w:val="00AD5A90"/>
    <w:rsid w:val="00AD5ADF"/>
    <w:rsid w:val="00AD5BBB"/>
    <w:rsid w:val="00AD5CB1"/>
    <w:rsid w:val="00AD5D0B"/>
    <w:rsid w:val="00AD5D3C"/>
    <w:rsid w:val="00AD5DAD"/>
    <w:rsid w:val="00AD5DFF"/>
    <w:rsid w:val="00AD5E0D"/>
    <w:rsid w:val="00AD5E10"/>
    <w:rsid w:val="00AD5E69"/>
    <w:rsid w:val="00AD5E71"/>
    <w:rsid w:val="00AD5EB6"/>
    <w:rsid w:val="00AD5ED1"/>
    <w:rsid w:val="00AD5F15"/>
    <w:rsid w:val="00AD5FB3"/>
    <w:rsid w:val="00AD6064"/>
    <w:rsid w:val="00AD623D"/>
    <w:rsid w:val="00AD629E"/>
    <w:rsid w:val="00AD653B"/>
    <w:rsid w:val="00AD6697"/>
    <w:rsid w:val="00AD6715"/>
    <w:rsid w:val="00AD6795"/>
    <w:rsid w:val="00AD67BD"/>
    <w:rsid w:val="00AD6822"/>
    <w:rsid w:val="00AD6860"/>
    <w:rsid w:val="00AD6A2D"/>
    <w:rsid w:val="00AD6AAB"/>
    <w:rsid w:val="00AD6D87"/>
    <w:rsid w:val="00AD6E52"/>
    <w:rsid w:val="00AD6E6E"/>
    <w:rsid w:val="00AD6EA2"/>
    <w:rsid w:val="00AD6EF7"/>
    <w:rsid w:val="00AD6F79"/>
    <w:rsid w:val="00AD6F94"/>
    <w:rsid w:val="00AD7013"/>
    <w:rsid w:val="00AD70A7"/>
    <w:rsid w:val="00AD7179"/>
    <w:rsid w:val="00AD71FE"/>
    <w:rsid w:val="00AD736D"/>
    <w:rsid w:val="00AD73DF"/>
    <w:rsid w:val="00AD7404"/>
    <w:rsid w:val="00AD741A"/>
    <w:rsid w:val="00AD7451"/>
    <w:rsid w:val="00AD74D7"/>
    <w:rsid w:val="00AD75A4"/>
    <w:rsid w:val="00AD7724"/>
    <w:rsid w:val="00AD7794"/>
    <w:rsid w:val="00AD77C3"/>
    <w:rsid w:val="00AD785B"/>
    <w:rsid w:val="00AD79B7"/>
    <w:rsid w:val="00AD7A12"/>
    <w:rsid w:val="00AD7A65"/>
    <w:rsid w:val="00AD7A82"/>
    <w:rsid w:val="00AD7AA1"/>
    <w:rsid w:val="00AD7B9B"/>
    <w:rsid w:val="00AD7C04"/>
    <w:rsid w:val="00AD7C49"/>
    <w:rsid w:val="00AD7D71"/>
    <w:rsid w:val="00AD7DC3"/>
    <w:rsid w:val="00AD7E26"/>
    <w:rsid w:val="00AD7E8F"/>
    <w:rsid w:val="00AD7EAF"/>
    <w:rsid w:val="00AD7EB7"/>
    <w:rsid w:val="00AD7ED4"/>
    <w:rsid w:val="00AD7F56"/>
    <w:rsid w:val="00AD7F5D"/>
    <w:rsid w:val="00AD7F9B"/>
    <w:rsid w:val="00AE00FB"/>
    <w:rsid w:val="00AE010E"/>
    <w:rsid w:val="00AE0153"/>
    <w:rsid w:val="00AE0162"/>
    <w:rsid w:val="00AE0181"/>
    <w:rsid w:val="00AE0211"/>
    <w:rsid w:val="00AE036B"/>
    <w:rsid w:val="00AE0373"/>
    <w:rsid w:val="00AE05C1"/>
    <w:rsid w:val="00AE0645"/>
    <w:rsid w:val="00AE06EA"/>
    <w:rsid w:val="00AE076D"/>
    <w:rsid w:val="00AE07DB"/>
    <w:rsid w:val="00AE07F2"/>
    <w:rsid w:val="00AE09F3"/>
    <w:rsid w:val="00AE0A44"/>
    <w:rsid w:val="00AE0A4D"/>
    <w:rsid w:val="00AE0CCE"/>
    <w:rsid w:val="00AE0CFE"/>
    <w:rsid w:val="00AE0D1F"/>
    <w:rsid w:val="00AE0D99"/>
    <w:rsid w:val="00AE0E15"/>
    <w:rsid w:val="00AE0E70"/>
    <w:rsid w:val="00AE0FB8"/>
    <w:rsid w:val="00AE1054"/>
    <w:rsid w:val="00AE112E"/>
    <w:rsid w:val="00AE114A"/>
    <w:rsid w:val="00AE12D3"/>
    <w:rsid w:val="00AE12EC"/>
    <w:rsid w:val="00AE13A4"/>
    <w:rsid w:val="00AE14AB"/>
    <w:rsid w:val="00AE1603"/>
    <w:rsid w:val="00AE16D0"/>
    <w:rsid w:val="00AE16EC"/>
    <w:rsid w:val="00AE1780"/>
    <w:rsid w:val="00AE182B"/>
    <w:rsid w:val="00AE184B"/>
    <w:rsid w:val="00AE1974"/>
    <w:rsid w:val="00AE19DF"/>
    <w:rsid w:val="00AE1B6C"/>
    <w:rsid w:val="00AE1E02"/>
    <w:rsid w:val="00AE1EEC"/>
    <w:rsid w:val="00AE1F2E"/>
    <w:rsid w:val="00AE1F95"/>
    <w:rsid w:val="00AE1FA6"/>
    <w:rsid w:val="00AE1FAE"/>
    <w:rsid w:val="00AE2003"/>
    <w:rsid w:val="00AE20C6"/>
    <w:rsid w:val="00AE2202"/>
    <w:rsid w:val="00AE224D"/>
    <w:rsid w:val="00AE237B"/>
    <w:rsid w:val="00AE237C"/>
    <w:rsid w:val="00AE23BB"/>
    <w:rsid w:val="00AE249C"/>
    <w:rsid w:val="00AE24AA"/>
    <w:rsid w:val="00AE24BE"/>
    <w:rsid w:val="00AE2509"/>
    <w:rsid w:val="00AE25A6"/>
    <w:rsid w:val="00AE25D9"/>
    <w:rsid w:val="00AE2620"/>
    <w:rsid w:val="00AE2629"/>
    <w:rsid w:val="00AE2693"/>
    <w:rsid w:val="00AE26C2"/>
    <w:rsid w:val="00AE2703"/>
    <w:rsid w:val="00AE294B"/>
    <w:rsid w:val="00AE2966"/>
    <w:rsid w:val="00AE29AC"/>
    <w:rsid w:val="00AE2A24"/>
    <w:rsid w:val="00AE2A8C"/>
    <w:rsid w:val="00AE2ACD"/>
    <w:rsid w:val="00AE2B4C"/>
    <w:rsid w:val="00AE2BB8"/>
    <w:rsid w:val="00AE2C54"/>
    <w:rsid w:val="00AE2E20"/>
    <w:rsid w:val="00AE2F74"/>
    <w:rsid w:val="00AE3029"/>
    <w:rsid w:val="00AE30D8"/>
    <w:rsid w:val="00AE3111"/>
    <w:rsid w:val="00AE3129"/>
    <w:rsid w:val="00AE3137"/>
    <w:rsid w:val="00AE3284"/>
    <w:rsid w:val="00AE32ED"/>
    <w:rsid w:val="00AE3328"/>
    <w:rsid w:val="00AE3384"/>
    <w:rsid w:val="00AE342C"/>
    <w:rsid w:val="00AE3516"/>
    <w:rsid w:val="00AE36AF"/>
    <w:rsid w:val="00AE372C"/>
    <w:rsid w:val="00AE384B"/>
    <w:rsid w:val="00AE38F4"/>
    <w:rsid w:val="00AE3947"/>
    <w:rsid w:val="00AE3A40"/>
    <w:rsid w:val="00AE3A92"/>
    <w:rsid w:val="00AE3ADF"/>
    <w:rsid w:val="00AE3B35"/>
    <w:rsid w:val="00AE3CEA"/>
    <w:rsid w:val="00AE3D28"/>
    <w:rsid w:val="00AE3E34"/>
    <w:rsid w:val="00AE3EF5"/>
    <w:rsid w:val="00AE400B"/>
    <w:rsid w:val="00AE404B"/>
    <w:rsid w:val="00AE408D"/>
    <w:rsid w:val="00AE4118"/>
    <w:rsid w:val="00AE411F"/>
    <w:rsid w:val="00AE41C1"/>
    <w:rsid w:val="00AE424B"/>
    <w:rsid w:val="00AE426C"/>
    <w:rsid w:val="00AE433F"/>
    <w:rsid w:val="00AE438C"/>
    <w:rsid w:val="00AE456F"/>
    <w:rsid w:val="00AE4585"/>
    <w:rsid w:val="00AE4623"/>
    <w:rsid w:val="00AE46C9"/>
    <w:rsid w:val="00AE4710"/>
    <w:rsid w:val="00AE47D9"/>
    <w:rsid w:val="00AE480A"/>
    <w:rsid w:val="00AE49D0"/>
    <w:rsid w:val="00AE4ADB"/>
    <w:rsid w:val="00AE4BB5"/>
    <w:rsid w:val="00AE4BBE"/>
    <w:rsid w:val="00AE4C65"/>
    <w:rsid w:val="00AE4CF1"/>
    <w:rsid w:val="00AE4D41"/>
    <w:rsid w:val="00AE4E41"/>
    <w:rsid w:val="00AE4E64"/>
    <w:rsid w:val="00AE4EDD"/>
    <w:rsid w:val="00AE4F66"/>
    <w:rsid w:val="00AE4FAC"/>
    <w:rsid w:val="00AE5033"/>
    <w:rsid w:val="00AE5268"/>
    <w:rsid w:val="00AE52F5"/>
    <w:rsid w:val="00AE5310"/>
    <w:rsid w:val="00AE53FC"/>
    <w:rsid w:val="00AE543E"/>
    <w:rsid w:val="00AE57B6"/>
    <w:rsid w:val="00AE57E4"/>
    <w:rsid w:val="00AE5841"/>
    <w:rsid w:val="00AE58F5"/>
    <w:rsid w:val="00AE58FB"/>
    <w:rsid w:val="00AE59D2"/>
    <w:rsid w:val="00AE5B26"/>
    <w:rsid w:val="00AE5CE1"/>
    <w:rsid w:val="00AE5D19"/>
    <w:rsid w:val="00AE5D7E"/>
    <w:rsid w:val="00AE5DAF"/>
    <w:rsid w:val="00AE5DD8"/>
    <w:rsid w:val="00AE5E1C"/>
    <w:rsid w:val="00AE5F9B"/>
    <w:rsid w:val="00AE5FF6"/>
    <w:rsid w:val="00AE612F"/>
    <w:rsid w:val="00AE6194"/>
    <w:rsid w:val="00AE61BB"/>
    <w:rsid w:val="00AE6228"/>
    <w:rsid w:val="00AE6258"/>
    <w:rsid w:val="00AE62A8"/>
    <w:rsid w:val="00AE63B0"/>
    <w:rsid w:val="00AE6472"/>
    <w:rsid w:val="00AE6486"/>
    <w:rsid w:val="00AE64DB"/>
    <w:rsid w:val="00AE64E8"/>
    <w:rsid w:val="00AE651A"/>
    <w:rsid w:val="00AE6521"/>
    <w:rsid w:val="00AE653A"/>
    <w:rsid w:val="00AE656D"/>
    <w:rsid w:val="00AE65A5"/>
    <w:rsid w:val="00AE661F"/>
    <w:rsid w:val="00AE6653"/>
    <w:rsid w:val="00AE6672"/>
    <w:rsid w:val="00AE6842"/>
    <w:rsid w:val="00AE684B"/>
    <w:rsid w:val="00AE6880"/>
    <w:rsid w:val="00AE699C"/>
    <w:rsid w:val="00AE69D3"/>
    <w:rsid w:val="00AE6A06"/>
    <w:rsid w:val="00AE6C01"/>
    <w:rsid w:val="00AE6C24"/>
    <w:rsid w:val="00AE6DEA"/>
    <w:rsid w:val="00AE6DED"/>
    <w:rsid w:val="00AE6ECD"/>
    <w:rsid w:val="00AE6F50"/>
    <w:rsid w:val="00AE6F58"/>
    <w:rsid w:val="00AE6F95"/>
    <w:rsid w:val="00AE70A1"/>
    <w:rsid w:val="00AE71BE"/>
    <w:rsid w:val="00AE7241"/>
    <w:rsid w:val="00AE72DD"/>
    <w:rsid w:val="00AE7387"/>
    <w:rsid w:val="00AE73B8"/>
    <w:rsid w:val="00AE740D"/>
    <w:rsid w:val="00AE7413"/>
    <w:rsid w:val="00AE7471"/>
    <w:rsid w:val="00AE74EC"/>
    <w:rsid w:val="00AE750C"/>
    <w:rsid w:val="00AE7550"/>
    <w:rsid w:val="00AE760E"/>
    <w:rsid w:val="00AE77E9"/>
    <w:rsid w:val="00AE78C7"/>
    <w:rsid w:val="00AE78F8"/>
    <w:rsid w:val="00AE7A96"/>
    <w:rsid w:val="00AE7B00"/>
    <w:rsid w:val="00AE7B4A"/>
    <w:rsid w:val="00AE7B86"/>
    <w:rsid w:val="00AE7B9C"/>
    <w:rsid w:val="00AE7BD9"/>
    <w:rsid w:val="00AE7C95"/>
    <w:rsid w:val="00AE7D42"/>
    <w:rsid w:val="00AF00B5"/>
    <w:rsid w:val="00AF014A"/>
    <w:rsid w:val="00AF017A"/>
    <w:rsid w:val="00AF01F6"/>
    <w:rsid w:val="00AF0320"/>
    <w:rsid w:val="00AF039E"/>
    <w:rsid w:val="00AF03B7"/>
    <w:rsid w:val="00AF05C2"/>
    <w:rsid w:val="00AF0643"/>
    <w:rsid w:val="00AF0671"/>
    <w:rsid w:val="00AF07A4"/>
    <w:rsid w:val="00AF07AA"/>
    <w:rsid w:val="00AF08EE"/>
    <w:rsid w:val="00AF0902"/>
    <w:rsid w:val="00AF0913"/>
    <w:rsid w:val="00AF09B5"/>
    <w:rsid w:val="00AF0A34"/>
    <w:rsid w:val="00AF0A7F"/>
    <w:rsid w:val="00AF0B57"/>
    <w:rsid w:val="00AF0C16"/>
    <w:rsid w:val="00AF0C60"/>
    <w:rsid w:val="00AF0D0C"/>
    <w:rsid w:val="00AF0D29"/>
    <w:rsid w:val="00AF0DAE"/>
    <w:rsid w:val="00AF0E5F"/>
    <w:rsid w:val="00AF0E64"/>
    <w:rsid w:val="00AF0E8D"/>
    <w:rsid w:val="00AF0F3D"/>
    <w:rsid w:val="00AF0FCC"/>
    <w:rsid w:val="00AF102C"/>
    <w:rsid w:val="00AF124E"/>
    <w:rsid w:val="00AF12FB"/>
    <w:rsid w:val="00AF138D"/>
    <w:rsid w:val="00AF1436"/>
    <w:rsid w:val="00AF146B"/>
    <w:rsid w:val="00AF149F"/>
    <w:rsid w:val="00AF154D"/>
    <w:rsid w:val="00AF15E2"/>
    <w:rsid w:val="00AF1753"/>
    <w:rsid w:val="00AF19F9"/>
    <w:rsid w:val="00AF1B40"/>
    <w:rsid w:val="00AF1BFE"/>
    <w:rsid w:val="00AF1CD5"/>
    <w:rsid w:val="00AF1D10"/>
    <w:rsid w:val="00AF1D70"/>
    <w:rsid w:val="00AF1DB1"/>
    <w:rsid w:val="00AF1DB6"/>
    <w:rsid w:val="00AF1E43"/>
    <w:rsid w:val="00AF1E78"/>
    <w:rsid w:val="00AF1E81"/>
    <w:rsid w:val="00AF1ECF"/>
    <w:rsid w:val="00AF1EF9"/>
    <w:rsid w:val="00AF2065"/>
    <w:rsid w:val="00AF2072"/>
    <w:rsid w:val="00AF2234"/>
    <w:rsid w:val="00AF2260"/>
    <w:rsid w:val="00AF2305"/>
    <w:rsid w:val="00AF2332"/>
    <w:rsid w:val="00AF236B"/>
    <w:rsid w:val="00AF2481"/>
    <w:rsid w:val="00AF2509"/>
    <w:rsid w:val="00AF2578"/>
    <w:rsid w:val="00AF2751"/>
    <w:rsid w:val="00AF27DF"/>
    <w:rsid w:val="00AF2829"/>
    <w:rsid w:val="00AF285B"/>
    <w:rsid w:val="00AF2969"/>
    <w:rsid w:val="00AF2A93"/>
    <w:rsid w:val="00AF2B6D"/>
    <w:rsid w:val="00AF2B89"/>
    <w:rsid w:val="00AF2C29"/>
    <w:rsid w:val="00AF2CC5"/>
    <w:rsid w:val="00AF2E76"/>
    <w:rsid w:val="00AF2ECE"/>
    <w:rsid w:val="00AF2F5C"/>
    <w:rsid w:val="00AF2FDF"/>
    <w:rsid w:val="00AF3013"/>
    <w:rsid w:val="00AF3018"/>
    <w:rsid w:val="00AF318F"/>
    <w:rsid w:val="00AF31BE"/>
    <w:rsid w:val="00AF3355"/>
    <w:rsid w:val="00AF3395"/>
    <w:rsid w:val="00AF33B8"/>
    <w:rsid w:val="00AF3513"/>
    <w:rsid w:val="00AF354D"/>
    <w:rsid w:val="00AF3608"/>
    <w:rsid w:val="00AF3632"/>
    <w:rsid w:val="00AF3633"/>
    <w:rsid w:val="00AF377A"/>
    <w:rsid w:val="00AF38A5"/>
    <w:rsid w:val="00AF3912"/>
    <w:rsid w:val="00AF3976"/>
    <w:rsid w:val="00AF39A8"/>
    <w:rsid w:val="00AF3A3C"/>
    <w:rsid w:val="00AF3C5C"/>
    <w:rsid w:val="00AF3DCD"/>
    <w:rsid w:val="00AF3EA1"/>
    <w:rsid w:val="00AF3F5A"/>
    <w:rsid w:val="00AF3F5B"/>
    <w:rsid w:val="00AF40A0"/>
    <w:rsid w:val="00AF4165"/>
    <w:rsid w:val="00AF424E"/>
    <w:rsid w:val="00AF42A4"/>
    <w:rsid w:val="00AF43BF"/>
    <w:rsid w:val="00AF43FF"/>
    <w:rsid w:val="00AF4468"/>
    <w:rsid w:val="00AF4472"/>
    <w:rsid w:val="00AF449B"/>
    <w:rsid w:val="00AF44C3"/>
    <w:rsid w:val="00AF4594"/>
    <w:rsid w:val="00AF45CE"/>
    <w:rsid w:val="00AF46AA"/>
    <w:rsid w:val="00AF46E6"/>
    <w:rsid w:val="00AF47AF"/>
    <w:rsid w:val="00AF4813"/>
    <w:rsid w:val="00AF498C"/>
    <w:rsid w:val="00AF49DB"/>
    <w:rsid w:val="00AF4AF9"/>
    <w:rsid w:val="00AF4B71"/>
    <w:rsid w:val="00AF4C85"/>
    <w:rsid w:val="00AF4C8C"/>
    <w:rsid w:val="00AF4CF2"/>
    <w:rsid w:val="00AF4D53"/>
    <w:rsid w:val="00AF4D7A"/>
    <w:rsid w:val="00AF4D94"/>
    <w:rsid w:val="00AF4F5F"/>
    <w:rsid w:val="00AF51BE"/>
    <w:rsid w:val="00AF530C"/>
    <w:rsid w:val="00AF53A3"/>
    <w:rsid w:val="00AF5411"/>
    <w:rsid w:val="00AF551B"/>
    <w:rsid w:val="00AF5694"/>
    <w:rsid w:val="00AF56DE"/>
    <w:rsid w:val="00AF5785"/>
    <w:rsid w:val="00AF5793"/>
    <w:rsid w:val="00AF57E8"/>
    <w:rsid w:val="00AF585E"/>
    <w:rsid w:val="00AF588A"/>
    <w:rsid w:val="00AF5951"/>
    <w:rsid w:val="00AF5A34"/>
    <w:rsid w:val="00AF5B42"/>
    <w:rsid w:val="00AF5B44"/>
    <w:rsid w:val="00AF5BAD"/>
    <w:rsid w:val="00AF5C47"/>
    <w:rsid w:val="00AF5C59"/>
    <w:rsid w:val="00AF5D47"/>
    <w:rsid w:val="00AF5D83"/>
    <w:rsid w:val="00AF5D98"/>
    <w:rsid w:val="00AF5DE1"/>
    <w:rsid w:val="00AF5DEF"/>
    <w:rsid w:val="00AF5E17"/>
    <w:rsid w:val="00AF5F2E"/>
    <w:rsid w:val="00AF5FDB"/>
    <w:rsid w:val="00AF6088"/>
    <w:rsid w:val="00AF6096"/>
    <w:rsid w:val="00AF6277"/>
    <w:rsid w:val="00AF6333"/>
    <w:rsid w:val="00AF633B"/>
    <w:rsid w:val="00AF6343"/>
    <w:rsid w:val="00AF6361"/>
    <w:rsid w:val="00AF639E"/>
    <w:rsid w:val="00AF63BF"/>
    <w:rsid w:val="00AF647B"/>
    <w:rsid w:val="00AF655A"/>
    <w:rsid w:val="00AF6568"/>
    <w:rsid w:val="00AF67FD"/>
    <w:rsid w:val="00AF6891"/>
    <w:rsid w:val="00AF68DC"/>
    <w:rsid w:val="00AF6906"/>
    <w:rsid w:val="00AF693B"/>
    <w:rsid w:val="00AF6A77"/>
    <w:rsid w:val="00AF6AE9"/>
    <w:rsid w:val="00AF6B34"/>
    <w:rsid w:val="00AF6B8D"/>
    <w:rsid w:val="00AF6C3E"/>
    <w:rsid w:val="00AF6C41"/>
    <w:rsid w:val="00AF6C7F"/>
    <w:rsid w:val="00AF6E3B"/>
    <w:rsid w:val="00AF6E4C"/>
    <w:rsid w:val="00AF6EA5"/>
    <w:rsid w:val="00AF6EB0"/>
    <w:rsid w:val="00AF70A0"/>
    <w:rsid w:val="00AF70D5"/>
    <w:rsid w:val="00AF716D"/>
    <w:rsid w:val="00AF7191"/>
    <w:rsid w:val="00AF71CF"/>
    <w:rsid w:val="00AF7212"/>
    <w:rsid w:val="00AF7307"/>
    <w:rsid w:val="00AF7467"/>
    <w:rsid w:val="00AF7B65"/>
    <w:rsid w:val="00AF7C55"/>
    <w:rsid w:val="00AF7C75"/>
    <w:rsid w:val="00AF7C9E"/>
    <w:rsid w:val="00AF7CD0"/>
    <w:rsid w:val="00AF7FEC"/>
    <w:rsid w:val="00B00134"/>
    <w:rsid w:val="00B00190"/>
    <w:rsid w:val="00B001AE"/>
    <w:rsid w:val="00B001DC"/>
    <w:rsid w:val="00B0048F"/>
    <w:rsid w:val="00B004B0"/>
    <w:rsid w:val="00B004FD"/>
    <w:rsid w:val="00B00511"/>
    <w:rsid w:val="00B00567"/>
    <w:rsid w:val="00B0059D"/>
    <w:rsid w:val="00B00609"/>
    <w:rsid w:val="00B00622"/>
    <w:rsid w:val="00B00629"/>
    <w:rsid w:val="00B0064E"/>
    <w:rsid w:val="00B00781"/>
    <w:rsid w:val="00B009CD"/>
    <w:rsid w:val="00B00B38"/>
    <w:rsid w:val="00B00B5E"/>
    <w:rsid w:val="00B00B73"/>
    <w:rsid w:val="00B00BF5"/>
    <w:rsid w:val="00B00C73"/>
    <w:rsid w:val="00B00C97"/>
    <w:rsid w:val="00B00CDE"/>
    <w:rsid w:val="00B00D2C"/>
    <w:rsid w:val="00B00D5F"/>
    <w:rsid w:val="00B00E75"/>
    <w:rsid w:val="00B00E77"/>
    <w:rsid w:val="00B01096"/>
    <w:rsid w:val="00B01124"/>
    <w:rsid w:val="00B01224"/>
    <w:rsid w:val="00B012BF"/>
    <w:rsid w:val="00B0135C"/>
    <w:rsid w:val="00B01375"/>
    <w:rsid w:val="00B01397"/>
    <w:rsid w:val="00B01415"/>
    <w:rsid w:val="00B0141F"/>
    <w:rsid w:val="00B01477"/>
    <w:rsid w:val="00B014AC"/>
    <w:rsid w:val="00B016EB"/>
    <w:rsid w:val="00B0170F"/>
    <w:rsid w:val="00B0178D"/>
    <w:rsid w:val="00B017AB"/>
    <w:rsid w:val="00B01825"/>
    <w:rsid w:val="00B01941"/>
    <w:rsid w:val="00B01A30"/>
    <w:rsid w:val="00B01AD7"/>
    <w:rsid w:val="00B01AED"/>
    <w:rsid w:val="00B01BA9"/>
    <w:rsid w:val="00B01BD5"/>
    <w:rsid w:val="00B01C5E"/>
    <w:rsid w:val="00B01D4E"/>
    <w:rsid w:val="00B01D6B"/>
    <w:rsid w:val="00B01DAC"/>
    <w:rsid w:val="00B01DFE"/>
    <w:rsid w:val="00B01E85"/>
    <w:rsid w:val="00B01E8E"/>
    <w:rsid w:val="00B01EEC"/>
    <w:rsid w:val="00B02048"/>
    <w:rsid w:val="00B02073"/>
    <w:rsid w:val="00B02264"/>
    <w:rsid w:val="00B022D0"/>
    <w:rsid w:val="00B02495"/>
    <w:rsid w:val="00B024A7"/>
    <w:rsid w:val="00B024DB"/>
    <w:rsid w:val="00B0259D"/>
    <w:rsid w:val="00B025AD"/>
    <w:rsid w:val="00B025F6"/>
    <w:rsid w:val="00B0273C"/>
    <w:rsid w:val="00B02885"/>
    <w:rsid w:val="00B028EF"/>
    <w:rsid w:val="00B029A4"/>
    <w:rsid w:val="00B02A8D"/>
    <w:rsid w:val="00B02B3D"/>
    <w:rsid w:val="00B02BB0"/>
    <w:rsid w:val="00B02F07"/>
    <w:rsid w:val="00B02F9A"/>
    <w:rsid w:val="00B030B3"/>
    <w:rsid w:val="00B030BB"/>
    <w:rsid w:val="00B031E9"/>
    <w:rsid w:val="00B03211"/>
    <w:rsid w:val="00B032EE"/>
    <w:rsid w:val="00B03365"/>
    <w:rsid w:val="00B034BE"/>
    <w:rsid w:val="00B034E9"/>
    <w:rsid w:val="00B03502"/>
    <w:rsid w:val="00B0352B"/>
    <w:rsid w:val="00B036C2"/>
    <w:rsid w:val="00B0377C"/>
    <w:rsid w:val="00B037D0"/>
    <w:rsid w:val="00B037FA"/>
    <w:rsid w:val="00B03801"/>
    <w:rsid w:val="00B03815"/>
    <w:rsid w:val="00B038F5"/>
    <w:rsid w:val="00B03A2B"/>
    <w:rsid w:val="00B03A57"/>
    <w:rsid w:val="00B03AC9"/>
    <w:rsid w:val="00B03B98"/>
    <w:rsid w:val="00B03BBD"/>
    <w:rsid w:val="00B03C69"/>
    <w:rsid w:val="00B03CB8"/>
    <w:rsid w:val="00B03DC0"/>
    <w:rsid w:val="00B03E32"/>
    <w:rsid w:val="00B03E52"/>
    <w:rsid w:val="00B03FD8"/>
    <w:rsid w:val="00B03FDF"/>
    <w:rsid w:val="00B03FE2"/>
    <w:rsid w:val="00B0404C"/>
    <w:rsid w:val="00B04165"/>
    <w:rsid w:val="00B0416A"/>
    <w:rsid w:val="00B04230"/>
    <w:rsid w:val="00B042F1"/>
    <w:rsid w:val="00B043E7"/>
    <w:rsid w:val="00B044C6"/>
    <w:rsid w:val="00B044E5"/>
    <w:rsid w:val="00B0457B"/>
    <w:rsid w:val="00B045D4"/>
    <w:rsid w:val="00B04720"/>
    <w:rsid w:val="00B04787"/>
    <w:rsid w:val="00B0480F"/>
    <w:rsid w:val="00B04826"/>
    <w:rsid w:val="00B04866"/>
    <w:rsid w:val="00B048D2"/>
    <w:rsid w:val="00B0494A"/>
    <w:rsid w:val="00B04966"/>
    <w:rsid w:val="00B04A65"/>
    <w:rsid w:val="00B04B6A"/>
    <w:rsid w:val="00B04B6C"/>
    <w:rsid w:val="00B04CF6"/>
    <w:rsid w:val="00B04D56"/>
    <w:rsid w:val="00B04E94"/>
    <w:rsid w:val="00B04EC5"/>
    <w:rsid w:val="00B04EF8"/>
    <w:rsid w:val="00B04F1D"/>
    <w:rsid w:val="00B04FB8"/>
    <w:rsid w:val="00B05007"/>
    <w:rsid w:val="00B05094"/>
    <w:rsid w:val="00B05096"/>
    <w:rsid w:val="00B050EC"/>
    <w:rsid w:val="00B05205"/>
    <w:rsid w:val="00B0520F"/>
    <w:rsid w:val="00B052AE"/>
    <w:rsid w:val="00B052CF"/>
    <w:rsid w:val="00B052EF"/>
    <w:rsid w:val="00B0531C"/>
    <w:rsid w:val="00B0537E"/>
    <w:rsid w:val="00B05888"/>
    <w:rsid w:val="00B05898"/>
    <w:rsid w:val="00B05B1D"/>
    <w:rsid w:val="00B05BC0"/>
    <w:rsid w:val="00B05C47"/>
    <w:rsid w:val="00B05CD6"/>
    <w:rsid w:val="00B05D69"/>
    <w:rsid w:val="00B05DA2"/>
    <w:rsid w:val="00B05E27"/>
    <w:rsid w:val="00B0611B"/>
    <w:rsid w:val="00B0623C"/>
    <w:rsid w:val="00B0623F"/>
    <w:rsid w:val="00B06328"/>
    <w:rsid w:val="00B063F8"/>
    <w:rsid w:val="00B063FE"/>
    <w:rsid w:val="00B06450"/>
    <w:rsid w:val="00B06758"/>
    <w:rsid w:val="00B067D2"/>
    <w:rsid w:val="00B06819"/>
    <w:rsid w:val="00B06A2F"/>
    <w:rsid w:val="00B06AF0"/>
    <w:rsid w:val="00B06C1A"/>
    <w:rsid w:val="00B06CBA"/>
    <w:rsid w:val="00B06CEC"/>
    <w:rsid w:val="00B06D70"/>
    <w:rsid w:val="00B06F28"/>
    <w:rsid w:val="00B07013"/>
    <w:rsid w:val="00B070BD"/>
    <w:rsid w:val="00B070C1"/>
    <w:rsid w:val="00B0713C"/>
    <w:rsid w:val="00B072BD"/>
    <w:rsid w:val="00B07492"/>
    <w:rsid w:val="00B07532"/>
    <w:rsid w:val="00B0753C"/>
    <w:rsid w:val="00B0757C"/>
    <w:rsid w:val="00B07684"/>
    <w:rsid w:val="00B076C2"/>
    <w:rsid w:val="00B076D1"/>
    <w:rsid w:val="00B07776"/>
    <w:rsid w:val="00B077C4"/>
    <w:rsid w:val="00B07841"/>
    <w:rsid w:val="00B078B6"/>
    <w:rsid w:val="00B0792C"/>
    <w:rsid w:val="00B07948"/>
    <w:rsid w:val="00B07A55"/>
    <w:rsid w:val="00B07A69"/>
    <w:rsid w:val="00B07B5B"/>
    <w:rsid w:val="00B07BB2"/>
    <w:rsid w:val="00B07CC1"/>
    <w:rsid w:val="00B07ED8"/>
    <w:rsid w:val="00B07EF9"/>
    <w:rsid w:val="00B07F8B"/>
    <w:rsid w:val="00B07FA9"/>
    <w:rsid w:val="00B07FCB"/>
    <w:rsid w:val="00B1001D"/>
    <w:rsid w:val="00B10079"/>
    <w:rsid w:val="00B1011F"/>
    <w:rsid w:val="00B10165"/>
    <w:rsid w:val="00B10302"/>
    <w:rsid w:val="00B10331"/>
    <w:rsid w:val="00B10414"/>
    <w:rsid w:val="00B105A3"/>
    <w:rsid w:val="00B10617"/>
    <w:rsid w:val="00B106F3"/>
    <w:rsid w:val="00B10853"/>
    <w:rsid w:val="00B109FD"/>
    <w:rsid w:val="00B10B92"/>
    <w:rsid w:val="00B10C6F"/>
    <w:rsid w:val="00B10DE0"/>
    <w:rsid w:val="00B10DE4"/>
    <w:rsid w:val="00B10E76"/>
    <w:rsid w:val="00B10EDC"/>
    <w:rsid w:val="00B10EE1"/>
    <w:rsid w:val="00B10F9D"/>
    <w:rsid w:val="00B10FF0"/>
    <w:rsid w:val="00B11039"/>
    <w:rsid w:val="00B11158"/>
    <w:rsid w:val="00B111B7"/>
    <w:rsid w:val="00B11217"/>
    <w:rsid w:val="00B112A6"/>
    <w:rsid w:val="00B112AA"/>
    <w:rsid w:val="00B11417"/>
    <w:rsid w:val="00B11482"/>
    <w:rsid w:val="00B114C4"/>
    <w:rsid w:val="00B115A0"/>
    <w:rsid w:val="00B11604"/>
    <w:rsid w:val="00B11649"/>
    <w:rsid w:val="00B11697"/>
    <w:rsid w:val="00B1169E"/>
    <w:rsid w:val="00B116F1"/>
    <w:rsid w:val="00B11718"/>
    <w:rsid w:val="00B117B1"/>
    <w:rsid w:val="00B11873"/>
    <w:rsid w:val="00B11AB9"/>
    <w:rsid w:val="00B11B26"/>
    <w:rsid w:val="00B11BE3"/>
    <w:rsid w:val="00B11D4B"/>
    <w:rsid w:val="00B11E90"/>
    <w:rsid w:val="00B11E93"/>
    <w:rsid w:val="00B11E98"/>
    <w:rsid w:val="00B11F47"/>
    <w:rsid w:val="00B11FF2"/>
    <w:rsid w:val="00B12190"/>
    <w:rsid w:val="00B121C1"/>
    <w:rsid w:val="00B12207"/>
    <w:rsid w:val="00B12449"/>
    <w:rsid w:val="00B12488"/>
    <w:rsid w:val="00B124A0"/>
    <w:rsid w:val="00B125E4"/>
    <w:rsid w:val="00B12658"/>
    <w:rsid w:val="00B12843"/>
    <w:rsid w:val="00B12849"/>
    <w:rsid w:val="00B12946"/>
    <w:rsid w:val="00B129C5"/>
    <w:rsid w:val="00B12CB2"/>
    <w:rsid w:val="00B12CC5"/>
    <w:rsid w:val="00B12D56"/>
    <w:rsid w:val="00B13070"/>
    <w:rsid w:val="00B13135"/>
    <w:rsid w:val="00B131A0"/>
    <w:rsid w:val="00B132AD"/>
    <w:rsid w:val="00B13319"/>
    <w:rsid w:val="00B1375E"/>
    <w:rsid w:val="00B13831"/>
    <w:rsid w:val="00B13918"/>
    <w:rsid w:val="00B1392D"/>
    <w:rsid w:val="00B139CF"/>
    <w:rsid w:val="00B13AF6"/>
    <w:rsid w:val="00B13B2E"/>
    <w:rsid w:val="00B13B7A"/>
    <w:rsid w:val="00B13BF1"/>
    <w:rsid w:val="00B13BF8"/>
    <w:rsid w:val="00B13C08"/>
    <w:rsid w:val="00B13C67"/>
    <w:rsid w:val="00B13CBC"/>
    <w:rsid w:val="00B13D8A"/>
    <w:rsid w:val="00B13E37"/>
    <w:rsid w:val="00B13E44"/>
    <w:rsid w:val="00B13EE7"/>
    <w:rsid w:val="00B13F09"/>
    <w:rsid w:val="00B13F98"/>
    <w:rsid w:val="00B14031"/>
    <w:rsid w:val="00B14075"/>
    <w:rsid w:val="00B140EC"/>
    <w:rsid w:val="00B1414C"/>
    <w:rsid w:val="00B1423A"/>
    <w:rsid w:val="00B14278"/>
    <w:rsid w:val="00B1436B"/>
    <w:rsid w:val="00B14386"/>
    <w:rsid w:val="00B14406"/>
    <w:rsid w:val="00B1441D"/>
    <w:rsid w:val="00B144A5"/>
    <w:rsid w:val="00B14637"/>
    <w:rsid w:val="00B14731"/>
    <w:rsid w:val="00B147CA"/>
    <w:rsid w:val="00B147CC"/>
    <w:rsid w:val="00B14909"/>
    <w:rsid w:val="00B14938"/>
    <w:rsid w:val="00B149B3"/>
    <w:rsid w:val="00B149BC"/>
    <w:rsid w:val="00B149D6"/>
    <w:rsid w:val="00B149F8"/>
    <w:rsid w:val="00B14A52"/>
    <w:rsid w:val="00B14B4B"/>
    <w:rsid w:val="00B14C54"/>
    <w:rsid w:val="00B14F7A"/>
    <w:rsid w:val="00B14FF6"/>
    <w:rsid w:val="00B1506F"/>
    <w:rsid w:val="00B150F3"/>
    <w:rsid w:val="00B150FA"/>
    <w:rsid w:val="00B15229"/>
    <w:rsid w:val="00B152CD"/>
    <w:rsid w:val="00B152FF"/>
    <w:rsid w:val="00B153C7"/>
    <w:rsid w:val="00B1548C"/>
    <w:rsid w:val="00B156A0"/>
    <w:rsid w:val="00B157A9"/>
    <w:rsid w:val="00B157E9"/>
    <w:rsid w:val="00B157F2"/>
    <w:rsid w:val="00B158E3"/>
    <w:rsid w:val="00B158E6"/>
    <w:rsid w:val="00B15901"/>
    <w:rsid w:val="00B15956"/>
    <w:rsid w:val="00B1595C"/>
    <w:rsid w:val="00B15977"/>
    <w:rsid w:val="00B15A57"/>
    <w:rsid w:val="00B15AD7"/>
    <w:rsid w:val="00B15ADB"/>
    <w:rsid w:val="00B15AFF"/>
    <w:rsid w:val="00B15BA4"/>
    <w:rsid w:val="00B15C84"/>
    <w:rsid w:val="00B15E45"/>
    <w:rsid w:val="00B15E7B"/>
    <w:rsid w:val="00B15E84"/>
    <w:rsid w:val="00B15F3F"/>
    <w:rsid w:val="00B15F51"/>
    <w:rsid w:val="00B16018"/>
    <w:rsid w:val="00B16238"/>
    <w:rsid w:val="00B1627D"/>
    <w:rsid w:val="00B162DA"/>
    <w:rsid w:val="00B16463"/>
    <w:rsid w:val="00B16590"/>
    <w:rsid w:val="00B16727"/>
    <w:rsid w:val="00B16770"/>
    <w:rsid w:val="00B167BB"/>
    <w:rsid w:val="00B167E1"/>
    <w:rsid w:val="00B167FD"/>
    <w:rsid w:val="00B16841"/>
    <w:rsid w:val="00B1694B"/>
    <w:rsid w:val="00B16B7D"/>
    <w:rsid w:val="00B16B91"/>
    <w:rsid w:val="00B16C14"/>
    <w:rsid w:val="00B16C54"/>
    <w:rsid w:val="00B16C61"/>
    <w:rsid w:val="00B16CA9"/>
    <w:rsid w:val="00B16D79"/>
    <w:rsid w:val="00B16D7B"/>
    <w:rsid w:val="00B16E64"/>
    <w:rsid w:val="00B16F29"/>
    <w:rsid w:val="00B1711B"/>
    <w:rsid w:val="00B17154"/>
    <w:rsid w:val="00B171D9"/>
    <w:rsid w:val="00B17360"/>
    <w:rsid w:val="00B174C3"/>
    <w:rsid w:val="00B17581"/>
    <w:rsid w:val="00B17587"/>
    <w:rsid w:val="00B17649"/>
    <w:rsid w:val="00B17704"/>
    <w:rsid w:val="00B1775E"/>
    <w:rsid w:val="00B1793F"/>
    <w:rsid w:val="00B17952"/>
    <w:rsid w:val="00B1797B"/>
    <w:rsid w:val="00B179EF"/>
    <w:rsid w:val="00B17A4F"/>
    <w:rsid w:val="00B17AD6"/>
    <w:rsid w:val="00B17AE1"/>
    <w:rsid w:val="00B17B81"/>
    <w:rsid w:val="00B17C7F"/>
    <w:rsid w:val="00B17D77"/>
    <w:rsid w:val="00B17D7F"/>
    <w:rsid w:val="00B17E94"/>
    <w:rsid w:val="00B17EA9"/>
    <w:rsid w:val="00B17F45"/>
    <w:rsid w:val="00B17F72"/>
    <w:rsid w:val="00B20264"/>
    <w:rsid w:val="00B2027C"/>
    <w:rsid w:val="00B2044A"/>
    <w:rsid w:val="00B2046F"/>
    <w:rsid w:val="00B2050F"/>
    <w:rsid w:val="00B205E9"/>
    <w:rsid w:val="00B20881"/>
    <w:rsid w:val="00B209C7"/>
    <w:rsid w:val="00B20A9E"/>
    <w:rsid w:val="00B20BBF"/>
    <w:rsid w:val="00B20CFF"/>
    <w:rsid w:val="00B20D08"/>
    <w:rsid w:val="00B20D20"/>
    <w:rsid w:val="00B20D23"/>
    <w:rsid w:val="00B20E32"/>
    <w:rsid w:val="00B20E61"/>
    <w:rsid w:val="00B20E88"/>
    <w:rsid w:val="00B20F3D"/>
    <w:rsid w:val="00B21026"/>
    <w:rsid w:val="00B21041"/>
    <w:rsid w:val="00B21042"/>
    <w:rsid w:val="00B21052"/>
    <w:rsid w:val="00B21088"/>
    <w:rsid w:val="00B2126E"/>
    <w:rsid w:val="00B2135C"/>
    <w:rsid w:val="00B21447"/>
    <w:rsid w:val="00B21599"/>
    <w:rsid w:val="00B215A5"/>
    <w:rsid w:val="00B215D0"/>
    <w:rsid w:val="00B21630"/>
    <w:rsid w:val="00B2167A"/>
    <w:rsid w:val="00B2168E"/>
    <w:rsid w:val="00B216F0"/>
    <w:rsid w:val="00B21753"/>
    <w:rsid w:val="00B218FA"/>
    <w:rsid w:val="00B21972"/>
    <w:rsid w:val="00B219E9"/>
    <w:rsid w:val="00B21A47"/>
    <w:rsid w:val="00B21A88"/>
    <w:rsid w:val="00B21AC4"/>
    <w:rsid w:val="00B21AC7"/>
    <w:rsid w:val="00B21AEE"/>
    <w:rsid w:val="00B21AFF"/>
    <w:rsid w:val="00B21B26"/>
    <w:rsid w:val="00B21B2F"/>
    <w:rsid w:val="00B21B3C"/>
    <w:rsid w:val="00B21B6C"/>
    <w:rsid w:val="00B21BC1"/>
    <w:rsid w:val="00B21DDE"/>
    <w:rsid w:val="00B21E8A"/>
    <w:rsid w:val="00B220CF"/>
    <w:rsid w:val="00B220F5"/>
    <w:rsid w:val="00B2212B"/>
    <w:rsid w:val="00B22220"/>
    <w:rsid w:val="00B2222C"/>
    <w:rsid w:val="00B22268"/>
    <w:rsid w:val="00B2226D"/>
    <w:rsid w:val="00B222CB"/>
    <w:rsid w:val="00B2246E"/>
    <w:rsid w:val="00B22485"/>
    <w:rsid w:val="00B22495"/>
    <w:rsid w:val="00B225DD"/>
    <w:rsid w:val="00B226E8"/>
    <w:rsid w:val="00B22709"/>
    <w:rsid w:val="00B22727"/>
    <w:rsid w:val="00B2277B"/>
    <w:rsid w:val="00B227E9"/>
    <w:rsid w:val="00B22816"/>
    <w:rsid w:val="00B22837"/>
    <w:rsid w:val="00B22856"/>
    <w:rsid w:val="00B228CA"/>
    <w:rsid w:val="00B228EA"/>
    <w:rsid w:val="00B22914"/>
    <w:rsid w:val="00B22970"/>
    <w:rsid w:val="00B229BE"/>
    <w:rsid w:val="00B22A2B"/>
    <w:rsid w:val="00B22A2D"/>
    <w:rsid w:val="00B22A73"/>
    <w:rsid w:val="00B22AAF"/>
    <w:rsid w:val="00B22C12"/>
    <w:rsid w:val="00B22C8E"/>
    <w:rsid w:val="00B22DD2"/>
    <w:rsid w:val="00B22DEE"/>
    <w:rsid w:val="00B22E0C"/>
    <w:rsid w:val="00B22ECD"/>
    <w:rsid w:val="00B22F9F"/>
    <w:rsid w:val="00B2311A"/>
    <w:rsid w:val="00B231CF"/>
    <w:rsid w:val="00B23268"/>
    <w:rsid w:val="00B2330D"/>
    <w:rsid w:val="00B233CC"/>
    <w:rsid w:val="00B2340E"/>
    <w:rsid w:val="00B234A4"/>
    <w:rsid w:val="00B235CE"/>
    <w:rsid w:val="00B23647"/>
    <w:rsid w:val="00B23737"/>
    <w:rsid w:val="00B237BE"/>
    <w:rsid w:val="00B237BF"/>
    <w:rsid w:val="00B237EA"/>
    <w:rsid w:val="00B237F1"/>
    <w:rsid w:val="00B23837"/>
    <w:rsid w:val="00B23A1F"/>
    <w:rsid w:val="00B23A66"/>
    <w:rsid w:val="00B23CFB"/>
    <w:rsid w:val="00B23D11"/>
    <w:rsid w:val="00B23DB7"/>
    <w:rsid w:val="00B23E56"/>
    <w:rsid w:val="00B23F53"/>
    <w:rsid w:val="00B240CA"/>
    <w:rsid w:val="00B2416B"/>
    <w:rsid w:val="00B24249"/>
    <w:rsid w:val="00B2424C"/>
    <w:rsid w:val="00B24354"/>
    <w:rsid w:val="00B243F0"/>
    <w:rsid w:val="00B2459F"/>
    <w:rsid w:val="00B2466E"/>
    <w:rsid w:val="00B2485D"/>
    <w:rsid w:val="00B24879"/>
    <w:rsid w:val="00B248D2"/>
    <w:rsid w:val="00B24AA7"/>
    <w:rsid w:val="00B24ADC"/>
    <w:rsid w:val="00B24BAB"/>
    <w:rsid w:val="00B24C7F"/>
    <w:rsid w:val="00B24D71"/>
    <w:rsid w:val="00B24DC5"/>
    <w:rsid w:val="00B24E08"/>
    <w:rsid w:val="00B24E69"/>
    <w:rsid w:val="00B24E98"/>
    <w:rsid w:val="00B24EEE"/>
    <w:rsid w:val="00B24F52"/>
    <w:rsid w:val="00B24F64"/>
    <w:rsid w:val="00B250AA"/>
    <w:rsid w:val="00B250C8"/>
    <w:rsid w:val="00B251EC"/>
    <w:rsid w:val="00B25201"/>
    <w:rsid w:val="00B254C3"/>
    <w:rsid w:val="00B25509"/>
    <w:rsid w:val="00B25558"/>
    <w:rsid w:val="00B255EA"/>
    <w:rsid w:val="00B25756"/>
    <w:rsid w:val="00B257C9"/>
    <w:rsid w:val="00B257CA"/>
    <w:rsid w:val="00B25834"/>
    <w:rsid w:val="00B25A4A"/>
    <w:rsid w:val="00B25BAD"/>
    <w:rsid w:val="00B25BBE"/>
    <w:rsid w:val="00B25C14"/>
    <w:rsid w:val="00B25CD3"/>
    <w:rsid w:val="00B25DD3"/>
    <w:rsid w:val="00B25E5D"/>
    <w:rsid w:val="00B25E76"/>
    <w:rsid w:val="00B2608B"/>
    <w:rsid w:val="00B26120"/>
    <w:rsid w:val="00B261D4"/>
    <w:rsid w:val="00B26214"/>
    <w:rsid w:val="00B26221"/>
    <w:rsid w:val="00B262F8"/>
    <w:rsid w:val="00B26362"/>
    <w:rsid w:val="00B26386"/>
    <w:rsid w:val="00B263C1"/>
    <w:rsid w:val="00B263CC"/>
    <w:rsid w:val="00B264BC"/>
    <w:rsid w:val="00B26569"/>
    <w:rsid w:val="00B26609"/>
    <w:rsid w:val="00B2660B"/>
    <w:rsid w:val="00B26854"/>
    <w:rsid w:val="00B26B40"/>
    <w:rsid w:val="00B26B63"/>
    <w:rsid w:val="00B26BAD"/>
    <w:rsid w:val="00B26C62"/>
    <w:rsid w:val="00B26C6F"/>
    <w:rsid w:val="00B26CBD"/>
    <w:rsid w:val="00B26DCD"/>
    <w:rsid w:val="00B26EB1"/>
    <w:rsid w:val="00B27128"/>
    <w:rsid w:val="00B27137"/>
    <w:rsid w:val="00B2716A"/>
    <w:rsid w:val="00B271D1"/>
    <w:rsid w:val="00B2720E"/>
    <w:rsid w:val="00B27261"/>
    <w:rsid w:val="00B273C3"/>
    <w:rsid w:val="00B27562"/>
    <w:rsid w:val="00B2758E"/>
    <w:rsid w:val="00B275AC"/>
    <w:rsid w:val="00B276AA"/>
    <w:rsid w:val="00B276C2"/>
    <w:rsid w:val="00B276E3"/>
    <w:rsid w:val="00B276E6"/>
    <w:rsid w:val="00B276F6"/>
    <w:rsid w:val="00B2773F"/>
    <w:rsid w:val="00B277B9"/>
    <w:rsid w:val="00B277F1"/>
    <w:rsid w:val="00B27970"/>
    <w:rsid w:val="00B27A29"/>
    <w:rsid w:val="00B27A34"/>
    <w:rsid w:val="00B27B2C"/>
    <w:rsid w:val="00B27BC9"/>
    <w:rsid w:val="00B27C1E"/>
    <w:rsid w:val="00B27CEF"/>
    <w:rsid w:val="00B27E3F"/>
    <w:rsid w:val="00B27F36"/>
    <w:rsid w:val="00B30000"/>
    <w:rsid w:val="00B300CE"/>
    <w:rsid w:val="00B3012F"/>
    <w:rsid w:val="00B3016C"/>
    <w:rsid w:val="00B30193"/>
    <w:rsid w:val="00B3020D"/>
    <w:rsid w:val="00B30240"/>
    <w:rsid w:val="00B30270"/>
    <w:rsid w:val="00B302C4"/>
    <w:rsid w:val="00B302FE"/>
    <w:rsid w:val="00B3036E"/>
    <w:rsid w:val="00B303AC"/>
    <w:rsid w:val="00B303FD"/>
    <w:rsid w:val="00B3040F"/>
    <w:rsid w:val="00B30458"/>
    <w:rsid w:val="00B3046F"/>
    <w:rsid w:val="00B30480"/>
    <w:rsid w:val="00B30508"/>
    <w:rsid w:val="00B3057B"/>
    <w:rsid w:val="00B305F3"/>
    <w:rsid w:val="00B3066B"/>
    <w:rsid w:val="00B308EC"/>
    <w:rsid w:val="00B308F2"/>
    <w:rsid w:val="00B3094D"/>
    <w:rsid w:val="00B309A9"/>
    <w:rsid w:val="00B30A1A"/>
    <w:rsid w:val="00B30A24"/>
    <w:rsid w:val="00B30A52"/>
    <w:rsid w:val="00B30A7B"/>
    <w:rsid w:val="00B30A92"/>
    <w:rsid w:val="00B30A99"/>
    <w:rsid w:val="00B30AAE"/>
    <w:rsid w:val="00B30B96"/>
    <w:rsid w:val="00B30C87"/>
    <w:rsid w:val="00B30C95"/>
    <w:rsid w:val="00B30D4D"/>
    <w:rsid w:val="00B30DBB"/>
    <w:rsid w:val="00B30DBD"/>
    <w:rsid w:val="00B30EDC"/>
    <w:rsid w:val="00B30F0D"/>
    <w:rsid w:val="00B30F14"/>
    <w:rsid w:val="00B31090"/>
    <w:rsid w:val="00B310E9"/>
    <w:rsid w:val="00B31136"/>
    <w:rsid w:val="00B3120D"/>
    <w:rsid w:val="00B31252"/>
    <w:rsid w:val="00B312B0"/>
    <w:rsid w:val="00B31425"/>
    <w:rsid w:val="00B3143E"/>
    <w:rsid w:val="00B31512"/>
    <w:rsid w:val="00B3159A"/>
    <w:rsid w:val="00B31645"/>
    <w:rsid w:val="00B31682"/>
    <w:rsid w:val="00B3168C"/>
    <w:rsid w:val="00B31711"/>
    <w:rsid w:val="00B317C2"/>
    <w:rsid w:val="00B318CD"/>
    <w:rsid w:val="00B319F7"/>
    <w:rsid w:val="00B31AAC"/>
    <w:rsid w:val="00B31B0F"/>
    <w:rsid w:val="00B31BD6"/>
    <w:rsid w:val="00B31C2C"/>
    <w:rsid w:val="00B31C95"/>
    <w:rsid w:val="00B31CD4"/>
    <w:rsid w:val="00B31D44"/>
    <w:rsid w:val="00B31D81"/>
    <w:rsid w:val="00B31DF9"/>
    <w:rsid w:val="00B31F49"/>
    <w:rsid w:val="00B31FE1"/>
    <w:rsid w:val="00B31FE3"/>
    <w:rsid w:val="00B31FF4"/>
    <w:rsid w:val="00B320CB"/>
    <w:rsid w:val="00B32161"/>
    <w:rsid w:val="00B321A8"/>
    <w:rsid w:val="00B322A8"/>
    <w:rsid w:val="00B3241A"/>
    <w:rsid w:val="00B32429"/>
    <w:rsid w:val="00B32468"/>
    <w:rsid w:val="00B32503"/>
    <w:rsid w:val="00B32596"/>
    <w:rsid w:val="00B325F7"/>
    <w:rsid w:val="00B3264C"/>
    <w:rsid w:val="00B32678"/>
    <w:rsid w:val="00B32767"/>
    <w:rsid w:val="00B3294F"/>
    <w:rsid w:val="00B32A98"/>
    <w:rsid w:val="00B32D76"/>
    <w:rsid w:val="00B32E02"/>
    <w:rsid w:val="00B32F92"/>
    <w:rsid w:val="00B3300E"/>
    <w:rsid w:val="00B33104"/>
    <w:rsid w:val="00B333BE"/>
    <w:rsid w:val="00B333C3"/>
    <w:rsid w:val="00B33404"/>
    <w:rsid w:val="00B3344C"/>
    <w:rsid w:val="00B335A6"/>
    <w:rsid w:val="00B336C9"/>
    <w:rsid w:val="00B33859"/>
    <w:rsid w:val="00B33860"/>
    <w:rsid w:val="00B338CA"/>
    <w:rsid w:val="00B338DC"/>
    <w:rsid w:val="00B3395D"/>
    <w:rsid w:val="00B33BBB"/>
    <w:rsid w:val="00B33C0D"/>
    <w:rsid w:val="00B33C98"/>
    <w:rsid w:val="00B33E11"/>
    <w:rsid w:val="00B33E88"/>
    <w:rsid w:val="00B33F06"/>
    <w:rsid w:val="00B33FBA"/>
    <w:rsid w:val="00B340CD"/>
    <w:rsid w:val="00B34160"/>
    <w:rsid w:val="00B34239"/>
    <w:rsid w:val="00B34260"/>
    <w:rsid w:val="00B342D0"/>
    <w:rsid w:val="00B343D1"/>
    <w:rsid w:val="00B344A0"/>
    <w:rsid w:val="00B34555"/>
    <w:rsid w:val="00B3455A"/>
    <w:rsid w:val="00B345AB"/>
    <w:rsid w:val="00B34689"/>
    <w:rsid w:val="00B346F2"/>
    <w:rsid w:val="00B347AF"/>
    <w:rsid w:val="00B347C0"/>
    <w:rsid w:val="00B34966"/>
    <w:rsid w:val="00B34C4D"/>
    <w:rsid w:val="00B34D54"/>
    <w:rsid w:val="00B34D89"/>
    <w:rsid w:val="00B34DB8"/>
    <w:rsid w:val="00B34E11"/>
    <w:rsid w:val="00B34F5A"/>
    <w:rsid w:val="00B34F63"/>
    <w:rsid w:val="00B35014"/>
    <w:rsid w:val="00B3505B"/>
    <w:rsid w:val="00B3519E"/>
    <w:rsid w:val="00B351B1"/>
    <w:rsid w:val="00B352CB"/>
    <w:rsid w:val="00B353C9"/>
    <w:rsid w:val="00B355BA"/>
    <w:rsid w:val="00B35670"/>
    <w:rsid w:val="00B3572E"/>
    <w:rsid w:val="00B35785"/>
    <w:rsid w:val="00B3579C"/>
    <w:rsid w:val="00B35810"/>
    <w:rsid w:val="00B35969"/>
    <w:rsid w:val="00B359D5"/>
    <w:rsid w:val="00B359E1"/>
    <w:rsid w:val="00B35A37"/>
    <w:rsid w:val="00B35B6C"/>
    <w:rsid w:val="00B35C07"/>
    <w:rsid w:val="00B35C60"/>
    <w:rsid w:val="00B35CAF"/>
    <w:rsid w:val="00B35DC6"/>
    <w:rsid w:val="00B35DDB"/>
    <w:rsid w:val="00B35E17"/>
    <w:rsid w:val="00B35EDF"/>
    <w:rsid w:val="00B35F07"/>
    <w:rsid w:val="00B35F89"/>
    <w:rsid w:val="00B35FB8"/>
    <w:rsid w:val="00B35FF9"/>
    <w:rsid w:val="00B3605E"/>
    <w:rsid w:val="00B3612F"/>
    <w:rsid w:val="00B362A3"/>
    <w:rsid w:val="00B362E8"/>
    <w:rsid w:val="00B363BC"/>
    <w:rsid w:val="00B363D7"/>
    <w:rsid w:val="00B36484"/>
    <w:rsid w:val="00B365A7"/>
    <w:rsid w:val="00B365FC"/>
    <w:rsid w:val="00B3666F"/>
    <w:rsid w:val="00B366A3"/>
    <w:rsid w:val="00B3673A"/>
    <w:rsid w:val="00B368CB"/>
    <w:rsid w:val="00B36ABC"/>
    <w:rsid w:val="00B36C78"/>
    <w:rsid w:val="00B36CC4"/>
    <w:rsid w:val="00B36CCE"/>
    <w:rsid w:val="00B36CE1"/>
    <w:rsid w:val="00B36D00"/>
    <w:rsid w:val="00B36DB3"/>
    <w:rsid w:val="00B36ED8"/>
    <w:rsid w:val="00B36F21"/>
    <w:rsid w:val="00B36FB6"/>
    <w:rsid w:val="00B36FDA"/>
    <w:rsid w:val="00B3703C"/>
    <w:rsid w:val="00B370FF"/>
    <w:rsid w:val="00B3717F"/>
    <w:rsid w:val="00B371EC"/>
    <w:rsid w:val="00B372C4"/>
    <w:rsid w:val="00B372F0"/>
    <w:rsid w:val="00B37345"/>
    <w:rsid w:val="00B3739E"/>
    <w:rsid w:val="00B3742C"/>
    <w:rsid w:val="00B37449"/>
    <w:rsid w:val="00B37468"/>
    <w:rsid w:val="00B374B1"/>
    <w:rsid w:val="00B3753C"/>
    <w:rsid w:val="00B37584"/>
    <w:rsid w:val="00B375B5"/>
    <w:rsid w:val="00B377B4"/>
    <w:rsid w:val="00B377BD"/>
    <w:rsid w:val="00B37908"/>
    <w:rsid w:val="00B37930"/>
    <w:rsid w:val="00B37A90"/>
    <w:rsid w:val="00B37ADD"/>
    <w:rsid w:val="00B37AF8"/>
    <w:rsid w:val="00B37DB9"/>
    <w:rsid w:val="00B37EEC"/>
    <w:rsid w:val="00B37F0F"/>
    <w:rsid w:val="00B37F32"/>
    <w:rsid w:val="00B37FB7"/>
    <w:rsid w:val="00B40075"/>
    <w:rsid w:val="00B400C0"/>
    <w:rsid w:val="00B4012B"/>
    <w:rsid w:val="00B4017A"/>
    <w:rsid w:val="00B403E3"/>
    <w:rsid w:val="00B403EF"/>
    <w:rsid w:val="00B40402"/>
    <w:rsid w:val="00B4049A"/>
    <w:rsid w:val="00B404EE"/>
    <w:rsid w:val="00B406C7"/>
    <w:rsid w:val="00B406DE"/>
    <w:rsid w:val="00B4071D"/>
    <w:rsid w:val="00B4072A"/>
    <w:rsid w:val="00B40849"/>
    <w:rsid w:val="00B408C2"/>
    <w:rsid w:val="00B409C6"/>
    <w:rsid w:val="00B409E8"/>
    <w:rsid w:val="00B40A67"/>
    <w:rsid w:val="00B40B38"/>
    <w:rsid w:val="00B40B53"/>
    <w:rsid w:val="00B40BE6"/>
    <w:rsid w:val="00B40E0B"/>
    <w:rsid w:val="00B40E88"/>
    <w:rsid w:val="00B40EDB"/>
    <w:rsid w:val="00B40EF7"/>
    <w:rsid w:val="00B40F31"/>
    <w:rsid w:val="00B412A5"/>
    <w:rsid w:val="00B41486"/>
    <w:rsid w:val="00B4160B"/>
    <w:rsid w:val="00B41656"/>
    <w:rsid w:val="00B416AD"/>
    <w:rsid w:val="00B416BC"/>
    <w:rsid w:val="00B41708"/>
    <w:rsid w:val="00B41719"/>
    <w:rsid w:val="00B4175C"/>
    <w:rsid w:val="00B418A0"/>
    <w:rsid w:val="00B41C19"/>
    <w:rsid w:val="00B41C71"/>
    <w:rsid w:val="00B41D04"/>
    <w:rsid w:val="00B41D35"/>
    <w:rsid w:val="00B41D91"/>
    <w:rsid w:val="00B41E9E"/>
    <w:rsid w:val="00B41ED6"/>
    <w:rsid w:val="00B41F47"/>
    <w:rsid w:val="00B41FB1"/>
    <w:rsid w:val="00B42074"/>
    <w:rsid w:val="00B4216A"/>
    <w:rsid w:val="00B421B6"/>
    <w:rsid w:val="00B42240"/>
    <w:rsid w:val="00B4231E"/>
    <w:rsid w:val="00B42321"/>
    <w:rsid w:val="00B4238B"/>
    <w:rsid w:val="00B424FC"/>
    <w:rsid w:val="00B425BF"/>
    <w:rsid w:val="00B42651"/>
    <w:rsid w:val="00B4267D"/>
    <w:rsid w:val="00B4268E"/>
    <w:rsid w:val="00B4273A"/>
    <w:rsid w:val="00B4280A"/>
    <w:rsid w:val="00B42828"/>
    <w:rsid w:val="00B42959"/>
    <w:rsid w:val="00B42965"/>
    <w:rsid w:val="00B429B6"/>
    <w:rsid w:val="00B42A01"/>
    <w:rsid w:val="00B42AAC"/>
    <w:rsid w:val="00B42AD9"/>
    <w:rsid w:val="00B42C64"/>
    <w:rsid w:val="00B42D44"/>
    <w:rsid w:val="00B42D5E"/>
    <w:rsid w:val="00B42D95"/>
    <w:rsid w:val="00B42DF2"/>
    <w:rsid w:val="00B42E44"/>
    <w:rsid w:val="00B42E74"/>
    <w:rsid w:val="00B430A5"/>
    <w:rsid w:val="00B43126"/>
    <w:rsid w:val="00B4317A"/>
    <w:rsid w:val="00B4327A"/>
    <w:rsid w:val="00B43290"/>
    <w:rsid w:val="00B432BD"/>
    <w:rsid w:val="00B432EB"/>
    <w:rsid w:val="00B43384"/>
    <w:rsid w:val="00B43449"/>
    <w:rsid w:val="00B4348A"/>
    <w:rsid w:val="00B4349E"/>
    <w:rsid w:val="00B434C3"/>
    <w:rsid w:val="00B434CE"/>
    <w:rsid w:val="00B434D0"/>
    <w:rsid w:val="00B434D2"/>
    <w:rsid w:val="00B434DC"/>
    <w:rsid w:val="00B4350D"/>
    <w:rsid w:val="00B43510"/>
    <w:rsid w:val="00B4352E"/>
    <w:rsid w:val="00B435A0"/>
    <w:rsid w:val="00B435CE"/>
    <w:rsid w:val="00B43670"/>
    <w:rsid w:val="00B436C4"/>
    <w:rsid w:val="00B43A32"/>
    <w:rsid w:val="00B43BD8"/>
    <w:rsid w:val="00B43CC3"/>
    <w:rsid w:val="00B43E52"/>
    <w:rsid w:val="00B43F74"/>
    <w:rsid w:val="00B44007"/>
    <w:rsid w:val="00B441DA"/>
    <w:rsid w:val="00B44226"/>
    <w:rsid w:val="00B44310"/>
    <w:rsid w:val="00B44312"/>
    <w:rsid w:val="00B44313"/>
    <w:rsid w:val="00B444F2"/>
    <w:rsid w:val="00B445A6"/>
    <w:rsid w:val="00B44635"/>
    <w:rsid w:val="00B447CB"/>
    <w:rsid w:val="00B447DC"/>
    <w:rsid w:val="00B447F4"/>
    <w:rsid w:val="00B448B2"/>
    <w:rsid w:val="00B4495B"/>
    <w:rsid w:val="00B44999"/>
    <w:rsid w:val="00B44A38"/>
    <w:rsid w:val="00B44AC2"/>
    <w:rsid w:val="00B44B65"/>
    <w:rsid w:val="00B44C64"/>
    <w:rsid w:val="00B44D86"/>
    <w:rsid w:val="00B44D93"/>
    <w:rsid w:val="00B44EC2"/>
    <w:rsid w:val="00B44EF0"/>
    <w:rsid w:val="00B44F03"/>
    <w:rsid w:val="00B44F17"/>
    <w:rsid w:val="00B44F6D"/>
    <w:rsid w:val="00B44F76"/>
    <w:rsid w:val="00B44FD7"/>
    <w:rsid w:val="00B45019"/>
    <w:rsid w:val="00B4505C"/>
    <w:rsid w:val="00B45076"/>
    <w:rsid w:val="00B450C9"/>
    <w:rsid w:val="00B451F7"/>
    <w:rsid w:val="00B45211"/>
    <w:rsid w:val="00B45220"/>
    <w:rsid w:val="00B45228"/>
    <w:rsid w:val="00B452F3"/>
    <w:rsid w:val="00B45331"/>
    <w:rsid w:val="00B45397"/>
    <w:rsid w:val="00B45414"/>
    <w:rsid w:val="00B45417"/>
    <w:rsid w:val="00B4542C"/>
    <w:rsid w:val="00B4547C"/>
    <w:rsid w:val="00B454A5"/>
    <w:rsid w:val="00B454AF"/>
    <w:rsid w:val="00B45523"/>
    <w:rsid w:val="00B4559F"/>
    <w:rsid w:val="00B45603"/>
    <w:rsid w:val="00B457E2"/>
    <w:rsid w:val="00B45905"/>
    <w:rsid w:val="00B45ADA"/>
    <w:rsid w:val="00B45B15"/>
    <w:rsid w:val="00B45B1D"/>
    <w:rsid w:val="00B45B2B"/>
    <w:rsid w:val="00B45B79"/>
    <w:rsid w:val="00B45BFA"/>
    <w:rsid w:val="00B45CB5"/>
    <w:rsid w:val="00B45D01"/>
    <w:rsid w:val="00B45E0B"/>
    <w:rsid w:val="00B45E1B"/>
    <w:rsid w:val="00B45EB1"/>
    <w:rsid w:val="00B45FB1"/>
    <w:rsid w:val="00B46178"/>
    <w:rsid w:val="00B46196"/>
    <w:rsid w:val="00B461E9"/>
    <w:rsid w:val="00B46222"/>
    <w:rsid w:val="00B46252"/>
    <w:rsid w:val="00B4628A"/>
    <w:rsid w:val="00B462F3"/>
    <w:rsid w:val="00B46344"/>
    <w:rsid w:val="00B463E1"/>
    <w:rsid w:val="00B4643D"/>
    <w:rsid w:val="00B4656C"/>
    <w:rsid w:val="00B46658"/>
    <w:rsid w:val="00B46674"/>
    <w:rsid w:val="00B46770"/>
    <w:rsid w:val="00B4693F"/>
    <w:rsid w:val="00B469E6"/>
    <w:rsid w:val="00B46AA0"/>
    <w:rsid w:val="00B46CEB"/>
    <w:rsid w:val="00B46F11"/>
    <w:rsid w:val="00B46F24"/>
    <w:rsid w:val="00B46F86"/>
    <w:rsid w:val="00B470B6"/>
    <w:rsid w:val="00B470D1"/>
    <w:rsid w:val="00B47151"/>
    <w:rsid w:val="00B471F1"/>
    <w:rsid w:val="00B47243"/>
    <w:rsid w:val="00B47261"/>
    <w:rsid w:val="00B47315"/>
    <w:rsid w:val="00B47337"/>
    <w:rsid w:val="00B4733A"/>
    <w:rsid w:val="00B4733E"/>
    <w:rsid w:val="00B47349"/>
    <w:rsid w:val="00B47524"/>
    <w:rsid w:val="00B475C9"/>
    <w:rsid w:val="00B475D6"/>
    <w:rsid w:val="00B475ED"/>
    <w:rsid w:val="00B476B8"/>
    <w:rsid w:val="00B47747"/>
    <w:rsid w:val="00B477BA"/>
    <w:rsid w:val="00B47896"/>
    <w:rsid w:val="00B4790D"/>
    <w:rsid w:val="00B47A68"/>
    <w:rsid w:val="00B47A8F"/>
    <w:rsid w:val="00B47BD2"/>
    <w:rsid w:val="00B47D3D"/>
    <w:rsid w:val="00B47DF5"/>
    <w:rsid w:val="00B47E06"/>
    <w:rsid w:val="00B47FDC"/>
    <w:rsid w:val="00B47FDE"/>
    <w:rsid w:val="00B50018"/>
    <w:rsid w:val="00B50124"/>
    <w:rsid w:val="00B50154"/>
    <w:rsid w:val="00B50279"/>
    <w:rsid w:val="00B5028F"/>
    <w:rsid w:val="00B50464"/>
    <w:rsid w:val="00B50473"/>
    <w:rsid w:val="00B5063E"/>
    <w:rsid w:val="00B506EC"/>
    <w:rsid w:val="00B507B8"/>
    <w:rsid w:val="00B507BB"/>
    <w:rsid w:val="00B508D6"/>
    <w:rsid w:val="00B50972"/>
    <w:rsid w:val="00B50A57"/>
    <w:rsid w:val="00B50A68"/>
    <w:rsid w:val="00B50B0F"/>
    <w:rsid w:val="00B50B40"/>
    <w:rsid w:val="00B50C2A"/>
    <w:rsid w:val="00B50CF0"/>
    <w:rsid w:val="00B50E6B"/>
    <w:rsid w:val="00B51005"/>
    <w:rsid w:val="00B510D8"/>
    <w:rsid w:val="00B510DF"/>
    <w:rsid w:val="00B51148"/>
    <w:rsid w:val="00B51284"/>
    <w:rsid w:val="00B51290"/>
    <w:rsid w:val="00B51303"/>
    <w:rsid w:val="00B514AD"/>
    <w:rsid w:val="00B51552"/>
    <w:rsid w:val="00B51692"/>
    <w:rsid w:val="00B517D6"/>
    <w:rsid w:val="00B51811"/>
    <w:rsid w:val="00B51970"/>
    <w:rsid w:val="00B51BBC"/>
    <w:rsid w:val="00B51CDC"/>
    <w:rsid w:val="00B51D68"/>
    <w:rsid w:val="00B51D76"/>
    <w:rsid w:val="00B51E15"/>
    <w:rsid w:val="00B51EC5"/>
    <w:rsid w:val="00B51F1B"/>
    <w:rsid w:val="00B51F6F"/>
    <w:rsid w:val="00B51FB4"/>
    <w:rsid w:val="00B5203D"/>
    <w:rsid w:val="00B52169"/>
    <w:rsid w:val="00B52170"/>
    <w:rsid w:val="00B52212"/>
    <w:rsid w:val="00B5224C"/>
    <w:rsid w:val="00B522E4"/>
    <w:rsid w:val="00B523EA"/>
    <w:rsid w:val="00B524B4"/>
    <w:rsid w:val="00B52572"/>
    <w:rsid w:val="00B5272D"/>
    <w:rsid w:val="00B5272F"/>
    <w:rsid w:val="00B5275C"/>
    <w:rsid w:val="00B527D3"/>
    <w:rsid w:val="00B52A7C"/>
    <w:rsid w:val="00B52AEC"/>
    <w:rsid w:val="00B52BAB"/>
    <w:rsid w:val="00B52BF0"/>
    <w:rsid w:val="00B52C27"/>
    <w:rsid w:val="00B52C32"/>
    <w:rsid w:val="00B52CED"/>
    <w:rsid w:val="00B52D21"/>
    <w:rsid w:val="00B52E57"/>
    <w:rsid w:val="00B52EC3"/>
    <w:rsid w:val="00B52ECF"/>
    <w:rsid w:val="00B52F51"/>
    <w:rsid w:val="00B52FC8"/>
    <w:rsid w:val="00B5306E"/>
    <w:rsid w:val="00B5307B"/>
    <w:rsid w:val="00B5315C"/>
    <w:rsid w:val="00B53212"/>
    <w:rsid w:val="00B532B2"/>
    <w:rsid w:val="00B533CB"/>
    <w:rsid w:val="00B534D3"/>
    <w:rsid w:val="00B535DD"/>
    <w:rsid w:val="00B53643"/>
    <w:rsid w:val="00B53673"/>
    <w:rsid w:val="00B5369A"/>
    <w:rsid w:val="00B5371F"/>
    <w:rsid w:val="00B53820"/>
    <w:rsid w:val="00B5389A"/>
    <w:rsid w:val="00B53950"/>
    <w:rsid w:val="00B539F9"/>
    <w:rsid w:val="00B53A21"/>
    <w:rsid w:val="00B53A86"/>
    <w:rsid w:val="00B53B49"/>
    <w:rsid w:val="00B53B58"/>
    <w:rsid w:val="00B53C35"/>
    <w:rsid w:val="00B53D13"/>
    <w:rsid w:val="00B53E55"/>
    <w:rsid w:val="00B541BA"/>
    <w:rsid w:val="00B5422C"/>
    <w:rsid w:val="00B54291"/>
    <w:rsid w:val="00B54323"/>
    <w:rsid w:val="00B54405"/>
    <w:rsid w:val="00B54407"/>
    <w:rsid w:val="00B54440"/>
    <w:rsid w:val="00B54454"/>
    <w:rsid w:val="00B544A6"/>
    <w:rsid w:val="00B544D7"/>
    <w:rsid w:val="00B54515"/>
    <w:rsid w:val="00B5460E"/>
    <w:rsid w:val="00B54631"/>
    <w:rsid w:val="00B54781"/>
    <w:rsid w:val="00B547CD"/>
    <w:rsid w:val="00B547D4"/>
    <w:rsid w:val="00B54862"/>
    <w:rsid w:val="00B548FA"/>
    <w:rsid w:val="00B5490F"/>
    <w:rsid w:val="00B5491B"/>
    <w:rsid w:val="00B54931"/>
    <w:rsid w:val="00B549BA"/>
    <w:rsid w:val="00B54A0A"/>
    <w:rsid w:val="00B54AB3"/>
    <w:rsid w:val="00B54ADE"/>
    <w:rsid w:val="00B54B27"/>
    <w:rsid w:val="00B54B42"/>
    <w:rsid w:val="00B54BFB"/>
    <w:rsid w:val="00B54C83"/>
    <w:rsid w:val="00B54CA9"/>
    <w:rsid w:val="00B54F21"/>
    <w:rsid w:val="00B54F71"/>
    <w:rsid w:val="00B5508B"/>
    <w:rsid w:val="00B550E8"/>
    <w:rsid w:val="00B5511C"/>
    <w:rsid w:val="00B55181"/>
    <w:rsid w:val="00B55199"/>
    <w:rsid w:val="00B551F5"/>
    <w:rsid w:val="00B552A2"/>
    <w:rsid w:val="00B55348"/>
    <w:rsid w:val="00B55464"/>
    <w:rsid w:val="00B5547B"/>
    <w:rsid w:val="00B5553F"/>
    <w:rsid w:val="00B55618"/>
    <w:rsid w:val="00B5563C"/>
    <w:rsid w:val="00B55679"/>
    <w:rsid w:val="00B55753"/>
    <w:rsid w:val="00B55821"/>
    <w:rsid w:val="00B559BF"/>
    <w:rsid w:val="00B55A62"/>
    <w:rsid w:val="00B55B59"/>
    <w:rsid w:val="00B55CE0"/>
    <w:rsid w:val="00B55D0C"/>
    <w:rsid w:val="00B55DC4"/>
    <w:rsid w:val="00B55E59"/>
    <w:rsid w:val="00B55F25"/>
    <w:rsid w:val="00B55F6F"/>
    <w:rsid w:val="00B55F8A"/>
    <w:rsid w:val="00B55F8D"/>
    <w:rsid w:val="00B560B3"/>
    <w:rsid w:val="00B560CF"/>
    <w:rsid w:val="00B560E6"/>
    <w:rsid w:val="00B56182"/>
    <w:rsid w:val="00B561DF"/>
    <w:rsid w:val="00B56305"/>
    <w:rsid w:val="00B566C8"/>
    <w:rsid w:val="00B566E3"/>
    <w:rsid w:val="00B56761"/>
    <w:rsid w:val="00B568AB"/>
    <w:rsid w:val="00B56A6C"/>
    <w:rsid w:val="00B56CFE"/>
    <w:rsid w:val="00B56D05"/>
    <w:rsid w:val="00B56D57"/>
    <w:rsid w:val="00B56E0E"/>
    <w:rsid w:val="00B56FCE"/>
    <w:rsid w:val="00B56FF3"/>
    <w:rsid w:val="00B57151"/>
    <w:rsid w:val="00B571F5"/>
    <w:rsid w:val="00B5721F"/>
    <w:rsid w:val="00B5738E"/>
    <w:rsid w:val="00B573F4"/>
    <w:rsid w:val="00B57425"/>
    <w:rsid w:val="00B574E0"/>
    <w:rsid w:val="00B5765F"/>
    <w:rsid w:val="00B57678"/>
    <w:rsid w:val="00B576D7"/>
    <w:rsid w:val="00B5783C"/>
    <w:rsid w:val="00B57845"/>
    <w:rsid w:val="00B57A7B"/>
    <w:rsid w:val="00B57ABB"/>
    <w:rsid w:val="00B57AFD"/>
    <w:rsid w:val="00B57B4F"/>
    <w:rsid w:val="00B57E57"/>
    <w:rsid w:val="00B57EA9"/>
    <w:rsid w:val="00B57EB9"/>
    <w:rsid w:val="00B57F56"/>
    <w:rsid w:val="00B57F62"/>
    <w:rsid w:val="00B57F69"/>
    <w:rsid w:val="00B57FB3"/>
    <w:rsid w:val="00B6003A"/>
    <w:rsid w:val="00B600B0"/>
    <w:rsid w:val="00B600FD"/>
    <w:rsid w:val="00B60141"/>
    <w:rsid w:val="00B60301"/>
    <w:rsid w:val="00B6033C"/>
    <w:rsid w:val="00B60417"/>
    <w:rsid w:val="00B6044F"/>
    <w:rsid w:val="00B60454"/>
    <w:rsid w:val="00B604C2"/>
    <w:rsid w:val="00B605B8"/>
    <w:rsid w:val="00B6064D"/>
    <w:rsid w:val="00B60677"/>
    <w:rsid w:val="00B606E2"/>
    <w:rsid w:val="00B606EF"/>
    <w:rsid w:val="00B606FE"/>
    <w:rsid w:val="00B6074D"/>
    <w:rsid w:val="00B607C2"/>
    <w:rsid w:val="00B608D3"/>
    <w:rsid w:val="00B60937"/>
    <w:rsid w:val="00B609C6"/>
    <w:rsid w:val="00B609D6"/>
    <w:rsid w:val="00B60A7E"/>
    <w:rsid w:val="00B60C85"/>
    <w:rsid w:val="00B60D13"/>
    <w:rsid w:val="00B60F3C"/>
    <w:rsid w:val="00B610B3"/>
    <w:rsid w:val="00B610BC"/>
    <w:rsid w:val="00B610C7"/>
    <w:rsid w:val="00B61185"/>
    <w:rsid w:val="00B61242"/>
    <w:rsid w:val="00B612EA"/>
    <w:rsid w:val="00B612F5"/>
    <w:rsid w:val="00B6135C"/>
    <w:rsid w:val="00B61392"/>
    <w:rsid w:val="00B613B2"/>
    <w:rsid w:val="00B613E5"/>
    <w:rsid w:val="00B6149E"/>
    <w:rsid w:val="00B614C1"/>
    <w:rsid w:val="00B6161C"/>
    <w:rsid w:val="00B6166A"/>
    <w:rsid w:val="00B6170C"/>
    <w:rsid w:val="00B6171C"/>
    <w:rsid w:val="00B61799"/>
    <w:rsid w:val="00B61A45"/>
    <w:rsid w:val="00B61A84"/>
    <w:rsid w:val="00B61AC1"/>
    <w:rsid w:val="00B61B22"/>
    <w:rsid w:val="00B61B4A"/>
    <w:rsid w:val="00B61BDA"/>
    <w:rsid w:val="00B61CC8"/>
    <w:rsid w:val="00B61D1D"/>
    <w:rsid w:val="00B61E00"/>
    <w:rsid w:val="00B61E93"/>
    <w:rsid w:val="00B61F3D"/>
    <w:rsid w:val="00B6204C"/>
    <w:rsid w:val="00B6222C"/>
    <w:rsid w:val="00B623E7"/>
    <w:rsid w:val="00B6258E"/>
    <w:rsid w:val="00B62590"/>
    <w:rsid w:val="00B625B1"/>
    <w:rsid w:val="00B625BA"/>
    <w:rsid w:val="00B625BB"/>
    <w:rsid w:val="00B62736"/>
    <w:rsid w:val="00B62752"/>
    <w:rsid w:val="00B62807"/>
    <w:rsid w:val="00B6283C"/>
    <w:rsid w:val="00B62D0B"/>
    <w:rsid w:val="00B62D0D"/>
    <w:rsid w:val="00B62DB7"/>
    <w:rsid w:val="00B62DE3"/>
    <w:rsid w:val="00B62EAA"/>
    <w:rsid w:val="00B631EB"/>
    <w:rsid w:val="00B63316"/>
    <w:rsid w:val="00B633A8"/>
    <w:rsid w:val="00B633D9"/>
    <w:rsid w:val="00B63521"/>
    <w:rsid w:val="00B6352F"/>
    <w:rsid w:val="00B6369C"/>
    <w:rsid w:val="00B63752"/>
    <w:rsid w:val="00B63766"/>
    <w:rsid w:val="00B63784"/>
    <w:rsid w:val="00B638B3"/>
    <w:rsid w:val="00B63B3D"/>
    <w:rsid w:val="00B63B73"/>
    <w:rsid w:val="00B63B9F"/>
    <w:rsid w:val="00B63BCA"/>
    <w:rsid w:val="00B63C09"/>
    <w:rsid w:val="00B63C86"/>
    <w:rsid w:val="00B63C91"/>
    <w:rsid w:val="00B63D15"/>
    <w:rsid w:val="00B63D2C"/>
    <w:rsid w:val="00B63D3C"/>
    <w:rsid w:val="00B63F20"/>
    <w:rsid w:val="00B63F6D"/>
    <w:rsid w:val="00B63FAC"/>
    <w:rsid w:val="00B64034"/>
    <w:rsid w:val="00B64128"/>
    <w:rsid w:val="00B641BC"/>
    <w:rsid w:val="00B641F8"/>
    <w:rsid w:val="00B6422C"/>
    <w:rsid w:val="00B64257"/>
    <w:rsid w:val="00B642BA"/>
    <w:rsid w:val="00B64338"/>
    <w:rsid w:val="00B64372"/>
    <w:rsid w:val="00B64399"/>
    <w:rsid w:val="00B64413"/>
    <w:rsid w:val="00B64467"/>
    <w:rsid w:val="00B64520"/>
    <w:rsid w:val="00B64606"/>
    <w:rsid w:val="00B646DF"/>
    <w:rsid w:val="00B6473B"/>
    <w:rsid w:val="00B64759"/>
    <w:rsid w:val="00B647C6"/>
    <w:rsid w:val="00B64921"/>
    <w:rsid w:val="00B6493D"/>
    <w:rsid w:val="00B64A72"/>
    <w:rsid w:val="00B64CDD"/>
    <w:rsid w:val="00B64CF3"/>
    <w:rsid w:val="00B64D49"/>
    <w:rsid w:val="00B64D60"/>
    <w:rsid w:val="00B64DAD"/>
    <w:rsid w:val="00B64E4C"/>
    <w:rsid w:val="00B65012"/>
    <w:rsid w:val="00B65348"/>
    <w:rsid w:val="00B653E5"/>
    <w:rsid w:val="00B65410"/>
    <w:rsid w:val="00B65515"/>
    <w:rsid w:val="00B6555B"/>
    <w:rsid w:val="00B6556D"/>
    <w:rsid w:val="00B65669"/>
    <w:rsid w:val="00B65688"/>
    <w:rsid w:val="00B656AD"/>
    <w:rsid w:val="00B656C4"/>
    <w:rsid w:val="00B6579F"/>
    <w:rsid w:val="00B6593D"/>
    <w:rsid w:val="00B6594A"/>
    <w:rsid w:val="00B65A28"/>
    <w:rsid w:val="00B65A5D"/>
    <w:rsid w:val="00B65AFC"/>
    <w:rsid w:val="00B65B28"/>
    <w:rsid w:val="00B65B9E"/>
    <w:rsid w:val="00B65C04"/>
    <w:rsid w:val="00B65CCA"/>
    <w:rsid w:val="00B65D74"/>
    <w:rsid w:val="00B65E7E"/>
    <w:rsid w:val="00B65F08"/>
    <w:rsid w:val="00B65F3E"/>
    <w:rsid w:val="00B65F62"/>
    <w:rsid w:val="00B65FAB"/>
    <w:rsid w:val="00B65FB7"/>
    <w:rsid w:val="00B66036"/>
    <w:rsid w:val="00B66341"/>
    <w:rsid w:val="00B66366"/>
    <w:rsid w:val="00B663B4"/>
    <w:rsid w:val="00B66454"/>
    <w:rsid w:val="00B664A0"/>
    <w:rsid w:val="00B66506"/>
    <w:rsid w:val="00B66748"/>
    <w:rsid w:val="00B6677D"/>
    <w:rsid w:val="00B6682F"/>
    <w:rsid w:val="00B6699E"/>
    <w:rsid w:val="00B66A05"/>
    <w:rsid w:val="00B66A11"/>
    <w:rsid w:val="00B66A52"/>
    <w:rsid w:val="00B66B88"/>
    <w:rsid w:val="00B66B8E"/>
    <w:rsid w:val="00B66C9A"/>
    <w:rsid w:val="00B66D5E"/>
    <w:rsid w:val="00B66D6A"/>
    <w:rsid w:val="00B66DB2"/>
    <w:rsid w:val="00B66E94"/>
    <w:rsid w:val="00B66F18"/>
    <w:rsid w:val="00B66FA5"/>
    <w:rsid w:val="00B67123"/>
    <w:rsid w:val="00B67138"/>
    <w:rsid w:val="00B67149"/>
    <w:rsid w:val="00B67154"/>
    <w:rsid w:val="00B672DA"/>
    <w:rsid w:val="00B672F0"/>
    <w:rsid w:val="00B67453"/>
    <w:rsid w:val="00B67562"/>
    <w:rsid w:val="00B67674"/>
    <w:rsid w:val="00B67682"/>
    <w:rsid w:val="00B67695"/>
    <w:rsid w:val="00B677B2"/>
    <w:rsid w:val="00B677DC"/>
    <w:rsid w:val="00B67858"/>
    <w:rsid w:val="00B6787E"/>
    <w:rsid w:val="00B6795F"/>
    <w:rsid w:val="00B6797C"/>
    <w:rsid w:val="00B67A85"/>
    <w:rsid w:val="00B67A9A"/>
    <w:rsid w:val="00B67B78"/>
    <w:rsid w:val="00B67C7A"/>
    <w:rsid w:val="00B67CB8"/>
    <w:rsid w:val="00B67D1C"/>
    <w:rsid w:val="00B67D78"/>
    <w:rsid w:val="00B67EE5"/>
    <w:rsid w:val="00B67F2D"/>
    <w:rsid w:val="00B7003D"/>
    <w:rsid w:val="00B70138"/>
    <w:rsid w:val="00B7016F"/>
    <w:rsid w:val="00B701CA"/>
    <w:rsid w:val="00B7023E"/>
    <w:rsid w:val="00B70256"/>
    <w:rsid w:val="00B70299"/>
    <w:rsid w:val="00B70314"/>
    <w:rsid w:val="00B703D6"/>
    <w:rsid w:val="00B703E1"/>
    <w:rsid w:val="00B70431"/>
    <w:rsid w:val="00B70486"/>
    <w:rsid w:val="00B7048D"/>
    <w:rsid w:val="00B7049B"/>
    <w:rsid w:val="00B7059A"/>
    <w:rsid w:val="00B705D1"/>
    <w:rsid w:val="00B7062A"/>
    <w:rsid w:val="00B7066E"/>
    <w:rsid w:val="00B70702"/>
    <w:rsid w:val="00B70772"/>
    <w:rsid w:val="00B7078D"/>
    <w:rsid w:val="00B70795"/>
    <w:rsid w:val="00B707D0"/>
    <w:rsid w:val="00B7082C"/>
    <w:rsid w:val="00B7084C"/>
    <w:rsid w:val="00B708AA"/>
    <w:rsid w:val="00B70967"/>
    <w:rsid w:val="00B70969"/>
    <w:rsid w:val="00B70A57"/>
    <w:rsid w:val="00B70ABB"/>
    <w:rsid w:val="00B70BA0"/>
    <w:rsid w:val="00B70D06"/>
    <w:rsid w:val="00B70D19"/>
    <w:rsid w:val="00B70E2A"/>
    <w:rsid w:val="00B70FEA"/>
    <w:rsid w:val="00B7100E"/>
    <w:rsid w:val="00B71059"/>
    <w:rsid w:val="00B71093"/>
    <w:rsid w:val="00B71161"/>
    <w:rsid w:val="00B711A0"/>
    <w:rsid w:val="00B711DB"/>
    <w:rsid w:val="00B7156F"/>
    <w:rsid w:val="00B715A0"/>
    <w:rsid w:val="00B716FB"/>
    <w:rsid w:val="00B717A3"/>
    <w:rsid w:val="00B718E6"/>
    <w:rsid w:val="00B7190B"/>
    <w:rsid w:val="00B71957"/>
    <w:rsid w:val="00B71964"/>
    <w:rsid w:val="00B719D9"/>
    <w:rsid w:val="00B71A35"/>
    <w:rsid w:val="00B71AAB"/>
    <w:rsid w:val="00B71AD1"/>
    <w:rsid w:val="00B71BE7"/>
    <w:rsid w:val="00B71BF7"/>
    <w:rsid w:val="00B71CD5"/>
    <w:rsid w:val="00B71D25"/>
    <w:rsid w:val="00B71F93"/>
    <w:rsid w:val="00B71FA1"/>
    <w:rsid w:val="00B71FD2"/>
    <w:rsid w:val="00B7204C"/>
    <w:rsid w:val="00B7208B"/>
    <w:rsid w:val="00B7213B"/>
    <w:rsid w:val="00B7228A"/>
    <w:rsid w:val="00B7236C"/>
    <w:rsid w:val="00B724F4"/>
    <w:rsid w:val="00B7252C"/>
    <w:rsid w:val="00B726A3"/>
    <w:rsid w:val="00B726B5"/>
    <w:rsid w:val="00B726C4"/>
    <w:rsid w:val="00B72747"/>
    <w:rsid w:val="00B7279B"/>
    <w:rsid w:val="00B729A6"/>
    <w:rsid w:val="00B729B9"/>
    <w:rsid w:val="00B72A5B"/>
    <w:rsid w:val="00B72AF2"/>
    <w:rsid w:val="00B72B41"/>
    <w:rsid w:val="00B72B90"/>
    <w:rsid w:val="00B72C12"/>
    <w:rsid w:val="00B72CB6"/>
    <w:rsid w:val="00B72CCC"/>
    <w:rsid w:val="00B72E19"/>
    <w:rsid w:val="00B72EF8"/>
    <w:rsid w:val="00B72FD1"/>
    <w:rsid w:val="00B72FDC"/>
    <w:rsid w:val="00B73031"/>
    <w:rsid w:val="00B73078"/>
    <w:rsid w:val="00B73093"/>
    <w:rsid w:val="00B730D5"/>
    <w:rsid w:val="00B73117"/>
    <w:rsid w:val="00B73331"/>
    <w:rsid w:val="00B733A2"/>
    <w:rsid w:val="00B733C0"/>
    <w:rsid w:val="00B734DC"/>
    <w:rsid w:val="00B73525"/>
    <w:rsid w:val="00B73530"/>
    <w:rsid w:val="00B73555"/>
    <w:rsid w:val="00B73564"/>
    <w:rsid w:val="00B7359B"/>
    <w:rsid w:val="00B73624"/>
    <w:rsid w:val="00B7369B"/>
    <w:rsid w:val="00B736CF"/>
    <w:rsid w:val="00B737BA"/>
    <w:rsid w:val="00B737DA"/>
    <w:rsid w:val="00B737DF"/>
    <w:rsid w:val="00B7394A"/>
    <w:rsid w:val="00B739E6"/>
    <w:rsid w:val="00B73AB8"/>
    <w:rsid w:val="00B73B00"/>
    <w:rsid w:val="00B73B17"/>
    <w:rsid w:val="00B73B5D"/>
    <w:rsid w:val="00B73C21"/>
    <w:rsid w:val="00B73C6F"/>
    <w:rsid w:val="00B73C9A"/>
    <w:rsid w:val="00B73CA2"/>
    <w:rsid w:val="00B73CCE"/>
    <w:rsid w:val="00B73CED"/>
    <w:rsid w:val="00B73DDF"/>
    <w:rsid w:val="00B73E0B"/>
    <w:rsid w:val="00B73F4D"/>
    <w:rsid w:val="00B7400B"/>
    <w:rsid w:val="00B74019"/>
    <w:rsid w:val="00B741E9"/>
    <w:rsid w:val="00B742E1"/>
    <w:rsid w:val="00B7432C"/>
    <w:rsid w:val="00B743B0"/>
    <w:rsid w:val="00B744F4"/>
    <w:rsid w:val="00B74636"/>
    <w:rsid w:val="00B74650"/>
    <w:rsid w:val="00B7466F"/>
    <w:rsid w:val="00B74794"/>
    <w:rsid w:val="00B748CC"/>
    <w:rsid w:val="00B74973"/>
    <w:rsid w:val="00B74AA5"/>
    <w:rsid w:val="00B74B04"/>
    <w:rsid w:val="00B74B4D"/>
    <w:rsid w:val="00B74E0C"/>
    <w:rsid w:val="00B74E9D"/>
    <w:rsid w:val="00B74FD0"/>
    <w:rsid w:val="00B7501C"/>
    <w:rsid w:val="00B75181"/>
    <w:rsid w:val="00B75227"/>
    <w:rsid w:val="00B75273"/>
    <w:rsid w:val="00B752F0"/>
    <w:rsid w:val="00B7541E"/>
    <w:rsid w:val="00B7549D"/>
    <w:rsid w:val="00B75529"/>
    <w:rsid w:val="00B7558E"/>
    <w:rsid w:val="00B756AC"/>
    <w:rsid w:val="00B756E4"/>
    <w:rsid w:val="00B7570E"/>
    <w:rsid w:val="00B75841"/>
    <w:rsid w:val="00B758B0"/>
    <w:rsid w:val="00B7598E"/>
    <w:rsid w:val="00B75A13"/>
    <w:rsid w:val="00B75C91"/>
    <w:rsid w:val="00B75CDF"/>
    <w:rsid w:val="00B75E53"/>
    <w:rsid w:val="00B75EBB"/>
    <w:rsid w:val="00B75F08"/>
    <w:rsid w:val="00B75F0D"/>
    <w:rsid w:val="00B75F73"/>
    <w:rsid w:val="00B76082"/>
    <w:rsid w:val="00B760D5"/>
    <w:rsid w:val="00B76104"/>
    <w:rsid w:val="00B761BB"/>
    <w:rsid w:val="00B76249"/>
    <w:rsid w:val="00B76259"/>
    <w:rsid w:val="00B7625C"/>
    <w:rsid w:val="00B762C9"/>
    <w:rsid w:val="00B7639C"/>
    <w:rsid w:val="00B763D3"/>
    <w:rsid w:val="00B7640B"/>
    <w:rsid w:val="00B76465"/>
    <w:rsid w:val="00B76468"/>
    <w:rsid w:val="00B765BC"/>
    <w:rsid w:val="00B7662E"/>
    <w:rsid w:val="00B766E2"/>
    <w:rsid w:val="00B76772"/>
    <w:rsid w:val="00B767FD"/>
    <w:rsid w:val="00B7682C"/>
    <w:rsid w:val="00B76899"/>
    <w:rsid w:val="00B76B48"/>
    <w:rsid w:val="00B76BE2"/>
    <w:rsid w:val="00B76D55"/>
    <w:rsid w:val="00B76D60"/>
    <w:rsid w:val="00B76DC5"/>
    <w:rsid w:val="00B77038"/>
    <w:rsid w:val="00B7704A"/>
    <w:rsid w:val="00B77094"/>
    <w:rsid w:val="00B77185"/>
    <w:rsid w:val="00B7721B"/>
    <w:rsid w:val="00B772C5"/>
    <w:rsid w:val="00B772CE"/>
    <w:rsid w:val="00B7745D"/>
    <w:rsid w:val="00B774E1"/>
    <w:rsid w:val="00B77698"/>
    <w:rsid w:val="00B7784A"/>
    <w:rsid w:val="00B779A6"/>
    <w:rsid w:val="00B779E5"/>
    <w:rsid w:val="00B77B2E"/>
    <w:rsid w:val="00B77B61"/>
    <w:rsid w:val="00B77C25"/>
    <w:rsid w:val="00B77D9E"/>
    <w:rsid w:val="00B77DE9"/>
    <w:rsid w:val="00B77E4E"/>
    <w:rsid w:val="00B77F77"/>
    <w:rsid w:val="00B80120"/>
    <w:rsid w:val="00B8020E"/>
    <w:rsid w:val="00B803BA"/>
    <w:rsid w:val="00B803D6"/>
    <w:rsid w:val="00B803F9"/>
    <w:rsid w:val="00B805A8"/>
    <w:rsid w:val="00B80632"/>
    <w:rsid w:val="00B807ED"/>
    <w:rsid w:val="00B80814"/>
    <w:rsid w:val="00B80899"/>
    <w:rsid w:val="00B80AB6"/>
    <w:rsid w:val="00B80B5A"/>
    <w:rsid w:val="00B80B6C"/>
    <w:rsid w:val="00B80BDA"/>
    <w:rsid w:val="00B80BFD"/>
    <w:rsid w:val="00B80DFB"/>
    <w:rsid w:val="00B80E01"/>
    <w:rsid w:val="00B80E45"/>
    <w:rsid w:val="00B80F9C"/>
    <w:rsid w:val="00B80FD9"/>
    <w:rsid w:val="00B81304"/>
    <w:rsid w:val="00B81368"/>
    <w:rsid w:val="00B81475"/>
    <w:rsid w:val="00B81489"/>
    <w:rsid w:val="00B815C7"/>
    <w:rsid w:val="00B81638"/>
    <w:rsid w:val="00B816FE"/>
    <w:rsid w:val="00B817A8"/>
    <w:rsid w:val="00B817E4"/>
    <w:rsid w:val="00B8198A"/>
    <w:rsid w:val="00B819C9"/>
    <w:rsid w:val="00B81B36"/>
    <w:rsid w:val="00B81F68"/>
    <w:rsid w:val="00B81F83"/>
    <w:rsid w:val="00B81F85"/>
    <w:rsid w:val="00B81FCD"/>
    <w:rsid w:val="00B82086"/>
    <w:rsid w:val="00B82158"/>
    <w:rsid w:val="00B82241"/>
    <w:rsid w:val="00B82296"/>
    <w:rsid w:val="00B822A2"/>
    <w:rsid w:val="00B82301"/>
    <w:rsid w:val="00B82428"/>
    <w:rsid w:val="00B824B2"/>
    <w:rsid w:val="00B824BE"/>
    <w:rsid w:val="00B82507"/>
    <w:rsid w:val="00B8252F"/>
    <w:rsid w:val="00B825B8"/>
    <w:rsid w:val="00B825FC"/>
    <w:rsid w:val="00B8273F"/>
    <w:rsid w:val="00B82793"/>
    <w:rsid w:val="00B8282F"/>
    <w:rsid w:val="00B8287B"/>
    <w:rsid w:val="00B82884"/>
    <w:rsid w:val="00B828C5"/>
    <w:rsid w:val="00B82934"/>
    <w:rsid w:val="00B8297F"/>
    <w:rsid w:val="00B82A29"/>
    <w:rsid w:val="00B82A76"/>
    <w:rsid w:val="00B82B2F"/>
    <w:rsid w:val="00B82B41"/>
    <w:rsid w:val="00B82B92"/>
    <w:rsid w:val="00B82BEC"/>
    <w:rsid w:val="00B82C43"/>
    <w:rsid w:val="00B82CBD"/>
    <w:rsid w:val="00B82D90"/>
    <w:rsid w:val="00B82E39"/>
    <w:rsid w:val="00B82E68"/>
    <w:rsid w:val="00B82ED0"/>
    <w:rsid w:val="00B82F56"/>
    <w:rsid w:val="00B83004"/>
    <w:rsid w:val="00B83069"/>
    <w:rsid w:val="00B8306B"/>
    <w:rsid w:val="00B8321C"/>
    <w:rsid w:val="00B83425"/>
    <w:rsid w:val="00B83429"/>
    <w:rsid w:val="00B8345F"/>
    <w:rsid w:val="00B83480"/>
    <w:rsid w:val="00B83506"/>
    <w:rsid w:val="00B83644"/>
    <w:rsid w:val="00B8365A"/>
    <w:rsid w:val="00B8368B"/>
    <w:rsid w:val="00B83709"/>
    <w:rsid w:val="00B83718"/>
    <w:rsid w:val="00B83761"/>
    <w:rsid w:val="00B8386F"/>
    <w:rsid w:val="00B838E2"/>
    <w:rsid w:val="00B838F6"/>
    <w:rsid w:val="00B83A87"/>
    <w:rsid w:val="00B83B33"/>
    <w:rsid w:val="00B83BAA"/>
    <w:rsid w:val="00B83C85"/>
    <w:rsid w:val="00B83CE7"/>
    <w:rsid w:val="00B83E06"/>
    <w:rsid w:val="00B83ECF"/>
    <w:rsid w:val="00B83F81"/>
    <w:rsid w:val="00B8406C"/>
    <w:rsid w:val="00B8416B"/>
    <w:rsid w:val="00B8422B"/>
    <w:rsid w:val="00B84379"/>
    <w:rsid w:val="00B843BF"/>
    <w:rsid w:val="00B84445"/>
    <w:rsid w:val="00B84475"/>
    <w:rsid w:val="00B8450D"/>
    <w:rsid w:val="00B845E7"/>
    <w:rsid w:val="00B84789"/>
    <w:rsid w:val="00B8478C"/>
    <w:rsid w:val="00B84888"/>
    <w:rsid w:val="00B848A5"/>
    <w:rsid w:val="00B84965"/>
    <w:rsid w:val="00B849FC"/>
    <w:rsid w:val="00B84A43"/>
    <w:rsid w:val="00B84AED"/>
    <w:rsid w:val="00B84DCF"/>
    <w:rsid w:val="00B84F05"/>
    <w:rsid w:val="00B84F47"/>
    <w:rsid w:val="00B84F65"/>
    <w:rsid w:val="00B8505C"/>
    <w:rsid w:val="00B851CB"/>
    <w:rsid w:val="00B8523A"/>
    <w:rsid w:val="00B8529F"/>
    <w:rsid w:val="00B85380"/>
    <w:rsid w:val="00B8538C"/>
    <w:rsid w:val="00B854AC"/>
    <w:rsid w:val="00B8553B"/>
    <w:rsid w:val="00B855AF"/>
    <w:rsid w:val="00B855C6"/>
    <w:rsid w:val="00B855FE"/>
    <w:rsid w:val="00B85684"/>
    <w:rsid w:val="00B856D9"/>
    <w:rsid w:val="00B857F9"/>
    <w:rsid w:val="00B85836"/>
    <w:rsid w:val="00B85929"/>
    <w:rsid w:val="00B85935"/>
    <w:rsid w:val="00B85962"/>
    <w:rsid w:val="00B85994"/>
    <w:rsid w:val="00B85A0E"/>
    <w:rsid w:val="00B85A22"/>
    <w:rsid w:val="00B85D12"/>
    <w:rsid w:val="00B85D87"/>
    <w:rsid w:val="00B85DE3"/>
    <w:rsid w:val="00B85DFD"/>
    <w:rsid w:val="00B85F44"/>
    <w:rsid w:val="00B85F67"/>
    <w:rsid w:val="00B85F6E"/>
    <w:rsid w:val="00B86008"/>
    <w:rsid w:val="00B86088"/>
    <w:rsid w:val="00B8616C"/>
    <w:rsid w:val="00B861AE"/>
    <w:rsid w:val="00B86312"/>
    <w:rsid w:val="00B8636B"/>
    <w:rsid w:val="00B863C4"/>
    <w:rsid w:val="00B865F7"/>
    <w:rsid w:val="00B866F7"/>
    <w:rsid w:val="00B86775"/>
    <w:rsid w:val="00B86777"/>
    <w:rsid w:val="00B86872"/>
    <w:rsid w:val="00B86889"/>
    <w:rsid w:val="00B86896"/>
    <w:rsid w:val="00B868E1"/>
    <w:rsid w:val="00B86A79"/>
    <w:rsid w:val="00B86B3F"/>
    <w:rsid w:val="00B86C85"/>
    <w:rsid w:val="00B86E0D"/>
    <w:rsid w:val="00B86EA2"/>
    <w:rsid w:val="00B86EE7"/>
    <w:rsid w:val="00B86F39"/>
    <w:rsid w:val="00B87065"/>
    <w:rsid w:val="00B870E7"/>
    <w:rsid w:val="00B871AE"/>
    <w:rsid w:val="00B87384"/>
    <w:rsid w:val="00B87394"/>
    <w:rsid w:val="00B8739E"/>
    <w:rsid w:val="00B873D8"/>
    <w:rsid w:val="00B87560"/>
    <w:rsid w:val="00B87690"/>
    <w:rsid w:val="00B878AC"/>
    <w:rsid w:val="00B878EB"/>
    <w:rsid w:val="00B879A0"/>
    <w:rsid w:val="00B87A9F"/>
    <w:rsid w:val="00B87CF1"/>
    <w:rsid w:val="00B87D23"/>
    <w:rsid w:val="00B87DAD"/>
    <w:rsid w:val="00B87DFB"/>
    <w:rsid w:val="00B87E67"/>
    <w:rsid w:val="00B87EC8"/>
    <w:rsid w:val="00B87F05"/>
    <w:rsid w:val="00B9001E"/>
    <w:rsid w:val="00B9011F"/>
    <w:rsid w:val="00B9019D"/>
    <w:rsid w:val="00B90409"/>
    <w:rsid w:val="00B9052B"/>
    <w:rsid w:val="00B90639"/>
    <w:rsid w:val="00B90673"/>
    <w:rsid w:val="00B908B1"/>
    <w:rsid w:val="00B9097C"/>
    <w:rsid w:val="00B90C2D"/>
    <w:rsid w:val="00B90D28"/>
    <w:rsid w:val="00B90E54"/>
    <w:rsid w:val="00B91070"/>
    <w:rsid w:val="00B9108A"/>
    <w:rsid w:val="00B911FD"/>
    <w:rsid w:val="00B91263"/>
    <w:rsid w:val="00B9126E"/>
    <w:rsid w:val="00B912F9"/>
    <w:rsid w:val="00B912FC"/>
    <w:rsid w:val="00B91328"/>
    <w:rsid w:val="00B915FF"/>
    <w:rsid w:val="00B91708"/>
    <w:rsid w:val="00B91798"/>
    <w:rsid w:val="00B917F2"/>
    <w:rsid w:val="00B91965"/>
    <w:rsid w:val="00B919F2"/>
    <w:rsid w:val="00B91AAC"/>
    <w:rsid w:val="00B91ACA"/>
    <w:rsid w:val="00B91B07"/>
    <w:rsid w:val="00B91B1A"/>
    <w:rsid w:val="00B91B2A"/>
    <w:rsid w:val="00B91BE9"/>
    <w:rsid w:val="00B91C28"/>
    <w:rsid w:val="00B91C52"/>
    <w:rsid w:val="00B91DDA"/>
    <w:rsid w:val="00B91F18"/>
    <w:rsid w:val="00B92100"/>
    <w:rsid w:val="00B92114"/>
    <w:rsid w:val="00B921E1"/>
    <w:rsid w:val="00B921EA"/>
    <w:rsid w:val="00B921F2"/>
    <w:rsid w:val="00B92323"/>
    <w:rsid w:val="00B923BF"/>
    <w:rsid w:val="00B92518"/>
    <w:rsid w:val="00B9265A"/>
    <w:rsid w:val="00B927E5"/>
    <w:rsid w:val="00B9282D"/>
    <w:rsid w:val="00B9282F"/>
    <w:rsid w:val="00B92847"/>
    <w:rsid w:val="00B9294D"/>
    <w:rsid w:val="00B9298A"/>
    <w:rsid w:val="00B929D2"/>
    <w:rsid w:val="00B929E4"/>
    <w:rsid w:val="00B92A07"/>
    <w:rsid w:val="00B92AB9"/>
    <w:rsid w:val="00B92B96"/>
    <w:rsid w:val="00B92BA3"/>
    <w:rsid w:val="00B92BD6"/>
    <w:rsid w:val="00B92BD7"/>
    <w:rsid w:val="00B92C73"/>
    <w:rsid w:val="00B92DC3"/>
    <w:rsid w:val="00B92DEF"/>
    <w:rsid w:val="00B92E0F"/>
    <w:rsid w:val="00B92E2A"/>
    <w:rsid w:val="00B92E5F"/>
    <w:rsid w:val="00B92E71"/>
    <w:rsid w:val="00B92F27"/>
    <w:rsid w:val="00B92F40"/>
    <w:rsid w:val="00B92F8F"/>
    <w:rsid w:val="00B931F1"/>
    <w:rsid w:val="00B93215"/>
    <w:rsid w:val="00B932C5"/>
    <w:rsid w:val="00B93315"/>
    <w:rsid w:val="00B93462"/>
    <w:rsid w:val="00B935A8"/>
    <w:rsid w:val="00B935E3"/>
    <w:rsid w:val="00B9366D"/>
    <w:rsid w:val="00B93683"/>
    <w:rsid w:val="00B93829"/>
    <w:rsid w:val="00B938A0"/>
    <w:rsid w:val="00B938A9"/>
    <w:rsid w:val="00B938DC"/>
    <w:rsid w:val="00B9391D"/>
    <w:rsid w:val="00B9395D"/>
    <w:rsid w:val="00B9399F"/>
    <w:rsid w:val="00B93ABA"/>
    <w:rsid w:val="00B93BAF"/>
    <w:rsid w:val="00B93C84"/>
    <w:rsid w:val="00B93E48"/>
    <w:rsid w:val="00B93E64"/>
    <w:rsid w:val="00B93F06"/>
    <w:rsid w:val="00B93F24"/>
    <w:rsid w:val="00B93F4C"/>
    <w:rsid w:val="00B94006"/>
    <w:rsid w:val="00B940A0"/>
    <w:rsid w:val="00B940BA"/>
    <w:rsid w:val="00B94146"/>
    <w:rsid w:val="00B9418D"/>
    <w:rsid w:val="00B941FC"/>
    <w:rsid w:val="00B94340"/>
    <w:rsid w:val="00B9435F"/>
    <w:rsid w:val="00B94376"/>
    <w:rsid w:val="00B943E1"/>
    <w:rsid w:val="00B944EB"/>
    <w:rsid w:val="00B94527"/>
    <w:rsid w:val="00B94575"/>
    <w:rsid w:val="00B94738"/>
    <w:rsid w:val="00B9476C"/>
    <w:rsid w:val="00B947D1"/>
    <w:rsid w:val="00B94950"/>
    <w:rsid w:val="00B949C4"/>
    <w:rsid w:val="00B949D5"/>
    <w:rsid w:val="00B94B25"/>
    <w:rsid w:val="00B94C56"/>
    <w:rsid w:val="00B94CBD"/>
    <w:rsid w:val="00B94EBA"/>
    <w:rsid w:val="00B94F07"/>
    <w:rsid w:val="00B94F4C"/>
    <w:rsid w:val="00B94F58"/>
    <w:rsid w:val="00B94FB4"/>
    <w:rsid w:val="00B95056"/>
    <w:rsid w:val="00B952FD"/>
    <w:rsid w:val="00B95350"/>
    <w:rsid w:val="00B95387"/>
    <w:rsid w:val="00B955B3"/>
    <w:rsid w:val="00B956C1"/>
    <w:rsid w:val="00B956DF"/>
    <w:rsid w:val="00B958F4"/>
    <w:rsid w:val="00B95AED"/>
    <w:rsid w:val="00B95B35"/>
    <w:rsid w:val="00B95C12"/>
    <w:rsid w:val="00B95C36"/>
    <w:rsid w:val="00B95C40"/>
    <w:rsid w:val="00B95C5F"/>
    <w:rsid w:val="00B95C76"/>
    <w:rsid w:val="00B95DA3"/>
    <w:rsid w:val="00B95DDF"/>
    <w:rsid w:val="00B95E4B"/>
    <w:rsid w:val="00B95F2C"/>
    <w:rsid w:val="00B95F5A"/>
    <w:rsid w:val="00B95FB5"/>
    <w:rsid w:val="00B9612F"/>
    <w:rsid w:val="00B961A8"/>
    <w:rsid w:val="00B961EE"/>
    <w:rsid w:val="00B962B9"/>
    <w:rsid w:val="00B9635C"/>
    <w:rsid w:val="00B964D1"/>
    <w:rsid w:val="00B96532"/>
    <w:rsid w:val="00B96534"/>
    <w:rsid w:val="00B96623"/>
    <w:rsid w:val="00B96777"/>
    <w:rsid w:val="00B96781"/>
    <w:rsid w:val="00B96782"/>
    <w:rsid w:val="00B967EE"/>
    <w:rsid w:val="00B967F3"/>
    <w:rsid w:val="00B968A0"/>
    <w:rsid w:val="00B96A0D"/>
    <w:rsid w:val="00B96AA9"/>
    <w:rsid w:val="00B96B29"/>
    <w:rsid w:val="00B96C03"/>
    <w:rsid w:val="00B96CFD"/>
    <w:rsid w:val="00B96D54"/>
    <w:rsid w:val="00B96E06"/>
    <w:rsid w:val="00B96EB2"/>
    <w:rsid w:val="00B96FF0"/>
    <w:rsid w:val="00B97004"/>
    <w:rsid w:val="00B97222"/>
    <w:rsid w:val="00B973A2"/>
    <w:rsid w:val="00B974AD"/>
    <w:rsid w:val="00B97503"/>
    <w:rsid w:val="00B97580"/>
    <w:rsid w:val="00B975F3"/>
    <w:rsid w:val="00B976F1"/>
    <w:rsid w:val="00B9773D"/>
    <w:rsid w:val="00B97782"/>
    <w:rsid w:val="00B97790"/>
    <w:rsid w:val="00B977B4"/>
    <w:rsid w:val="00B97936"/>
    <w:rsid w:val="00B979EF"/>
    <w:rsid w:val="00B97AD5"/>
    <w:rsid w:val="00B97BDB"/>
    <w:rsid w:val="00B97C46"/>
    <w:rsid w:val="00B97C6F"/>
    <w:rsid w:val="00B97D93"/>
    <w:rsid w:val="00B97E05"/>
    <w:rsid w:val="00B97EDC"/>
    <w:rsid w:val="00B97F05"/>
    <w:rsid w:val="00B97FD0"/>
    <w:rsid w:val="00B97FE3"/>
    <w:rsid w:val="00BA0077"/>
    <w:rsid w:val="00BA00F2"/>
    <w:rsid w:val="00BA0180"/>
    <w:rsid w:val="00BA01C9"/>
    <w:rsid w:val="00BA01FA"/>
    <w:rsid w:val="00BA0398"/>
    <w:rsid w:val="00BA062B"/>
    <w:rsid w:val="00BA071F"/>
    <w:rsid w:val="00BA08A4"/>
    <w:rsid w:val="00BA08B2"/>
    <w:rsid w:val="00BA08F2"/>
    <w:rsid w:val="00BA098F"/>
    <w:rsid w:val="00BA09BF"/>
    <w:rsid w:val="00BA0A92"/>
    <w:rsid w:val="00BA0AC8"/>
    <w:rsid w:val="00BA0B32"/>
    <w:rsid w:val="00BA0BE5"/>
    <w:rsid w:val="00BA0C1F"/>
    <w:rsid w:val="00BA0C32"/>
    <w:rsid w:val="00BA0C34"/>
    <w:rsid w:val="00BA0E3B"/>
    <w:rsid w:val="00BA0E89"/>
    <w:rsid w:val="00BA0EFF"/>
    <w:rsid w:val="00BA0F61"/>
    <w:rsid w:val="00BA0FB2"/>
    <w:rsid w:val="00BA13ED"/>
    <w:rsid w:val="00BA155F"/>
    <w:rsid w:val="00BA1679"/>
    <w:rsid w:val="00BA1839"/>
    <w:rsid w:val="00BA1858"/>
    <w:rsid w:val="00BA18BF"/>
    <w:rsid w:val="00BA18C9"/>
    <w:rsid w:val="00BA192D"/>
    <w:rsid w:val="00BA1966"/>
    <w:rsid w:val="00BA19A7"/>
    <w:rsid w:val="00BA1A64"/>
    <w:rsid w:val="00BA1A78"/>
    <w:rsid w:val="00BA1AF0"/>
    <w:rsid w:val="00BA1B1E"/>
    <w:rsid w:val="00BA1B46"/>
    <w:rsid w:val="00BA1B48"/>
    <w:rsid w:val="00BA1BA2"/>
    <w:rsid w:val="00BA1C2D"/>
    <w:rsid w:val="00BA1D9C"/>
    <w:rsid w:val="00BA1E11"/>
    <w:rsid w:val="00BA1E8D"/>
    <w:rsid w:val="00BA1EB5"/>
    <w:rsid w:val="00BA1F45"/>
    <w:rsid w:val="00BA2081"/>
    <w:rsid w:val="00BA21D2"/>
    <w:rsid w:val="00BA2230"/>
    <w:rsid w:val="00BA2262"/>
    <w:rsid w:val="00BA237C"/>
    <w:rsid w:val="00BA2381"/>
    <w:rsid w:val="00BA254F"/>
    <w:rsid w:val="00BA25C6"/>
    <w:rsid w:val="00BA25E8"/>
    <w:rsid w:val="00BA2687"/>
    <w:rsid w:val="00BA26A4"/>
    <w:rsid w:val="00BA273A"/>
    <w:rsid w:val="00BA282C"/>
    <w:rsid w:val="00BA2832"/>
    <w:rsid w:val="00BA286E"/>
    <w:rsid w:val="00BA295B"/>
    <w:rsid w:val="00BA2961"/>
    <w:rsid w:val="00BA2BD5"/>
    <w:rsid w:val="00BA2BE0"/>
    <w:rsid w:val="00BA2BFD"/>
    <w:rsid w:val="00BA2C01"/>
    <w:rsid w:val="00BA2C6E"/>
    <w:rsid w:val="00BA2CF1"/>
    <w:rsid w:val="00BA2CF3"/>
    <w:rsid w:val="00BA2D14"/>
    <w:rsid w:val="00BA2D32"/>
    <w:rsid w:val="00BA2DD7"/>
    <w:rsid w:val="00BA2E06"/>
    <w:rsid w:val="00BA2ECE"/>
    <w:rsid w:val="00BA2F29"/>
    <w:rsid w:val="00BA2FAE"/>
    <w:rsid w:val="00BA308A"/>
    <w:rsid w:val="00BA30D4"/>
    <w:rsid w:val="00BA3105"/>
    <w:rsid w:val="00BA3109"/>
    <w:rsid w:val="00BA325B"/>
    <w:rsid w:val="00BA3284"/>
    <w:rsid w:val="00BA331D"/>
    <w:rsid w:val="00BA33E6"/>
    <w:rsid w:val="00BA3402"/>
    <w:rsid w:val="00BA346B"/>
    <w:rsid w:val="00BA34BB"/>
    <w:rsid w:val="00BA34DA"/>
    <w:rsid w:val="00BA34EA"/>
    <w:rsid w:val="00BA350C"/>
    <w:rsid w:val="00BA3567"/>
    <w:rsid w:val="00BA36C4"/>
    <w:rsid w:val="00BA36CE"/>
    <w:rsid w:val="00BA3748"/>
    <w:rsid w:val="00BA3797"/>
    <w:rsid w:val="00BA3A1C"/>
    <w:rsid w:val="00BA3A3F"/>
    <w:rsid w:val="00BA3B73"/>
    <w:rsid w:val="00BA3B80"/>
    <w:rsid w:val="00BA3BA6"/>
    <w:rsid w:val="00BA3DBE"/>
    <w:rsid w:val="00BA3DD6"/>
    <w:rsid w:val="00BA3E85"/>
    <w:rsid w:val="00BA4085"/>
    <w:rsid w:val="00BA4096"/>
    <w:rsid w:val="00BA40C1"/>
    <w:rsid w:val="00BA40E3"/>
    <w:rsid w:val="00BA4142"/>
    <w:rsid w:val="00BA4166"/>
    <w:rsid w:val="00BA4171"/>
    <w:rsid w:val="00BA41F4"/>
    <w:rsid w:val="00BA4216"/>
    <w:rsid w:val="00BA4233"/>
    <w:rsid w:val="00BA42D8"/>
    <w:rsid w:val="00BA432E"/>
    <w:rsid w:val="00BA444E"/>
    <w:rsid w:val="00BA458E"/>
    <w:rsid w:val="00BA45C4"/>
    <w:rsid w:val="00BA45C9"/>
    <w:rsid w:val="00BA45F1"/>
    <w:rsid w:val="00BA4611"/>
    <w:rsid w:val="00BA4788"/>
    <w:rsid w:val="00BA478A"/>
    <w:rsid w:val="00BA4857"/>
    <w:rsid w:val="00BA48E3"/>
    <w:rsid w:val="00BA499A"/>
    <w:rsid w:val="00BA4AE1"/>
    <w:rsid w:val="00BA4B84"/>
    <w:rsid w:val="00BA4BFC"/>
    <w:rsid w:val="00BA4C22"/>
    <w:rsid w:val="00BA4CD0"/>
    <w:rsid w:val="00BA4D94"/>
    <w:rsid w:val="00BA4DF2"/>
    <w:rsid w:val="00BA500C"/>
    <w:rsid w:val="00BA50D7"/>
    <w:rsid w:val="00BA5298"/>
    <w:rsid w:val="00BA5387"/>
    <w:rsid w:val="00BA5406"/>
    <w:rsid w:val="00BA5409"/>
    <w:rsid w:val="00BA5510"/>
    <w:rsid w:val="00BA55BB"/>
    <w:rsid w:val="00BA5687"/>
    <w:rsid w:val="00BA5847"/>
    <w:rsid w:val="00BA58F5"/>
    <w:rsid w:val="00BA5926"/>
    <w:rsid w:val="00BA5A2F"/>
    <w:rsid w:val="00BA5A82"/>
    <w:rsid w:val="00BA5A94"/>
    <w:rsid w:val="00BA5B47"/>
    <w:rsid w:val="00BA5E4B"/>
    <w:rsid w:val="00BA5E7C"/>
    <w:rsid w:val="00BA5E9C"/>
    <w:rsid w:val="00BA600B"/>
    <w:rsid w:val="00BA601A"/>
    <w:rsid w:val="00BA608C"/>
    <w:rsid w:val="00BA60CB"/>
    <w:rsid w:val="00BA618F"/>
    <w:rsid w:val="00BA6282"/>
    <w:rsid w:val="00BA63FF"/>
    <w:rsid w:val="00BA6521"/>
    <w:rsid w:val="00BA6559"/>
    <w:rsid w:val="00BA674B"/>
    <w:rsid w:val="00BA677D"/>
    <w:rsid w:val="00BA685F"/>
    <w:rsid w:val="00BA6889"/>
    <w:rsid w:val="00BA6970"/>
    <w:rsid w:val="00BA6B2C"/>
    <w:rsid w:val="00BA6C12"/>
    <w:rsid w:val="00BA6D2F"/>
    <w:rsid w:val="00BA6FD7"/>
    <w:rsid w:val="00BA7006"/>
    <w:rsid w:val="00BA70D8"/>
    <w:rsid w:val="00BA7112"/>
    <w:rsid w:val="00BA711D"/>
    <w:rsid w:val="00BA7131"/>
    <w:rsid w:val="00BA71F8"/>
    <w:rsid w:val="00BA727E"/>
    <w:rsid w:val="00BA7350"/>
    <w:rsid w:val="00BA736D"/>
    <w:rsid w:val="00BA74AD"/>
    <w:rsid w:val="00BA7553"/>
    <w:rsid w:val="00BA76B8"/>
    <w:rsid w:val="00BA7700"/>
    <w:rsid w:val="00BA7718"/>
    <w:rsid w:val="00BA7791"/>
    <w:rsid w:val="00BA7885"/>
    <w:rsid w:val="00BA7894"/>
    <w:rsid w:val="00BA7A8D"/>
    <w:rsid w:val="00BA7B07"/>
    <w:rsid w:val="00BA7B2E"/>
    <w:rsid w:val="00BA7C6E"/>
    <w:rsid w:val="00BA7D2D"/>
    <w:rsid w:val="00BA7E3C"/>
    <w:rsid w:val="00BA7F12"/>
    <w:rsid w:val="00BA7FC1"/>
    <w:rsid w:val="00BB01DC"/>
    <w:rsid w:val="00BB02BF"/>
    <w:rsid w:val="00BB0358"/>
    <w:rsid w:val="00BB05A0"/>
    <w:rsid w:val="00BB066C"/>
    <w:rsid w:val="00BB0675"/>
    <w:rsid w:val="00BB0744"/>
    <w:rsid w:val="00BB0795"/>
    <w:rsid w:val="00BB07E6"/>
    <w:rsid w:val="00BB0851"/>
    <w:rsid w:val="00BB09C0"/>
    <w:rsid w:val="00BB0A34"/>
    <w:rsid w:val="00BB0AB1"/>
    <w:rsid w:val="00BB0AEA"/>
    <w:rsid w:val="00BB0B16"/>
    <w:rsid w:val="00BB0BD9"/>
    <w:rsid w:val="00BB0CD8"/>
    <w:rsid w:val="00BB0D98"/>
    <w:rsid w:val="00BB0DB9"/>
    <w:rsid w:val="00BB0E93"/>
    <w:rsid w:val="00BB0EBB"/>
    <w:rsid w:val="00BB0F17"/>
    <w:rsid w:val="00BB0F4F"/>
    <w:rsid w:val="00BB0FC9"/>
    <w:rsid w:val="00BB10A5"/>
    <w:rsid w:val="00BB10F6"/>
    <w:rsid w:val="00BB11AE"/>
    <w:rsid w:val="00BB1275"/>
    <w:rsid w:val="00BB14B3"/>
    <w:rsid w:val="00BB15CC"/>
    <w:rsid w:val="00BB169B"/>
    <w:rsid w:val="00BB16AA"/>
    <w:rsid w:val="00BB16E0"/>
    <w:rsid w:val="00BB16E9"/>
    <w:rsid w:val="00BB1707"/>
    <w:rsid w:val="00BB1729"/>
    <w:rsid w:val="00BB1976"/>
    <w:rsid w:val="00BB199D"/>
    <w:rsid w:val="00BB19AD"/>
    <w:rsid w:val="00BB19CC"/>
    <w:rsid w:val="00BB1A95"/>
    <w:rsid w:val="00BB1B92"/>
    <w:rsid w:val="00BB1CB6"/>
    <w:rsid w:val="00BB1DA3"/>
    <w:rsid w:val="00BB1DB0"/>
    <w:rsid w:val="00BB1FCD"/>
    <w:rsid w:val="00BB20B5"/>
    <w:rsid w:val="00BB21C1"/>
    <w:rsid w:val="00BB23ED"/>
    <w:rsid w:val="00BB2418"/>
    <w:rsid w:val="00BB2798"/>
    <w:rsid w:val="00BB2809"/>
    <w:rsid w:val="00BB28B0"/>
    <w:rsid w:val="00BB291A"/>
    <w:rsid w:val="00BB299A"/>
    <w:rsid w:val="00BB29FF"/>
    <w:rsid w:val="00BB2BBC"/>
    <w:rsid w:val="00BB2C19"/>
    <w:rsid w:val="00BB2C73"/>
    <w:rsid w:val="00BB2E55"/>
    <w:rsid w:val="00BB2E7B"/>
    <w:rsid w:val="00BB2F8A"/>
    <w:rsid w:val="00BB2FDB"/>
    <w:rsid w:val="00BB3025"/>
    <w:rsid w:val="00BB30A5"/>
    <w:rsid w:val="00BB30BA"/>
    <w:rsid w:val="00BB3109"/>
    <w:rsid w:val="00BB3189"/>
    <w:rsid w:val="00BB3194"/>
    <w:rsid w:val="00BB3214"/>
    <w:rsid w:val="00BB32E7"/>
    <w:rsid w:val="00BB331F"/>
    <w:rsid w:val="00BB342D"/>
    <w:rsid w:val="00BB3449"/>
    <w:rsid w:val="00BB3548"/>
    <w:rsid w:val="00BB37CD"/>
    <w:rsid w:val="00BB3A62"/>
    <w:rsid w:val="00BB3B42"/>
    <w:rsid w:val="00BB3BBC"/>
    <w:rsid w:val="00BB3EA2"/>
    <w:rsid w:val="00BB3EDE"/>
    <w:rsid w:val="00BB3F4F"/>
    <w:rsid w:val="00BB3F63"/>
    <w:rsid w:val="00BB3F6B"/>
    <w:rsid w:val="00BB3F9D"/>
    <w:rsid w:val="00BB40F0"/>
    <w:rsid w:val="00BB4125"/>
    <w:rsid w:val="00BB41C3"/>
    <w:rsid w:val="00BB4216"/>
    <w:rsid w:val="00BB4312"/>
    <w:rsid w:val="00BB432F"/>
    <w:rsid w:val="00BB4451"/>
    <w:rsid w:val="00BB447B"/>
    <w:rsid w:val="00BB44B5"/>
    <w:rsid w:val="00BB456B"/>
    <w:rsid w:val="00BB45E0"/>
    <w:rsid w:val="00BB46C0"/>
    <w:rsid w:val="00BB46FF"/>
    <w:rsid w:val="00BB4749"/>
    <w:rsid w:val="00BB481B"/>
    <w:rsid w:val="00BB48A9"/>
    <w:rsid w:val="00BB49B6"/>
    <w:rsid w:val="00BB4A6D"/>
    <w:rsid w:val="00BB4ADE"/>
    <w:rsid w:val="00BB4B75"/>
    <w:rsid w:val="00BB4C0A"/>
    <w:rsid w:val="00BB4D44"/>
    <w:rsid w:val="00BB4E7D"/>
    <w:rsid w:val="00BB4E91"/>
    <w:rsid w:val="00BB52DA"/>
    <w:rsid w:val="00BB52F4"/>
    <w:rsid w:val="00BB5350"/>
    <w:rsid w:val="00BB5373"/>
    <w:rsid w:val="00BB542A"/>
    <w:rsid w:val="00BB5462"/>
    <w:rsid w:val="00BB5485"/>
    <w:rsid w:val="00BB54AD"/>
    <w:rsid w:val="00BB552F"/>
    <w:rsid w:val="00BB55AB"/>
    <w:rsid w:val="00BB55FF"/>
    <w:rsid w:val="00BB5663"/>
    <w:rsid w:val="00BB56FE"/>
    <w:rsid w:val="00BB5748"/>
    <w:rsid w:val="00BB5809"/>
    <w:rsid w:val="00BB5936"/>
    <w:rsid w:val="00BB5B79"/>
    <w:rsid w:val="00BB5C23"/>
    <w:rsid w:val="00BB5C8D"/>
    <w:rsid w:val="00BB5C99"/>
    <w:rsid w:val="00BB5CAB"/>
    <w:rsid w:val="00BB5D39"/>
    <w:rsid w:val="00BB5D49"/>
    <w:rsid w:val="00BB5DF7"/>
    <w:rsid w:val="00BB5F94"/>
    <w:rsid w:val="00BB601E"/>
    <w:rsid w:val="00BB60AE"/>
    <w:rsid w:val="00BB6140"/>
    <w:rsid w:val="00BB6173"/>
    <w:rsid w:val="00BB6216"/>
    <w:rsid w:val="00BB6286"/>
    <w:rsid w:val="00BB63E3"/>
    <w:rsid w:val="00BB63E8"/>
    <w:rsid w:val="00BB64F6"/>
    <w:rsid w:val="00BB6550"/>
    <w:rsid w:val="00BB687C"/>
    <w:rsid w:val="00BB68E9"/>
    <w:rsid w:val="00BB69A5"/>
    <w:rsid w:val="00BB69BA"/>
    <w:rsid w:val="00BB6A1D"/>
    <w:rsid w:val="00BB6A29"/>
    <w:rsid w:val="00BB6A40"/>
    <w:rsid w:val="00BB6B43"/>
    <w:rsid w:val="00BB6BAB"/>
    <w:rsid w:val="00BB6BB4"/>
    <w:rsid w:val="00BB6BD2"/>
    <w:rsid w:val="00BB6C27"/>
    <w:rsid w:val="00BB6D67"/>
    <w:rsid w:val="00BB6E8E"/>
    <w:rsid w:val="00BB6ED6"/>
    <w:rsid w:val="00BB6EF1"/>
    <w:rsid w:val="00BB6F81"/>
    <w:rsid w:val="00BB6FAA"/>
    <w:rsid w:val="00BB70BD"/>
    <w:rsid w:val="00BB715C"/>
    <w:rsid w:val="00BB71D2"/>
    <w:rsid w:val="00BB7255"/>
    <w:rsid w:val="00BB72DF"/>
    <w:rsid w:val="00BB736C"/>
    <w:rsid w:val="00BB7443"/>
    <w:rsid w:val="00BB7567"/>
    <w:rsid w:val="00BB7589"/>
    <w:rsid w:val="00BB7593"/>
    <w:rsid w:val="00BB763A"/>
    <w:rsid w:val="00BB77A4"/>
    <w:rsid w:val="00BB78FE"/>
    <w:rsid w:val="00BB7998"/>
    <w:rsid w:val="00BB79B3"/>
    <w:rsid w:val="00BB7A90"/>
    <w:rsid w:val="00BB7AE8"/>
    <w:rsid w:val="00BB7B52"/>
    <w:rsid w:val="00BB7BE6"/>
    <w:rsid w:val="00BB7C26"/>
    <w:rsid w:val="00BB7D37"/>
    <w:rsid w:val="00BB7DF6"/>
    <w:rsid w:val="00BB7E9B"/>
    <w:rsid w:val="00BB7F29"/>
    <w:rsid w:val="00BB7F95"/>
    <w:rsid w:val="00BC000B"/>
    <w:rsid w:val="00BC0024"/>
    <w:rsid w:val="00BC0046"/>
    <w:rsid w:val="00BC0070"/>
    <w:rsid w:val="00BC0110"/>
    <w:rsid w:val="00BC03B6"/>
    <w:rsid w:val="00BC04CD"/>
    <w:rsid w:val="00BC04F4"/>
    <w:rsid w:val="00BC05B1"/>
    <w:rsid w:val="00BC05B9"/>
    <w:rsid w:val="00BC0659"/>
    <w:rsid w:val="00BC071A"/>
    <w:rsid w:val="00BC0826"/>
    <w:rsid w:val="00BC0850"/>
    <w:rsid w:val="00BC086C"/>
    <w:rsid w:val="00BC093B"/>
    <w:rsid w:val="00BC0A37"/>
    <w:rsid w:val="00BC0AB3"/>
    <w:rsid w:val="00BC0B30"/>
    <w:rsid w:val="00BC0B96"/>
    <w:rsid w:val="00BC0D6E"/>
    <w:rsid w:val="00BC0DE7"/>
    <w:rsid w:val="00BC0E75"/>
    <w:rsid w:val="00BC0EF9"/>
    <w:rsid w:val="00BC0EFB"/>
    <w:rsid w:val="00BC1054"/>
    <w:rsid w:val="00BC10A0"/>
    <w:rsid w:val="00BC1415"/>
    <w:rsid w:val="00BC1507"/>
    <w:rsid w:val="00BC1622"/>
    <w:rsid w:val="00BC1762"/>
    <w:rsid w:val="00BC17D0"/>
    <w:rsid w:val="00BC1806"/>
    <w:rsid w:val="00BC1856"/>
    <w:rsid w:val="00BC1876"/>
    <w:rsid w:val="00BC18B5"/>
    <w:rsid w:val="00BC19F4"/>
    <w:rsid w:val="00BC1B60"/>
    <w:rsid w:val="00BC1D64"/>
    <w:rsid w:val="00BC1DA2"/>
    <w:rsid w:val="00BC1E73"/>
    <w:rsid w:val="00BC1F48"/>
    <w:rsid w:val="00BC1FC7"/>
    <w:rsid w:val="00BC203F"/>
    <w:rsid w:val="00BC20C3"/>
    <w:rsid w:val="00BC213F"/>
    <w:rsid w:val="00BC21EE"/>
    <w:rsid w:val="00BC260C"/>
    <w:rsid w:val="00BC26B9"/>
    <w:rsid w:val="00BC2717"/>
    <w:rsid w:val="00BC282C"/>
    <w:rsid w:val="00BC289C"/>
    <w:rsid w:val="00BC28CE"/>
    <w:rsid w:val="00BC2A30"/>
    <w:rsid w:val="00BC2A74"/>
    <w:rsid w:val="00BC2ADD"/>
    <w:rsid w:val="00BC2AEF"/>
    <w:rsid w:val="00BC2B5C"/>
    <w:rsid w:val="00BC2BA1"/>
    <w:rsid w:val="00BC2C06"/>
    <w:rsid w:val="00BC2C4E"/>
    <w:rsid w:val="00BC2C6A"/>
    <w:rsid w:val="00BC2C7F"/>
    <w:rsid w:val="00BC2C8A"/>
    <w:rsid w:val="00BC2D0D"/>
    <w:rsid w:val="00BC30BC"/>
    <w:rsid w:val="00BC30DF"/>
    <w:rsid w:val="00BC31FB"/>
    <w:rsid w:val="00BC3234"/>
    <w:rsid w:val="00BC32A3"/>
    <w:rsid w:val="00BC34FB"/>
    <w:rsid w:val="00BC35D1"/>
    <w:rsid w:val="00BC35DB"/>
    <w:rsid w:val="00BC35FA"/>
    <w:rsid w:val="00BC36D2"/>
    <w:rsid w:val="00BC37CE"/>
    <w:rsid w:val="00BC38B0"/>
    <w:rsid w:val="00BC38FD"/>
    <w:rsid w:val="00BC3902"/>
    <w:rsid w:val="00BC392F"/>
    <w:rsid w:val="00BC3941"/>
    <w:rsid w:val="00BC39EF"/>
    <w:rsid w:val="00BC3A9C"/>
    <w:rsid w:val="00BC3ADF"/>
    <w:rsid w:val="00BC3B85"/>
    <w:rsid w:val="00BC3C00"/>
    <w:rsid w:val="00BC3CA0"/>
    <w:rsid w:val="00BC3DBC"/>
    <w:rsid w:val="00BC3E42"/>
    <w:rsid w:val="00BC3E51"/>
    <w:rsid w:val="00BC3E7F"/>
    <w:rsid w:val="00BC41DA"/>
    <w:rsid w:val="00BC43C1"/>
    <w:rsid w:val="00BC43FA"/>
    <w:rsid w:val="00BC44B8"/>
    <w:rsid w:val="00BC46A7"/>
    <w:rsid w:val="00BC476D"/>
    <w:rsid w:val="00BC4910"/>
    <w:rsid w:val="00BC493B"/>
    <w:rsid w:val="00BC495C"/>
    <w:rsid w:val="00BC4A76"/>
    <w:rsid w:val="00BC4ABD"/>
    <w:rsid w:val="00BC4D9C"/>
    <w:rsid w:val="00BC4DD2"/>
    <w:rsid w:val="00BC4E4C"/>
    <w:rsid w:val="00BC4F0D"/>
    <w:rsid w:val="00BC5174"/>
    <w:rsid w:val="00BC5215"/>
    <w:rsid w:val="00BC5294"/>
    <w:rsid w:val="00BC52B1"/>
    <w:rsid w:val="00BC533E"/>
    <w:rsid w:val="00BC5358"/>
    <w:rsid w:val="00BC535D"/>
    <w:rsid w:val="00BC546C"/>
    <w:rsid w:val="00BC5644"/>
    <w:rsid w:val="00BC5765"/>
    <w:rsid w:val="00BC578D"/>
    <w:rsid w:val="00BC5971"/>
    <w:rsid w:val="00BC5A48"/>
    <w:rsid w:val="00BC5A61"/>
    <w:rsid w:val="00BC5BFA"/>
    <w:rsid w:val="00BC5CCB"/>
    <w:rsid w:val="00BC5E31"/>
    <w:rsid w:val="00BC5F84"/>
    <w:rsid w:val="00BC5FB8"/>
    <w:rsid w:val="00BC602A"/>
    <w:rsid w:val="00BC64F4"/>
    <w:rsid w:val="00BC65D8"/>
    <w:rsid w:val="00BC65EE"/>
    <w:rsid w:val="00BC661B"/>
    <w:rsid w:val="00BC6696"/>
    <w:rsid w:val="00BC6749"/>
    <w:rsid w:val="00BC6823"/>
    <w:rsid w:val="00BC68FE"/>
    <w:rsid w:val="00BC6A71"/>
    <w:rsid w:val="00BC6AC2"/>
    <w:rsid w:val="00BC6AF4"/>
    <w:rsid w:val="00BC6B24"/>
    <w:rsid w:val="00BC6D02"/>
    <w:rsid w:val="00BC6D2B"/>
    <w:rsid w:val="00BC6DA0"/>
    <w:rsid w:val="00BC6E42"/>
    <w:rsid w:val="00BC6E81"/>
    <w:rsid w:val="00BC6FAE"/>
    <w:rsid w:val="00BC7066"/>
    <w:rsid w:val="00BC71D6"/>
    <w:rsid w:val="00BC7309"/>
    <w:rsid w:val="00BC7319"/>
    <w:rsid w:val="00BC7386"/>
    <w:rsid w:val="00BC73A7"/>
    <w:rsid w:val="00BC740F"/>
    <w:rsid w:val="00BC74F1"/>
    <w:rsid w:val="00BC76CC"/>
    <w:rsid w:val="00BC772F"/>
    <w:rsid w:val="00BC7770"/>
    <w:rsid w:val="00BC77B0"/>
    <w:rsid w:val="00BC77D5"/>
    <w:rsid w:val="00BC7810"/>
    <w:rsid w:val="00BC784A"/>
    <w:rsid w:val="00BC78DB"/>
    <w:rsid w:val="00BC7914"/>
    <w:rsid w:val="00BC7B45"/>
    <w:rsid w:val="00BC7BAD"/>
    <w:rsid w:val="00BC7E52"/>
    <w:rsid w:val="00BC7FE9"/>
    <w:rsid w:val="00BD00AB"/>
    <w:rsid w:val="00BD0168"/>
    <w:rsid w:val="00BD0232"/>
    <w:rsid w:val="00BD028A"/>
    <w:rsid w:val="00BD02D9"/>
    <w:rsid w:val="00BD034B"/>
    <w:rsid w:val="00BD04BC"/>
    <w:rsid w:val="00BD0526"/>
    <w:rsid w:val="00BD0539"/>
    <w:rsid w:val="00BD05F4"/>
    <w:rsid w:val="00BD0684"/>
    <w:rsid w:val="00BD0740"/>
    <w:rsid w:val="00BD076E"/>
    <w:rsid w:val="00BD077B"/>
    <w:rsid w:val="00BD078C"/>
    <w:rsid w:val="00BD07D7"/>
    <w:rsid w:val="00BD07FE"/>
    <w:rsid w:val="00BD08DE"/>
    <w:rsid w:val="00BD0A33"/>
    <w:rsid w:val="00BD0AD8"/>
    <w:rsid w:val="00BD0BA1"/>
    <w:rsid w:val="00BD0BD6"/>
    <w:rsid w:val="00BD0C57"/>
    <w:rsid w:val="00BD0D24"/>
    <w:rsid w:val="00BD0F09"/>
    <w:rsid w:val="00BD105C"/>
    <w:rsid w:val="00BD10A3"/>
    <w:rsid w:val="00BD10A8"/>
    <w:rsid w:val="00BD10EE"/>
    <w:rsid w:val="00BD119F"/>
    <w:rsid w:val="00BD11B7"/>
    <w:rsid w:val="00BD1212"/>
    <w:rsid w:val="00BD12E0"/>
    <w:rsid w:val="00BD1415"/>
    <w:rsid w:val="00BD1456"/>
    <w:rsid w:val="00BD1477"/>
    <w:rsid w:val="00BD1634"/>
    <w:rsid w:val="00BD1659"/>
    <w:rsid w:val="00BD16CD"/>
    <w:rsid w:val="00BD1787"/>
    <w:rsid w:val="00BD1868"/>
    <w:rsid w:val="00BD19BF"/>
    <w:rsid w:val="00BD19D1"/>
    <w:rsid w:val="00BD1AC3"/>
    <w:rsid w:val="00BD1B5D"/>
    <w:rsid w:val="00BD1C93"/>
    <w:rsid w:val="00BD1CC6"/>
    <w:rsid w:val="00BD1D68"/>
    <w:rsid w:val="00BD1DD2"/>
    <w:rsid w:val="00BD1F61"/>
    <w:rsid w:val="00BD1F68"/>
    <w:rsid w:val="00BD1FFF"/>
    <w:rsid w:val="00BD2050"/>
    <w:rsid w:val="00BD207D"/>
    <w:rsid w:val="00BD2099"/>
    <w:rsid w:val="00BD2475"/>
    <w:rsid w:val="00BD2527"/>
    <w:rsid w:val="00BD2566"/>
    <w:rsid w:val="00BD2615"/>
    <w:rsid w:val="00BD269C"/>
    <w:rsid w:val="00BD26F7"/>
    <w:rsid w:val="00BD2960"/>
    <w:rsid w:val="00BD29D4"/>
    <w:rsid w:val="00BD2AAF"/>
    <w:rsid w:val="00BD2AF5"/>
    <w:rsid w:val="00BD2B0E"/>
    <w:rsid w:val="00BD2B5D"/>
    <w:rsid w:val="00BD2BD9"/>
    <w:rsid w:val="00BD2C05"/>
    <w:rsid w:val="00BD2CE1"/>
    <w:rsid w:val="00BD2D13"/>
    <w:rsid w:val="00BD2D9C"/>
    <w:rsid w:val="00BD2DF2"/>
    <w:rsid w:val="00BD2F4D"/>
    <w:rsid w:val="00BD303F"/>
    <w:rsid w:val="00BD30FE"/>
    <w:rsid w:val="00BD3112"/>
    <w:rsid w:val="00BD316B"/>
    <w:rsid w:val="00BD3179"/>
    <w:rsid w:val="00BD318D"/>
    <w:rsid w:val="00BD349F"/>
    <w:rsid w:val="00BD3548"/>
    <w:rsid w:val="00BD3632"/>
    <w:rsid w:val="00BD36ED"/>
    <w:rsid w:val="00BD371A"/>
    <w:rsid w:val="00BD3750"/>
    <w:rsid w:val="00BD37F9"/>
    <w:rsid w:val="00BD38D4"/>
    <w:rsid w:val="00BD38E8"/>
    <w:rsid w:val="00BD3904"/>
    <w:rsid w:val="00BD3969"/>
    <w:rsid w:val="00BD3A50"/>
    <w:rsid w:val="00BD3ABA"/>
    <w:rsid w:val="00BD3ADD"/>
    <w:rsid w:val="00BD3B4F"/>
    <w:rsid w:val="00BD3B79"/>
    <w:rsid w:val="00BD3B83"/>
    <w:rsid w:val="00BD3BFD"/>
    <w:rsid w:val="00BD3D33"/>
    <w:rsid w:val="00BD3E0A"/>
    <w:rsid w:val="00BD3F49"/>
    <w:rsid w:val="00BD3F65"/>
    <w:rsid w:val="00BD3F78"/>
    <w:rsid w:val="00BD3FCE"/>
    <w:rsid w:val="00BD403E"/>
    <w:rsid w:val="00BD40C6"/>
    <w:rsid w:val="00BD4175"/>
    <w:rsid w:val="00BD41C1"/>
    <w:rsid w:val="00BD41EA"/>
    <w:rsid w:val="00BD4329"/>
    <w:rsid w:val="00BD43F5"/>
    <w:rsid w:val="00BD4416"/>
    <w:rsid w:val="00BD4441"/>
    <w:rsid w:val="00BD4494"/>
    <w:rsid w:val="00BD44CB"/>
    <w:rsid w:val="00BD4509"/>
    <w:rsid w:val="00BD4532"/>
    <w:rsid w:val="00BD457F"/>
    <w:rsid w:val="00BD45CD"/>
    <w:rsid w:val="00BD4653"/>
    <w:rsid w:val="00BD4713"/>
    <w:rsid w:val="00BD478F"/>
    <w:rsid w:val="00BD47E1"/>
    <w:rsid w:val="00BD480F"/>
    <w:rsid w:val="00BD4896"/>
    <w:rsid w:val="00BD48D1"/>
    <w:rsid w:val="00BD4997"/>
    <w:rsid w:val="00BD4C2C"/>
    <w:rsid w:val="00BD4C2D"/>
    <w:rsid w:val="00BD4D39"/>
    <w:rsid w:val="00BD4D60"/>
    <w:rsid w:val="00BD4D8A"/>
    <w:rsid w:val="00BD5063"/>
    <w:rsid w:val="00BD509F"/>
    <w:rsid w:val="00BD510E"/>
    <w:rsid w:val="00BD5173"/>
    <w:rsid w:val="00BD51EB"/>
    <w:rsid w:val="00BD522D"/>
    <w:rsid w:val="00BD5280"/>
    <w:rsid w:val="00BD5322"/>
    <w:rsid w:val="00BD560B"/>
    <w:rsid w:val="00BD56DB"/>
    <w:rsid w:val="00BD5761"/>
    <w:rsid w:val="00BD57A1"/>
    <w:rsid w:val="00BD57C1"/>
    <w:rsid w:val="00BD58DC"/>
    <w:rsid w:val="00BD5AA5"/>
    <w:rsid w:val="00BD5C08"/>
    <w:rsid w:val="00BD5C7B"/>
    <w:rsid w:val="00BD5DAD"/>
    <w:rsid w:val="00BD5DED"/>
    <w:rsid w:val="00BD5E32"/>
    <w:rsid w:val="00BD5E62"/>
    <w:rsid w:val="00BD5E63"/>
    <w:rsid w:val="00BD5F2C"/>
    <w:rsid w:val="00BD6007"/>
    <w:rsid w:val="00BD608B"/>
    <w:rsid w:val="00BD6190"/>
    <w:rsid w:val="00BD625D"/>
    <w:rsid w:val="00BD626E"/>
    <w:rsid w:val="00BD62A7"/>
    <w:rsid w:val="00BD6315"/>
    <w:rsid w:val="00BD644C"/>
    <w:rsid w:val="00BD6470"/>
    <w:rsid w:val="00BD6475"/>
    <w:rsid w:val="00BD6627"/>
    <w:rsid w:val="00BD6653"/>
    <w:rsid w:val="00BD6809"/>
    <w:rsid w:val="00BD6828"/>
    <w:rsid w:val="00BD692C"/>
    <w:rsid w:val="00BD6932"/>
    <w:rsid w:val="00BD6B28"/>
    <w:rsid w:val="00BD6B9E"/>
    <w:rsid w:val="00BD6BE2"/>
    <w:rsid w:val="00BD6D99"/>
    <w:rsid w:val="00BD6E4E"/>
    <w:rsid w:val="00BD6EB1"/>
    <w:rsid w:val="00BD6F4C"/>
    <w:rsid w:val="00BD6F7F"/>
    <w:rsid w:val="00BD6FDC"/>
    <w:rsid w:val="00BD7008"/>
    <w:rsid w:val="00BD708E"/>
    <w:rsid w:val="00BD73B3"/>
    <w:rsid w:val="00BD73BB"/>
    <w:rsid w:val="00BD7438"/>
    <w:rsid w:val="00BD7510"/>
    <w:rsid w:val="00BD75B1"/>
    <w:rsid w:val="00BD7666"/>
    <w:rsid w:val="00BD777A"/>
    <w:rsid w:val="00BD779D"/>
    <w:rsid w:val="00BD77C0"/>
    <w:rsid w:val="00BD77CD"/>
    <w:rsid w:val="00BD77D2"/>
    <w:rsid w:val="00BD7842"/>
    <w:rsid w:val="00BD7868"/>
    <w:rsid w:val="00BD786D"/>
    <w:rsid w:val="00BD7950"/>
    <w:rsid w:val="00BD796C"/>
    <w:rsid w:val="00BD7A7B"/>
    <w:rsid w:val="00BD7AAB"/>
    <w:rsid w:val="00BD7AE6"/>
    <w:rsid w:val="00BD7B31"/>
    <w:rsid w:val="00BD7BAF"/>
    <w:rsid w:val="00BD7C10"/>
    <w:rsid w:val="00BD7D2E"/>
    <w:rsid w:val="00BD7D39"/>
    <w:rsid w:val="00BD7E4C"/>
    <w:rsid w:val="00BD7ED2"/>
    <w:rsid w:val="00BD7F47"/>
    <w:rsid w:val="00BD7FA5"/>
    <w:rsid w:val="00BE013F"/>
    <w:rsid w:val="00BE02E1"/>
    <w:rsid w:val="00BE03FF"/>
    <w:rsid w:val="00BE051C"/>
    <w:rsid w:val="00BE05F1"/>
    <w:rsid w:val="00BE0713"/>
    <w:rsid w:val="00BE0911"/>
    <w:rsid w:val="00BE0937"/>
    <w:rsid w:val="00BE0A3A"/>
    <w:rsid w:val="00BE0A84"/>
    <w:rsid w:val="00BE0B1F"/>
    <w:rsid w:val="00BE0B8A"/>
    <w:rsid w:val="00BE0C27"/>
    <w:rsid w:val="00BE0C6D"/>
    <w:rsid w:val="00BE0DB9"/>
    <w:rsid w:val="00BE0E9F"/>
    <w:rsid w:val="00BE0F02"/>
    <w:rsid w:val="00BE0F0E"/>
    <w:rsid w:val="00BE0F57"/>
    <w:rsid w:val="00BE0FCD"/>
    <w:rsid w:val="00BE1088"/>
    <w:rsid w:val="00BE1137"/>
    <w:rsid w:val="00BE116A"/>
    <w:rsid w:val="00BE1187"/>
    <w:rsid w:val="00BE1243"/>
    <w:rsid w:val="00BE128A"/>
    <w:rsid w:val="00BE128E"/>
    <w:rsid w:val="00BE12C2"/>
    <w:rsid w:val="00BE1661"/>
    <w:rsid w:val="00BE1894"/>
    <w:rsid w:val="00BE191C"/>
    <w:rsid w:val="00BE19A9"/>
    <w:rsid w:val="00BE1A58"/>
    <w:rsid w:val="00BE1B02"/>
    <w:rsid w:val="00BE1B16"/>
    <w:rsid w:val="00BE1B4A"/>
    <w:rsid w:val="00BE1CB9"/>
    <w:rsid w:val="00BE1CEC"/>
    <w:rsid w:val="00BE1D24"/>
    <w:rsid w:val="00BE1E5A"/>
    <w:rsid w:val="00BE1F31"/>
    <w:rsid w:val="00BE1F91"/>
    <w:rsid w:val="00BE1FF5"/>
    <w:rsid w:val="00BE209A"/>
    <w:rsid w:val="00BE214C"/>
    <w:rsid w:val="00BE2248"/>
    <w:rsid w:val="00BE22D9"/>
    <w:rsid w:val="00BE2400"/>
    <w:rsid w:val="00BE2440"/>
    <w:rsid w:val="00BE2448"/>
    <w:rsid w:val="00BE2499"/>
    <w:rsid w:val="00BE24AF"/>
    <w:rsid w:val="00BE24BE"/>
    <w:rsid w:val="00BE2568"/>
    <w:rsid w:val="00BE258F"/>
    <w:rsid w:val="00BE263E"/>
    <w:rsid w:val="00BE2642"/>
    <w:rsid w:val="00BE270E"/>
    <w:rsid w:val="00BE2736"/>
    <w:rsid w:val="00BE273A"/>
    <w:rsid w:val="00BE2893"/>
    <w:rsid w:val="00BE2895"/>
    <w:rsid w:val="00BE29D6"/>
    <w:rsid w:val="00BE2A76"/>
    <w:rsid w:val="00BE2B12"/>
    <w:rsid w:val="00BE2F9C"/>
    <w:rsid w:val="00BE3006"/>
    <w:rsid w:val="00BE308A"/>
    <w:rsid w:val="00BE3183"/>
    <w:rsid w:val="00BE328F"/>
    <w:rsid w:val="00BE361B"/>
    <w:rsid w:val="00BE3636"/>
    <w:rsid w:val="00BE3659"/>
    <w:rsid w:val="00BE36E9"/>
    <w:rsid w:val="00BE3776"/>
    <w:rsid w:val="00BE37B7"/>
    <w:rsid w:val="00BE3848"/>
    <w:rsid w:val="00BE38DB"/>
    <w:rsid w:val="00BE39EB"/>
    <w:rsid w:val="00BE39FF"/>
    <w:rsid w:val="00BE3B36"/>
    <w:rsid w:val="00BE3B6C"/>
    <w:rsid w:val="00BE3C23"/>
    <w:rsid w:val="00BE3C45"/>
    <w:rsid w:val="00BE3DC0"/>
    <w:rsid w:val="00BE3F99"/>
    <w:rsid w:val="00BE3FEF"/>
    <w:rsid w:val="00BE402E"/>
    <w:rsid w:val="00BE42A3"/>
    <w:rsid w:val="00BE4311"/>
    <w:rsid w:val="00BE434B"/>
    <w:rsid w:val="00BE4424"/>
    <w:rsid w:val="00BE4471"/>
    <w:rsid w:val="00BE44AA"/>
    <w:rsid w:val="00BE44F3"/>
    <w:rsid w:val="00BE451D"/>
    <w:rsid w:val="00BE46DE"/>
    <w:rsid w:val="00BE46FA"/>
    <w:rsid w:val="00BE4705"/>
    <w:rsid w:val="00BE489B"/>
    <w:rsid w:val="00BE4972"/>
    <w:rsid w:val="00BE499C"/>
    <w:rsid w:val="00BE4AB5"/>
    <w:rsid w:val="00BE4CEF"/>
    <w:rsid w:val="00BE4DDB"/>
    <w:rsid w:val="00BE4F67"/>
    <w:rsid w:val="00BE4FA5"/>
    <w:rsid w:val="00BE4FB8"/>
    <w:rsid w:val="00BE502E"/>
    <w:rsid w:val="00BE5106"/>
    <w:rsid w:val="00BE5138"/>
    <w:rsid w:val="00BE518A"/>
    <w:rsid w:val="00BE5284"/>
    <w:rsid w:val="00BE5347"/>
    <w:rsid w:val="00BE5396"/>
    <w:rsid w:val="00BE53C5"/>
    <w:rsid w:val="00BE5459"/>
    <w:rsid w:val="00BE5468"/>
    <w:rsid w:val="00BE54B9"/>
    <w:rsid w:val="00BE55C5"/>
    <w:rsid w:val="00BE55DA"/>
    <w:rsid w:val="00BE568C"/>
    <w:rsid w:val="00BE571E"/>
    <w:rsid w:val="00BE5821"/>
    <w:rsid w:val="00BE586E"/>
    <w:rsid w:val="00BE58F9"/>
    <w:rsid w:val="00BE591E"/>
    <w:rsid w:val="00BE5A53"/>
    <w:rsid w:val="00BE5AA9"/>
    <w:rsid w:val="00BE5AEF"/>
    <w:rsid w:val="00BE5B8B"/>
    <w:rsid w:val="00BE5C2B"/>
    <w:rsid w:val="00BE5C95"/>
    <w:rsid w:val="00BE5E08"/>
    <w:rsid w:val="00BE5E24"/>
    <w:rsid w:val="00BE5E39"/>
    <w:rsid w:val="00BE5EAB"/>
    <w:rsid w:val="00BE5F81"/>
    <w:rsid w:val="00BE603E"/>
    <w:rsid w:val="00BE60FB"/>
    <w:rsid w:val="00BE6118"/>
    <w:rsid w:val="00BE612E"/>
    <w:rsid w:val="00BE617C"/>
    <w:rsid w:val="00BE6240"/>
    <w:rsid w:val="00BE6274"/>
    <w:rsid w:val="00BE6287"/>
    <w:rsid w:val="00BE63D6"/>
    <w:rsid w:val="00BE6481"/>
    <w:rsid w:val="00BE6515"/>
    <w:rsid w:val="00BE6542"/>
    <w:rsid w:val="00BE655B"/>
    <w:rsid w:val="00BE6577"/>
    <w:rsid w:val="00BE657A"/>
    <w:rsid w:val="00BE6694"/>
    <w:rsid w:val="00BE66D9"/>
    <w:rsid w:val="00BE66F1"/>
    <w:rsid w:val="00BE6721"/>
    <w:rsid w:val="00BE6723"/>
    <w:rsid w:val="00BE674E"/>
    <w:rsid w:val="00BE67A9"/>
    <w:rsid w:val="00BE68AA"/>
    <w:rsid w:val="00BE68B1"/>
    <w:rsid w:val="00BE68C5"/>
    <w:rsid w:val="00BE6940"/>
    <w:rsid w:val="00BE6A18"/>
    <w:rsid w:val="00BE6BE5"/>
    <w:rsid w:val="00BE6C76"/>
    <w:rsid w:val="00BE6CF8"/>
    <w:rsid w:val="00BE6D14"/>
    <w:rsid w:val="00BE6D74"/>
    <w:rsid w:val="00BE6E05"/>
    <w:rsid w:val="00BE70D7"/>
    <w:rsid w:val="00BE719A"/>
    <w:rsid w:val="00BE7227"/>
    <w:rsid w:val="00BE7270"/>
    <w:rsid w:val="00BE7287"/>
    <w:rsid w:val="00BE7312"/>
    <w:rsid w:val="00BE73B6"/>
    <w:rsid w:val="00BE73FD"/>
    <w:rsid w:val="00BE7471"/>
    <w:rsid w:val="00BE751C"/>
    <w:rsid w:val="00BE7696"/>
    <w:rsid w:val="00BE7732"/>
    <w:rsid w:val="00BE773C"/>
    <w:rsid w:val="00BE7888"/>
    <w:rsid w:val="00BE79CD"/>
    <w:rsid w:val="00BE7A4D"/>
    <w:rsid w:val="00BE7A57"/>
    <w:rsid w:val="00BE7A78"/>
    <w:rsid w:val="00BE7A89"/>
    <w:rsid w:val="00BE7C37"/>
    <w:rsid w:val="00BE7C7E"/>
    <w:rsid w:val="00BE7D5A"/>
    <w:rsid w:val="00BE7D8E"/>
    <w:rsid w:val="00BE7DAE"/>
    <w:rsid w:val="00BE7EE5"/>
    <w:rsid w:val="00BE7F42"/>
    <w:rsid w:val="00BE7F57"/>
    <w:rsid w:val="00BE7FB4"/>
    <w:rsid w:val="00BF0000"/>
    <w:rsid w:val="00BF0062"/>
    <w:rsid w:val="00BF0203"/>
    <w:rsid w:val="00BF0271"/>
    <w:rsid w:val="00BF028E"/>
    <w:rsid w:val="00BF0342"/>
    <w:rsid w:val="00BF0405"/>
    <w:rsid w:val="00BF04BA"/>
    <w:rsid w:val="00BF059F"/>
    <w:rsid w:val="00BF05FC"/>
    <w:rsid w:val="00BF06DD"/>
    <w:rsid w:val="00BF079E"/>
    <w:rsid w:val="00BF0A5F"/>
    <w:rsid w:val="00BF0A9F"/>
    <w:rsid w:val="00BF0B91"/>
    <w:rsid w:val="00BF0BA6"/>
    <w:rsid w:val="00BF0CA0"/>
    <w:rsid w:val="00BF0DF5"/>
    <w:rsid w:val="00BF0E2F"/>
    <w:rsid w:val="00BF0FBB"/>
    <w:rsid w:val="00BF0FC4"/>
    <w:rsid w:val="00BF10CE"/>
    <w:rsid w:val="00BF10F7"/>
    <w:rsid w:val="00BF1112"/>
    <w:rsid w:val="00BF1131"/>
    <w:rsid w:val="00BF11F0"/>
    <w:rsid w:val="00BF12C4"/>
    <w:rsid w:val="00BF131A"/>
    <w:rsid w:val="00BF13BB"/>
    <w:rsid w:val="00BF1524"/>
    <w:rsid w:val="00BF153D"/>
    <w:rsid w:val="00BF15A9"/>
    <w:rsid w:val="00BF15CA"/>
    <w:rsid w:val="00BF1700"/>
    <w:rsid w:val="00BF1733"/>
    <w:rsid w:val="00BF1773"/>
    <w:rsid w:val="00BF1836"/>
    <w:rsid w:val="00BF183C"/>
    <w:rsid w:val="00BF191A"/>
    <w:rsid w:val="00BF19C4"/>
    <w:rsid w:val="00BF1A1F"/>
    <w:rsid w:val="00BF1A88"/>
    <w:rsid w:val="00BF1A94"/>
    <w:rsid w:val="00BF1AAF"/>
    <w:rsid w:val="00BF1ABC"/>
    <w:rsid w:val="00BF1ABE"/>
    <w:rsid w:val="00BF1AED"/>
    <w:rsid w:val="00BF1B4A"/>
    <w:rsid w:val="00BF1B5B"/>
    <w:rsid w:val="00BF1B9E"/>
    <w:rsid w:val="00BF1C48"/>
    <w:rsid w:val="00BF1D56"/>
    <w:rsid w:val="00BF1D64"/>
    <w:rsid w:val="00BF1D72"/>
    <w:rsid w:val="00BF1DC9"/>
    <w:rsid w:val="00BF217E"/>
    <w:rsid w:val="00BF2225"/>
    <w:rsid w:val="00BF2309"/>
    <w:rsid w:val="00BF2482"/>
    <w:rsid w:val="00BF26D5"/>
    <w:rsid w:val="00BF26DF"/>
    <w:rsid w:val="00BF2713"/>
    <w:rsid w:val="00BF2723"/>
    <w:rsid w:val="00BF273D"/>
    <w:rsid w:val="00BF275D"/>
    <w:rsid w:val="00BF27A0"/>
    <w:rsid w:val="00BF2831"/>
    <w:rsid w:val="00BF2892"/>
    <w:rsid w:val="00BF2931"/>
    <w:rsid w:val="00BF29D9"/>
    <w:rsid w:val="00BF2A17"/>
    <w:rsid w:val="00BF2A5E"/>
    <w:rsid w:val="00BF2C0E"/>
    <w:rsid w:val="00BF2C20"/>
    <w:rsid w:val="00BF2D0E"/>
    <w:rsid w:val="00BF2DBB"/>
    <w:rsid w:val="00BF2DCD"/>
    <w:rsid w:val="00BF2E1C"/>
    <w:rsid w:val="00BF2E36"/>
    <w:rsid w:val="00BF2F2F"/>
    <w:rsid w:val="00BF2FC6"/>
    <w:rsid w:val="00BF30F3"/>
    <w:rsid w:val="00BF313D"/>
    <w:rsid w:val="00BF3148"/>
    <w:rsid w:val="00BF31A6"/>
    <w:rsid w:val="00BF329B"/>
    <w:rsid w:val="00BF32F4"/>
    <w:rsid w:val="00BF33AF"/>
    <w:rsid w:val="00BF33DE"/>
    <w:rsid w:val="00BF3582"/>
    <w:rsid w:val="00BF35B4"/>
    <w:rsid w:val="00BF3619"/>
    <w:rsid w:val="00BF364A"/>
    <w:rsid w:val="00BF3ADF"/>
    <w:rsid w:val="00BF3B45"/>
    <w:rsid w:val="00BF3BDA"/>
    <w:rsid w:val="00BF3BE0"/>
    <w:rsid w:val="00BF3C83"/>
    <w:rsid w:val="00BF3D71"/>
    <w:rsid w:val="00BF3EBD"/>
    <w:rsid w:val="00BF3F33"/>
    <w:rsid w:val="00BF3F61"/>
    <w:rsid w:val="00BF404A"/>
    <w:rsid w:val="00BF4087"/>
    <w:rsid w:val="00BF40B6"/>
    <w:rsid w:val="00BF40CD"/>
    <w:rsid w:val="00BF43E4"/>
    <w:rsid w:val="00BF4433"/>
    <w:rsid w:val="00BF4477"/>
    <w:rsid w:val="00BF44B3"/>
    <w:rsid w:val="00BF45F4"/>
    <w:rsid w:val="00BF463D"/>
    <w:rsid w:val="00BF4671"/>
    <w:rsid w:val="00BF48AD"/>
    <w:rsid w:val="00BF4925"/>
    <w:rsid w:val="00BF4A3F"/>
    <w:rsid w:val="00BF4A90"/>
    <w:rsid w:val="00BF4C98"/>
    <w:rsid w:val="00BF4C9D"/>
    <w:rsid w:val="00BF4CCD"/>
    <w:rsid w:val="00BF4DD4"/>
    <w:rsid w:val="00BF4E58"/>
    <w:rsid w:val="00BF4E5D"/>
    <w:rsid w:val="00BF4E62"/>
    <w:rsid w:val="00BF4F18"/>
    <w:rsid w:val="00BF4F4F"/>
    <w:rsid w:val="00BF4FA5"/>
    <w:rsid w:val="00BF4FDA"/>
    <w:rsid w:val="00BF502B"/>
    <w:rsid w:val="00BF5032"/>
    <w:rsid w:val="00BF512F"/>
    <w:rsid w:val="00BF5250"/>
    <w:rsid w:val="00BF52F4"/>
    <w:rsid w:val="00BF5431"/>
    <w:rsid w:val="00BF5432"/>
    <w:rsid w:val="00BF568F"/>
    <w:rsid w:val="00BF56A9"/>
    <w:rsid w:val="00BF57F4"/>
    <w:rsid w:val="00BF5853"/>
    <w:rsid w:val="00BF5902"/>
    <w:rsid w:val="00BF5914"/>
    <w:rsid w:val="00BF5A15"/>
    <w:rsid w:val="00BF5A9D"/>
    <w:rsid w:val="00BF5A9E"/>
    <w:rsid w:val="00BF5BAC"/>
    <w:rsid w:val="00BF5CB4"/>
    <w:rsid w:val="00BF5D5D"/>
    <w:rsid w:val="00BF5DBD"/>
    <w:rsid w:val="00BF5E69"/>
    <w:rsid w:val="00BF5E81"/>
    <w:rsid w:val="00BF5E9D"/>
    <w:rsid w:val="00BF5F92"/>
    <w:rsid w:val="00BF5FDB"/>
    <w:rsid w:val="00BF6039"/>
    <w:rsid w:val="00BF611C"/>
    <w:rsid w:val="00BF61F1"/>
    <w:rsid w:val="00BF62DE"/>
    <w:rsid w:val="00BF6362"/>
    <w:rsid w:val="00BF648E"/>
    <w:rsid w:val="00BF64A9"/>
    <w:rsid w:val="00BF658B"/>
    <w:rsid w:val="00BF65CA"/>
    <w:rsid w:val="00BF663A"/>
    <w:rsid w:val="00BF668C"/>
    <w:rsid w:val="00BF674F"/>
    <w:rsid w:val="00BF6945"/>
    <w:rsid w:val="00BF69A0"/>
    <w:rsid w:val="00BF69B5"/>
    <w:rsid w:val="00BF6A28"/>
    <w:rsid w:val="00BF6B60"/>
    <w:rsid w:val="00BF6C4B"/>
    <w:rsid w:val="00BF6C8D"/>
    <w:rsid w:val="00BF6DD5"/>
    <w:rsid w:val="00BF6E75"/>
    <w:rsid w:val="00BF6E95"/>
    <w:rsid w:val="00BF6FBD"/>
    <w:rsid w:val="00BF707E"/>
    <w:rsid w:val="00BF7090"/>
    <w:rsid w:val="00BF70BF"/>
    <w:rsid w:val="00BF70D7"/>
    <w:rsid w:val="00BF7193"/>
    <w:rsid w:val="00BF71B6"/>
    <w:rsid w:val="00BF7322"/>
    <w:rsid w:val="00BF733E"/>
    <w:rsid w:val="00BF7342"/>
    <w:rsid w:val="00BF7384"/>
    <w:rsid w:val="00BF743B"/>
    <w:rsid w:val="00BF750F"/>
    <w:rsid w:val="00BF757E"/>
    <w:rsid w:val="00BF761E"/>
    <w:rsid w:val="00BF7633"/>
    <w:rsid w:val="00BF7649"/>
    <w:rsid w:val="00BF7717"/>
    <w:rsid w:val="00BF77EF"/>
    <w:rsid w:val="00BF7889"/>
    <w:rsid w:val="00BF790F"/>
    <w:rsid w:val="00BF7959"/>
    <w:rsid w:val="00BF79DD"/>
    <w:rsid w:val="00BF79F7"/>
    <w:rsid w:val="00BF7A7F"/>
    <w:rsid w:val="00BF7B12"/>
    <w:rsid w:val="00BF7DD3"/>
    <w:rsid w:val="00BF7E55"/>
    <w:rsid w:val="00BF7F38"/>
    <w:rsid w:val="00C000CE"/>
    <w:rsid w:val="00C0010F"/>
    <w:rsid w:val="00C0011E"/>
    <w:rsid w:val="00C001E8"/>
    <w:rsid w:val="00C0023A"/>
    <w:rsid w:val="00C00304"/>
    <w:rsid w:val="00C0031D"/>
    <w:rsid w:val="00C003F7"/>
    <w:rsid w:val="00C00440"/>
    <w:rsid w:val="00C004A0"/>
    <w:rsid w:val="00C00592"/>
    <w:rsid w:val="00C005BF"/>
    <w:rsid w:val="00C00670"/>
    <w:rsid w:val="00C00692"/>
    <w:rsid w:val="00C00745"/>
    <w:rsid w:val="00C00750"/>
    <w:rsid w:val="00C00891"/>
    <w:rsid w:val="00C009EC"/>
    <w:rsid w:val="00C00A0E"/>
    <w:rsid w:val="00C00A40"/>
    <w:rsid w:val="00C00B3C"/>
    <w:rsid w:val="00C00B99"/>
    <w:rsid w:val="00C00BD0"/>
    <w:rsid w:val="00C00C4A"/>
    <w:rsid w:val="00C00C64"/>
    <w:rsid w:val="00C00C79"/>
    <w:rsid w:val="00C00C95"/>
    <w:rsid w:val="00C00D19"/>
    <w:rsid w:val="00C00E34"/>
    <w:rsid w:val="00C00E93"/>
    <w:rsid w:val="00C00F65"/>
    <w:rsid w:val="00C00FE0"/>
    <w:rsid w:val="00C01050"/>
    <w:rsid w:val="00C01090"/>
    <w:rsid w:val="00C010A4"/>
    <w:rsid w:val="00C010F0"/>
    <w:rsid w:val="00C01123"/>
    <w:rsid w:val="00C011AF"/>
    <w:rsid w:val="00C012A6"/>
    <w:rsid w:val="00C012E7"/>
    <w:rsid w:val="00C012F7"/>
    <w:rsid w:val="00C0132A"/>
    <w:rsid w:val="00C01348"/>
    <w:rsid w:val="00C014D6"/>
    <w:rsid w:val="00C014DA"/>
    <w:rsid w:val="00C014FE"/>
    <w:rsid w:val="00C014FF"/>
    <w:rsid w:val="00C0153B"/>
    <w:rsid w:val="00C015A7"/>
    <w:rsid w:val="00C016CC"/>
    <w:rsid w:val="00C0171C"/>
    <w:rsid w:val="00C01860"/>
    <w:rsid w:val="00C01889"/>
    <w:rsid w:val="00C01A04"/>
    <w:rsid w:val="00C01A13"/>
    <w:rsid w:val="00C01A67"/>
    <w:rsid w:val="00C01AF3"/>
    <w:rsid w:val="00C01B3A"/>
    <w:rsid w:val="00C01B5E"/>
    <w:rsid w:val="00C01B86"/>
    <w:rsid w:val="00C01BBA"/>
    <w:rsid w:val="00C01C14"/>
    <w:rsid w:val="00C01C45"/>
    <w:rsid w:val="00C01C80"/>
    <w:rsid w:val="00C01CF4"/>
    <w:rsid w:val="00C01D5C"/>
    <w:rsid w:val="00C01D9C"/>
    <w:rsid w:val="00C01E05"/>
    <w:rsid w:val="00C01E2D"/>
    <w:rsid w:val="00C01E52"/>
    <w:rsid w:val="00C01F37"/>
    <w:rsid w:val="00C01F73"/>
    <w:rsid w:val="00C01F86"/>
    <w:rsid w:val="00C01FEA"/>
    <w:rsid w:val="00C02007"/>
    <w:rsid w:val="00C02053"/>
    <w:rsid w:val="00C02148"/>
    <w:rsid w:val="00C02335"/>
    <w:rsid w:val="00C02393"/>
    <w:rsid w:val="00C0244F"/>
    <w:rsid w:val="00C024E8"/>
    <w:rsid w:val="00C02624"/>
    <w:rsid w:val="00C026DE"/>
    <w:rsid w:val="00C026E0"/>
    <w:rsid w:val="00C02743"/>
    <w:rsid w:val="00C0284B"/>
    <w:rsid w:val="00C02856"/>
    <w:rsid w:val="00C02954"/>
    <w:rsid w:val="00C0299C"/>
    <w:rsid w:val="00C02AC1"/>
    <w:rsid w:val="00C02B43"/>
    <w:rsid w:val="00C02B4C"/>
    <w:rsid w:val="00C02B5E"/>
    <w:rsid w:val="00C02B83"/>
    <w:rsid w:val="00C02C55"/>
    <w:rsid w:val="00C02CBA"/>
    <w:rsid w:val="00C02CED"/>
    <w:rsid w:val="00C02CFF"/>
    <w:rsid w:val="00C02D82"/>
    <w:rsid w:val="00C02DA4"/>
    <w:rsid w:val="00C02E98"/>
    <w:rsid w:val="00C02E9A"/>
    <w:rsid w:val="00C02FD2"/>
    <w:rsid w:val="00C030ED"/>
    <w:rsid w:val="00C0328B"/>
    <w:rsid w:val="00C03391"/>
    <w:rsid w:val="00C03416"/>
    <w:rsid w:val="00C034A9"/>
    <w:rsid w:val="00C03506"/>
    <w:rsid w:val="00C03573"/>
    <w:rsid w:val="00C03679"/>
    <w:rsid w:val="00C03764"/>
    <w:rsid w:val="00C037DA"/>
    <w:rsid w:val="00C03857"/>
    <w:rsid w:val="00C0396C"/>
    <w:rsid w:val="00C039DF"/>
    <w:rsid w:val="00C03A44"/>
    <w:rsid w:val="00C03B51"/>
    <w:rsid w:val="00C03BCB"/>
    <w:rsid w:val="00C03CD8"/>
    <w:rsid w:val="00C03D87"/>
    <w:rsid w:val="00C03E06"/>
    <w:rsid w:val="00C04105"/>
    <w:rsid w:val="00C04117"/>
    <w:rsid w:val="00C043A5"/>
    <w:rsid w:val="00C0444C"/>
    <w:rsid w:val="00C044D1"/>
    <w:rsid w:val="00C04659"/>
    <w:rsid w:val="00C0476D"/>
    <w:rsid w:val="00C0477D"/>
    <w:rsid w:val="00C047FA"/>
    <w:rsid w:val="00C04825"/>
    <w:rsid w:val="00C04870"/>
    <w:rsid w:val="00C048EA"/>
    <w:rsid w:val="00C04923"/>
    <w:rsid w:val="00C04986"/>
    <w:rsid w:val="00C0498E"/>
    <w:rsid w:val="00C04A14"/>
    <w:rsid w:val="00C04A85"/>
    <w:rsid w:val="00C04BEF"/>
    <w:rsid w:val="00C04CB6"/>
    <w:rsid w:val="00C04D18"/>
    <w:rsid w:val="00C04D21"/>
    <w:rsid w:val="00C04D4A"/>
    <w:rsid w:val="00C04D4D"/>
    <w:rsid w:val="00C04E12"/>
    <w:rsid w:val="00C04E81"/>
    <w:rsid w:val="00C04EC1"/>
    <w:rsid w:val="00C04F0F"/>
    <w:rsid w:val="00C0500C"/>
    <w:rsid w:val="00C050A6"/>
    <w:rsid w:val="00C050FC"/>
    <w:rsid w:val="00C05240"/>
    <w:rsid w:val="00C05257"/>
    <w:rsid w:val="00C0529A"/>
    <w:rsid w:val="00C052B6"/>
    <w:rsid w:val="00C05319"/>
    <w:rsid w:val="00C053D1"/>
    <w:rsid w:val="00C054AC"/>
    <w:rsid w:val="00C055E7"/>
    <w:rsid w:val="00C055FD"/>
    <w:rsid w:val="00C0580C"/>
    <w:rsid w:val="00C058ED"/>
    <w:rsid w:val="00C05A15"/>
    <w:rsid w:val="00C05B45"/>
    <w:rsid w:val="00C05BD4"/>
    <w:rsid w:val="00C05C2F"/>
    <w:rsid w:val="00C05C66"/>
    <w:rsid w:val="00C05C76"/>
    <w:rsid w:val="00C05CDB"/>
    <w:rsid w:val="00C05E16"/>
    <w:rsid w:val="00C0606D"/>
    <w:rsid w:val="00C0613F"/>
    <w:rsid w:val="00C06311"/>
    <w:rsid w:val="00C0631C"/>
    <w:rsid w:val="00C0648A"/>
    <w:rsid w:val="00C0656A"/>
    <w:rsid w:val="00C06586"/>
    <w:rsid w:val="00C0665B"/>
    <w:rsid w:val="00C06681"/>
    <w:rsid w:val="00C06699"/>
    <w:rsid w:val="00C0673F"/>
    <w:rsid w:val="00C06A4C"/>
    <w:rsid w:val="00C06A91"/>
    <w:rsid w:val="00C06AAD"/>
    <w:rsid w:val="00C06ACC"/>
    <w:rsid w:val="00C06B6B"/>
    <w:rsid w:val="00C06BBD"/>
    <w:rsid w:val="00C06BF1"/>
    <w:rsid w:val="00C06BFE"/>
    <w:rsid w:val="00C06C03"/>
    <w:rsid w:val="00C06C16"/>
    <w:rsid w:val="00C06CAC"/>
    <w:rsid w:val="00C06D76"/>
    <w:rsid w:val="00C06DA8"/>
    <w:rsid w:val="00C06E26"/>
    <w:rsid w:val="00C06EA5"/>
    <w:rsid w:val="00C06EB0"/>
    <w:rsid w:val="00C06FF9"/>
    <w:rsid w:val="00C072F5"/>
    <w:rsid w:val="00C073F5"/>
    <w:rsid w:val="00C07432"/>
    <w:rsid w:val="00C0750E"/>
    <w:rsid w:val="00C07594"/>
    <w:rsid w:val="00C07653"/>
    <w:rsid w:val="00C0771B"/>
    <w:rsid w:val="00C077DA"/>
    <w:rsid w:val="00C07882"/>
    <w:rsid w:val="00C0789F"/>
    <w:rsid w:val="00C07903"/>
    <w:rsid w:val="00C079D1"/>
    <w:rsid w:val="00C079FB"/>
    <w:rsid w:val="00C07A55"/>
    <w:rsid w:val="00C07A73"/>
    <w:rsid w:val="00C07AB5"/>
    <w:rsid w:val="00C07B3A"/>
    <w:rsid w:val="00C07C42"/>
    <w:rsid w:val="00C07C6B"/>
    <w:rsid w:val="00C07CF9"/>
    <w:rsid w:val="00C07D24"/>
    <w:rsid w:val="00C07DFE"/>
    <w:rsid w:val="00C07ED0"/>
    <w:rsid w:val="00C07FB0"/>
    <w:rsid w:val="00C07FFA"/>
    <w:rsid w:val="00C100A9"/>
    <w:rsid w:val="00C10100"/>
    <w:rsid w:val="00C101D2"/>
    <w:rsid w:val="00C102F3"/>
    <w:rsid w:val="00C1032D"/>
    <w:rsid w:val="00C10370"/>
    <w:rsid w:val="00C1038B"/>
    <w:rsid w:val="00C10454"/>
    <w:rsid w:val="00C104C7"/>
    <w:rsid w:val="00C104E0"/>
    <w:rsid w:val="00C10551"/>
    <w:rsid w:val="00C105AA"/>
    <w:rsid w:val="00C105D2"/>
    <w:rsid w:val="00C10615"/>
    <w:rsid w:val="00C10648"/>
    <w:rsid w:val="00C106CB"/>
    <w:rsid w:val="00C10870"/>
    <w:rsid w:val="00C10907"/>
    <w:rsid w:val="00C10991"/>
    <w:rsid w:val="00C109FD"/>
    <w:rsid w:val="00C10B3A"/>
    <w:rsid w:val="00C10B5F"/>
    <w:rsid w:val="00C10C3C"/>
    <w:rsid w:val="00C10C4B"/>
    <w:rsid w:val="00C10D29"/>
    <w:rsid w:val="00C10E1C"/>
    <w:rsid w:val="00C10E75"/>
    <w:rsid w:val="00C10E7A"/>
    <w:rsid w:val="00C1108F"/>
    <w:rsid w:val="00C1110D"/>
    <w:rsid w:val="00C1138C"/>
    <w:rsid w:val="00C113A4"/>
    <w:rsid w:val="00C113ED"/>
    <w:rsid w:val="00C1163F"/>
    <w:rsid w:val="00C1164B"/>
    <w:rsid w:val="00C11767"/>
    <w:rsid w:val="00C11786"/>
    <w:rsid w:val="00C1185C"/>
    <w:rsid w:val="00C118D1"/>
    <w:rsid w:val="00C119D2"/>
    <w:rsid w:val="00C119DD"/>
    <w:rsid w:val="00C11A50"/>
    <w:rsid w:val="00C11ACE"/>
    <w:rsid w:val="00C11AD4"/>
    <w:rsid w:val="00C11C04"/>
    <w:rsid w:val="00C11C5C"/>
    <w:rsid w:val="00C11C99"/>
    <w:rsid w:val="00C11D19"/>
    <w:rsid w:val="00C11F34"/>
    <w:rsid w:val="00C11F3F"/>
    <w:rsid w:val="00C12012"/>
    <w:rsid w:val="00C12198"/>
    <w:rsid w:val="00C12310"/>
    <w:rsid w:val="00C123AC"/>
    <w:rsid w:val="00C123B2"/>
    <w:rsid w:val="00C123C5"/>
    <w:rsid w:val="00C124B9"/>
    <w:rsid w:val="00C124D7"/>
    <w:rsid w:val="00C12516"/>
    <w:rsid w:val="00C12596"/>
    <w:rsid w:val="00C125C5"/>
    <w:rsid w:val="00C12739"/>
    <w:rsid w:val="00C12762"/>
    <w:rsid w:val="00C12767"/>
    <w:rsid w:val="00C127B1"/>
    <w:rsid w:val="00C12827"/>
    <w:rsid w:val="00C129A7"/>
    <w:rsid w:val="00C12A43"/>
    <w:rsid w:val="00C12B2A"/>
    <w:rsid w:val="00C12B81"/>
    <w:rsid w:val="00C12BD1"/>
    <w:rsid w:val="00C12C8A"/>
    <w:rsid w:val="00C12D46"/>
    <w:rsid w:val="00C12DBF"/>
    <w:rsid w:val="00C12E8F"/>
    <w:rsid w:val="00C12EA0"/>
    <w:rsid w:val="00C12F1A"/>
    <w:rsid w:val="00C1300A"/>
    <w:rsid w:val="00C1302F"/>
    <w:rsid w:val="00C13176"/>
    <w:rsid w:val="00C131D3"/>
    <w:rsid w:val="00C13381"/>
    <w:rsid w:val="00C133DE"/>
    <w:rsid w:val="00C13422"/>
    <w:rsid w:val="00C13430"/>
    <w:rsid w:val="00C134AF"/>
    <w:rsid w:val="00C134B7"/>
    <w:rsid w:val="00C134E6"/>
    <w:rsid w:val="00C135C5"/>
    <w:rsid w:val="00C13611"/>
    <w:rsid w:val="00C137B7"/>
    <w:rsid w:val="00C13832"/>
    <w:rsid w:val="00C13853"/>
    <w:rsid w:val="00C138DF"/>
    <w:rsid w:val="00C139E2"/>
    <w:rsid w:val="00C13A06"/>
    <w:rsid w:val="00C13A8D"/>
    <w:rsid w:val="00C13AEA"/>
    <w:rsid w:val="00C13C65"/>
    <w:rsid w:val="00C13CA5"/>
    <w:rsid w:val="00C13CB9"/>
    <w:rsid w:val="00C13DBE"/>
    <w:rsid w:val="00C13DC1"/>
    <w:rsid w:val="00C13F06"/>
    <w:rsid w:val="00C13F12"/>
    <w:rsid w:val="00C13FDE"/>
    <w:rsid w:val="00C140C9"/>
    <w:rsid w:val="00C142B3"/>
    <w:rsid w:val="00C14300"/>
    <w:rsid w:val="00C1431F"/>
    <w:rsid w:val="00C14420"/>
    <w:rsid w:val="00C1443B"/>
    <w:rsid w:val="00C1448A"/>
    <w:rsid w:val="00C144D8"/>
    <w:rsid w:val="00C145C0"/>
    <w:rsid w:val="00C146FE"/>
    <w:rsid w:val="00C14728"/>
    <w:rsid w:val="00C147DA"/>
    <w:rsid w:val="00C14916"/>
    <w:rsid w:val="00C1498E"/>
    <w:rsid w:val="00C149A7"/>
    <w:rsid w:val="00C149B7"/>
    <w:rsid w:val="00C149F5"/>
    <w:rsid w:val="00C14A29"/>
    <w:rsid w:val="00C14B40"/>
    <w:rsid w:val="00C14B48"/>
    <w:rsid w:val="00C14D9B"/>
    <w:rsid w:val="00C14E32"/>
    <w:rsid w:val="00C14F1B"/>
    <w:rsid w:val="00C15085"/>
    <w:rsid w:val="00C15104"/>
    <w:rsid w:val="00C15108"/>
    <w:rsid w:val="00C15169"/>
    <w:rsid w:val="00C151D7"/>
    <w:rsid w:val="00C1520C"/>
    <w:rsid w:val="00C152B7"/>
    <w:rsid w:val="00C152D9"/>
    <w:rsid w:val="00C15331"/>
    <w:rsid w:val="00C1537D"/>
    <w:rsid w:val="00C15460"/>
    <w:rsid w:val="00C154BF"/>
    <w:rsid w:val="00C15564"/>
    <w:rsid w:val="00C156FD"/>
    <w:rsid w:val="00C15772"/>
    <w:rsid w:val="00C15797"/>
    <w:rsid w:val="00C1595F"/>
    <w:rsid w:val="00C159FF"/>
    <w:rsid w:val="00C15C05"/>
    <w:rsid w:val="00C15E87"/>
    <w:rsid w:val="00C15E9D"/>
    <w:rsid w:val="00C15EA9"/>
    <w:rsid w:val="00C16036"/>
    <w:rsid w:val="00C16074"/>
    <w:rsid w:val="00C16097"/>
    <w:rsid w:val="00C161D2"/>
    <w:rsid w:val="00C16223"/>
    <w:rsid w:val="00C162BD"/>
    <w:rsid w:val="00C1633F"/>
    <w:rsid w:val="00C16419"/>
    <w:rsid w:val="00C1645C"/>
    <w:rsid w:val="00C164E6"/>
    <w:rsid w:val="00C1659B"/>
    <w:rsid w:val="00C166F1"/>
    <w:rsid w:val="00C166FB"/>
    <w:rsid w:val="00C1676C"/>
    <w:rsid w:val="00C168B0"/>
    <w:rsid w:val="00C16931"/>
    <w:rsid w:val="00C16960"/>
    <w:rsid w:val="00C169C8"/>
    <w:rsid w:val="00C16A31"/>
    <w:rsid w:val="00C16C42"/>
    <w:rsid w:val="00C16D34"/>
    <w:rsid w:val="00C16D62"/>
    <w:rsid w:val="00C16E5D"/>
    <w:rsid w:val="00C16F60"/>
    <w:rsid w:val="00C16F94"/>
    <w:rsid w:val="00C170AC"/>
    <w:rsid w:val="00C170D5"/>
    <w:rsid w:val="00C171E5"/>
    <w:rsid w:val="00C1724F"/>
    <w:rsid w:val="00C173A1"/>
    <w:rsid w:val="00C173B8"/>
    <w:rsid w:val="00C17490"/>
    <w:rsid w:val="00C17588"/>
    <w:rsid w:val="00C175D0"/>
    <w:rsid w:val="00C17924"/>
    <w:rsid w:val="00C17A35"/>
    <w:rsid w:val="00C17A50"/>
    <w:rsid w:val="00C17AA1"/>
    <w:rsid w:val="00C17B42"/>
    <w:rsid w:val="00C17D5B"/>
    <w:rsid w:val="00C17DD6"/>
    <w:rsid w:val="00C17E2C"/>
    <w:rsid w:val="00C17EE3"/>
    <w:rsid w:val="00C17F1F"/>
    <w:rsid w:val="00C17F54"/>
    <w:rsid w:val="00C17FFA"/>
    <w:rsid w:val="00C2005F"/>
    <w:rsid w:val="00C20066"/>
    <w:rsid w:val="00C20072"/>
    <w:rsid w:val="00C200C6"/>
    <w:rsid w:val="00C200E8"/>
    <w:rsid w:val="00C201F5"/>
    <w:rsid w:val="00C203AD"/>
    <w:rsid w:val="00C2053E"/>
    <w:rsid w:val="00C205B4"/>
    <w:rsid w:val="00C205B5"/>
    <w:rsid w:val="00C20714"/>
    <w:rsid w:val="00C20732"/>
    <w:rsid w:val="00C2075D"/>
    <w:rsid w:val="00C207A1"/>
    <w:rsid w:val="00C2096B"/>
    <w:rsid w:val="00C209A1"/>
    <w:rsid w:val="00C20A76"/>
    <w:rsid w:val="00C20DC5"/>
    <w:rsid w:val="00C20E5F"/>
    <w:rsid w:val="00C20F40"/>
    <w:rsid w:val="00C20F64"/>
    <w:rsid w:val="00C211A2"/>
    <w:rsid w:val="00C211EB"/>
    <w:rsid w:val="00C2120D"/>
    <w:rsid w:val="00C212AD"/>
    <w:rsid w:val="00C2138A"/>
    <w:rsid w:val="00C213C0"/>
    <w:rsid w:val="00C21426"/>
    <w:rsid w:val="00C2150E"/>
    <w:rsid w:val="00C21513"/>
    <w:rsid w:val="00C21555"/>
    <w:rsid w:val="00C21944"/>
    <w:rsid w:val="00C21988"/>
    <w:rsid w:val="00C219B5"/>
    <w:rsid w:val="00C21A2F"/>
    <w:rsid w:val="00C21A8D"/>
    <w:rsid w:val="00C21B99"/>
    <w:rsid w:val="00C21C36"/>
    <w:rsid w:val="00C21E2C"/>
    <w:rsid w:val="00C21E86"/>
    <w:rsid w:val="00C2208B"/>
    <w:rsid w:val="00C220C7"/>
    <w:rsid w:val="00C22126"/>
    <w:rsid w:val="00C2218D"/>
    <w:rsid w:val="00C22248"/>
    <w:rsid w:val="00C222A4"/>
    <w:rsid w:val="00C222DB"/>
    <w:rsid w:val="00C223A2"/>
    <w:rsid w:val="00C22487"/>
    <w:rsid w:val="00C22503"/>
    <w:rsid w:val="00C22561"/>
    <w:rsid w:val="00C2256C"/>
    <w:rsid w:val="00C22578"/>
    <w:rsid w:val="00C2259B"/>
    <w:rsid w:val="00C225AE"/>
    <w:rsid w:val="00C2264C"/>
    <w:rsid w:val="00C2265B"/>
    <w:rsid w:val="00C226B2"/>
    <w:rsid w:val="00C22732"/>
    <w:rsid w:val="00C227BE"/>
    <w:rsid w:val="00C22839"/>
    <w:rsid w:val="00C22975"/>
    <w:rsid w:val="00C22A64"/>
    <w:rsid w:val="00C22A79"/>
    <w:rsid w:val="00C22AD1"/>
    <w:rsid w:val="00C22BAC"/>
    <w:rsid w:val="00C22C11"/>
    <w:rsid w:val="00C22D8B"/>
    <w:rsid w:val="00C22ECF"/>
    <w:rsid w:val="00C22F0F"/>
    <w:rsid w:val="00C22F8F"/>
    <w:rsid w:val="00C22FCC"/>
    <w:rsid w:val="00C22FCF"/>
    <w:rsid w:val="00C22FF0"/>
    <w:rsid w:val="00C22FFD"/>
    <w:rsid w:val="00C231F4"/>
    <w:rsid w:val="00C232A0"/>
    <w:rsid w:val="00C232E0"/>
    <w:rsid w:val="00C233EC"/>
    <w:rsid w:val="00C23708"/>
    <w:rsid w:val="00C237D9"/>
    <w:rsid w:val="00C23829"/>
    <w:rsid w:val="00C23873"/>
    <w:rsid w:val="00C23938"/>
    <w:rsid w:val="00C23BB6"/>
    <w:rsid w:val="00C23BB7"/>
    <w:rsid w:val="00C23CA5"/>
    <w:rsid w:val="00C23E37"/>
    <w:rsid w:val="00C23EA7"/>
    <w:rsid w:val="00C23EAD"/>
    <w:rsid w:val="00C23EC3"/>
    <w:rsid w:val="00C23F19"/>
    <w:rsid w:val="00C23F70"/>
    <w:rsid w:val="00C23FD1"/>
    <w:rsid w:val="00C24091"/>
    <w:rsid w:val="00C2409E"/>
    <w:rsid w:val="00C240FE"/>
    <w:rsid w:val="00C24228"/>
    <w:rsid w:val="00C2436D"/>
    <w:rsid w:val="00C24462"/>
    <w:rsid w:val="00C24518"/>
    <w:rsid w:val="00C2452B"/>
    <w:rsid w:val="00C245A3"/>
    <w:rsid w:val="00C245B2"/>
    <w:rsid w:val="00C245FC"/>
    <w:rsid w:val="00C24772"/>
    <w:rsid w:val="00C24785"/>
    <w:rsid w:val="00C24813"/>
    <w:rsid w:val="00C24855"/>
    <w:rsid w:val="00C24925"/>
    <w:rsid w:val="00C2493B"/>
    <w:rsid w:val="00C249A9"/>
    <w:rsid w:val="00C249C2"/>
    <w:rsid w:val="00C24B0A"/>
    <w:rsid w:val="00C24B5D"/>
    <w:rsid w:val="00C24B87"/>
    <w:rsid w:val="00C24DB0"/>
    <w:rsid w:val="00C24F0D"/>
    <w:rsid w:val="00C24FD2"/>
    <w:rsid w:val="00C25093"/>
    <w:rsid w:val="00C250EB"/>
    <w:rsid w:val="00C2512A"/>
    <w:rsid w:val="00C2515F"/>
    <w:rsid w:val="00C2544C"/>
    <w:rsid w:val="00C254A8"/>
    <w:rsid w:val="00C254BE"/>
    <w:rsid w:val="00C254C9"/>
    <w:rsid w:val="00C25570"/>
    <w:rsid w:val="00C255E4"/>
    <w:rsid w:val="00C256CB"/>
    <w:rsid w:val="00C257B8"/>
    <w:rsid w:val="00C257BF"/>
    <w:rsid w:val="00C2581B"/>
    <w:rsid w:val="00C25824"/>
    <w:rsid w:val="00C2586B"/>
    <w:rsid w:val="00C25875"/>
    <w:rsid w:val="00C259C2"/>
    <w:rsid w:val="00C259E7"/>
    <w:rsid w:val="00C25B7B"/>
    <w:rsid w:val="00C25CD8"/>
    <w:rsid w:val="00C25D07"/>
    <w:rsid w:val="00C25E20"/>
    <w:rsid w:val="00C25E8A"/>
    <w:rsid w:val="00C25F39"/>
    <w:rsid w:val="00C25F84"/>
    <w:rsid w:val="00C25FC5"/>
    <w:rsid w:val="00C25FD6"/>
    <w:rsid w:val="00C260D4"/>
    <w:rsid w:val="00C26135"/>
    <w:rsid w:val="00C26175"/>
    <w:rsid w:val="00C261D0"/>
    <w:rsid w:val="00C261D3"/>
    <w:rsid w:val="00C26381"/>
    <w:rsid w:val="00C263E7"/>
    <w:rsid w:val="00C263F4"/>
    <w:rsid w:val="00C26531"/>
    <w:rsid w:val="00C2657B"/>
    <w:rsid w:val="00C266B4"/>
    <w:rsid w:val="00C266BB"/>
    <w:rsid w:val="00C26826"/>
    <w:rsid w:val="00C2685A"/>
    <w:rsid w:val="00C26A1B"/>
    <w:rsid w:val="00C26B1C"/>
    <w:rsid w:val="00C26BC0"/>
    <w:rsid w:val="00C26C17"/>
    <w:rsid w:val="00C26C27"/>
    <w:rsid w:val="00C26C3F"/>
    <w:rsid w:val="00C26CAF"/>
    <w:rsid w:val="00C26D37"/>
    <w:rsid w:val="00C26D60"/>
    <w:rsid w:val="00C26D6D"/>
    <w:rsid w:val="00C26F8A"/>
    <w:rsid w:val="00C26FE7"/>
    <w:rsid w:val="00C27102"/>
    <w:rsid w:val="00C2710E"/>
    <w:rsid w:val="00C2724B"/>
    <w:rsid w:val="00C27296"/>
    <w:rsid w:val="00C272D5"/>
    <w:rsid w:val="00C2735F"/>
    <w:rsid w:val="00C2739B"/>
    <w:rsid w:val="00C274AA"/>
    <w:rsid w:val="00C27607"/>
    <w:rsid w:val="00C2762A"/>
    <w:rsid w:val="00C27722"/>
    <w:rsid w:val="00C2774D"/>
    <w:rsid w:val="00C2787C"/>
    <w:rsid w:val="00C27959"/>
    <w:rsid w:val="00C27A43"/>
    <w:rsid w:val="00C27A80"/>
    <w:rsid w:val="00C27AB5"/>
    <w:rsid w:val="00C27B8A"/>
    <w:rsid w:val="00C27C3B"/>
    <w:rsid w:val="00C27D1A"/>
    <w:rsid w:val="00C27E1F"/>
    <w:rsid w:val="00C27EB5"/>
    <w:rsid w:val="00C300FD"/>
    <w:rsid w:val="00C30104"/>
    <w:rsid w:val="00C30151"/>
    <w:rsid w:val="00C30287"/>
    <w:rsid w:val="00C30391"/>
    <w:rsid w:val="00C305C3"/>
    <w:rsid w:val="00C30619"/>
    <w:rsid w:val="00C3062E"/>
    <w:rsid w:val="00C30638"/>
    <w:rsid w:val="00C3064A"/>
    <w:rsid w:val="00C30730"/>
    <w:rsid w:val="00C30742"/>
    <w:rsid w:val="00C3085A"/>
    <w:rsid w:val="00C30864"/>
    <w:rsid w:val="00C30871"/>
    <w:rsid w:val="00C30990"/>
    <w:rsid w:val="00C30C8F"/>
    <w:rsid w:val="00C30CE9"/>
    <w:rsid w:val="00C30CFD"/>
    <w:rsid w:val="00C30D31"/>
    <w:rsid w:val="00C30E56"/>
    <w:rsid w:val="00C31061"/>
    <w:rsid w:val="00C31113"/>
    <w:rsid w:val="00C311A8"/>
    <w:rsid w:val="00C311ED"/>
    <w:rsid w:val="00C31205"/>
    <w:rsid w:val="00C31372"/>
    <w:rsid w:val="00C31561"/>
    <w:rsid w:val="00C31583"/>
    <w:rsid w:val="00C316AB"/>
    <w:rsid w:val="00C3171B"/>
    <w:rsid w:val="00C31780"/>
    <w:rsid w:val="00C317B3"/>
    <w:rsid w:val="00C3193E"/>
    <w:rsid w:val="00C3195A"/>
    <w:rsid w:val="00C319F6"/>
    <w:rsid w:val="00C31A29"/>
    <w:rsid w:val="00C31ACD"/>
    <w:rsid w:val="00C31BB0"/>
    <w:rsid w:val="00C31BC5"/>
    <w:rsid w:val="00C31C0D"/>
    <w:rsid w:val="00C31E8A"/>
    <w:rsid w:val="00C31F0F"/>
    <w:rsid w:val="00C31FAD"/>
    <w:rsid w:val="00C31FF5"/>
    <w:rsid w:val="00C32091"/>
    <w:rsid w:val="00C321E0"/>
    <w:rsid w:val="00C321E2"/>
    <w:rsid w:val="00C321EA"/>
    <w:rsid w:val="00C322EF"/>
    <w:rsid w:val="00C32300"/>
    <w:rsid w:val="00C3237E"/>
    <w:rsid w:val="00C324D5"/>
    <w:rsid w:val="00C32636"/>
    <w:rsid w:val="00C3264F"/>
    <w:rsid w:val="00C32745"/>
    <w:rsid w:val="00C32765"/>
    <w:rsid w:val="00C327FD"/>
    <w:rsid w:val="00C3287D"/>
    <w:rsid w:val="00C328AE"/>
    <w:rsid w:val="00C328B2"/>
    <w:rsid w:val="00C32933"/>
    <w:rsid w:val="00C32965"/>
    <w:rsid w:val="00C329A8"/>
    <w:rsid w:val="00C32A33"/>
    <w:rsid w:val="00C32A6F"/>
    <w:rsid w:val="00C32AC4"/>
    <w:rsid w:val="00C32B66"/>
    <w:rsid w:val="00C32B9B"/>
    <w:rsid w:val="00C32C8B"/>
    <w:rsid w:val="00C32D44"/>
    <w:rsid w:val="00C32D6C"/>
    <w:rsid w:val="00C32E4E"/>
    <w:rsid w:val="00C32F97"/>
    <w:rsid w:val="00C32FB7"/>
    <w:rsid w:val="00C3300C"/>
    <w:rsid w:val="00C33043"/>
    <w:rsid w:val="00C330FA"/>
    <w:rsid w:val="00C33184"/>
    <w:rsid w:val="00C33271"/>
    <w:rsid w:val="00C3331D"/>
    <w:rsid w:val="00C3337C"/>
    <w:rsid w:val="00C33650"/>
    <w:rsid w:val="00C33654"/>
    <w:rsid w:val="00C3372E"/>
    <w:rsid w:val="00C337E3"/>
    <w:rsid w:val="00C337E8"/>
    <w:rsid w:val="00C338E1"/>
    <w:rsid w:val="00C3398C"/>
    <w:rsid w:val="00C33991"/>
    <w:rsid w:val="00C339D0"/>
    <w:rsid w:val="00C33AD4"/>
    <w:rsid w:val="00C33B15"/>
    <w:rsid w:val="00C33BE5"/>
    <w:rsid w:val="00C33BFF"/>
    <w:rsid w:val="00C33C4F"/>
    <w:rsid w:val="00C33DBD"/>
    <w:rsid w:val="00C33E54"/>
    <w:rsid w:val="00C33F0E"/>
    <w:rsid w:val="00C33FB3"/>
    <w:rsid w:val="00C340BD"/>
    <w:rsid w:val="00C3410C"/>
    <w:rsid w:val="00C341AE"/>
    <w:rsid w:val="00C341D3"/>
    <w:rsid w:val="00C3426D"/>
    <w:rsid w:val="00C3429F"/>
    <w:rsid w:val="00C34354"/>
    <w:rsid w:val="00C344A9"/>
    <w:rsid w:val="00C344AF"/>
    <w:rsid w:val="00C34535"/>
    <w:rsid w:val="00C346AC"/>
    <w:rsid w:val="00C3475A"/>
    <w:rsid w:val="00C34798"/>
    <w:rsid w:val="00C348A8"/>
    <w:rsid w:val="00C349A1"/>
    <w:rsid w:val="00C34A41"/>
    <w:rsid w:val="00C34A5F"/>
    <w:rsid w:val="00C34AC0"/>
    <w:rsid w:val="00C34C42"/>
    <w:rsid w:val="00C34C8D"/>
    <w:rsid w:val="00C34CC0"/>
    <w:rsid w:val="00C34D4A"/>
    <w:rsid w:val="00C34DC3"/>
    <w:rsid w:val="00C34E5C"/>
    <w:rsid w:val="00C34F4B"/>
    <w:rsid w:val="00C34FC0"/>
    <w:rsid w:val="00C35040"/>
    <w:rsid w:val="00C35177"/>
    <w:rsid w:val="00C35291"/>
    <w:rsid w:val="00C352A1"/>
    <w:rsid w:val="00C352E1"/>
    <w:rsid w:val="00C352E9"/>
    <w:rsid w:val="00C3543F"/>
    <w:rsid w:val="00C3553C"/>
    <w:rsid w:val="00C3555B"/>
    <w:rsid w:val="00C3561F"/>
    <w:rsid w:val="00C356C6"/>
    <w:rsid w:val="00C35743"/>
    <w:rsid w:val="00C35764"/>
    <w:rsid w:val="00C3577E"/>
    <w:rsid w:val="00C3579F"/>
    <w:rsid w:val="00C357E6"/>
    <w:rsid w:val="00C3593D"/>
    <w:rsid w:val="00C3593E"/>
    <w:rsid w:val="00C3595B"/>
    <w:rsid w:val="00C359C0"/>
    <w:rsid w:val="00C359D4"/>
    <w:rsid w:val="00C35A2C"/>
    <w:rsid w:val="00C35AB9"/>
    <w:rsid w:val="00C35B00"/>
    <w:rsid w:val="00C35B1B"/>
    <w:rsid w:val="00C35C51"/>
    <w:rsid w:val="00C35C55"/>
    <w:rsid w:val="00C35D0C"/>
    <w:rsid w:val="00C35E22"/>
    <w:rsid w:val="00C35E3A"/>
    <w:rsid w:val="00C35E70"/>
    <w:rsid w:val="00C35E9A"/>
    <w:rsid w:val="00C35F5C"/>
    <w:rsid w:val="00C360AE"/>
    <w:rsid w:val="00C36711"/>
    <w:rsid w:val="00C3693F"/>
    <w:rsid w:val="00C36946"/>
    <w:rsid w:val="00C3697C"/>
    <w:rsid w:val="00C369D9"/>
    <w:rsid w:val="00C36AE8"/>
    <w:rsid w:val="00C36AF5"/>
    <w:rsid w:val="00C36C35"/>
    <w:rsid w:val="00C36C3F"/>
    <w:rsid w:val="00C36D30"/>
    <w:rsid w:val="00C36E03"/>
    <w:rsid w:val="00C36EB1"/>
    <w:rsid w:val="00C36F6F"/>
    <w:rsid w:val="00C36F9D"/>
    <w:rsid w:val="00C36FD2"/>
    <w:rsid w:val="00C37029"/>
    <w:rsid w:val="00C37148"/>
    <w:rsid w:val="00C371A0"/>
    <w:rsid w:val="00C371E2"/>
    <w:rsid w:val="00C372E5"/>
    <w:rsid w:val="00C372F8"/>
    <w:rsid w:val="00C37446"/>
    <w:rsid w:val="00C37449"/>
    <w:rsid w:val="00C37477"/>
    <w:rsid w:val="00C374F7"/>
    <w:rsid w:val="00C375A2"/>
    <w:rsid w:val="00C375EF"/>
    <w:rsid w:val="00C37674"/>
    <w:rsid w:val="00C3767D"/>
    <w:rsid w:val="00C376BD"/>
    <w:rsid w:val="00C3781D"/>
    <w:rsid w:val="00C37864"/>
    <w:rsid w:val="00C3794A"/>
    <w:rsid w:val="00C3794C"/>
    <w:rsid w:val="00C37B5C"/>
    <w:rsid w:val="00C37B5D"/>
    <w:rsid w:val="00C37BB7"/>
    <w:rsid w:val="00C37C83"/>
    <w:rsid w:val="00C37CA6"/>
    <w:rsid w:val="00C37E0B"/>
    <w:rsid w:val="00C37E43"/>
    <w:rsid w:val="00C37EEC"/>
    <w:rsid w:val="00C37FB6"/>
    <w:rsid w:val="00C37FC8"/>
    <w:rsid w:val="00C400D6"/>
    <w:rsid w:val="00C4010F"/>
    <w:rsid w:val="00C40202"/>
    <w:rsid w:val="00C40209"/>
    <w:rsid w:val="00C4030B"/>
    <w:rsid w:val="00C403D1"/>
    <w:rsid w:val="00C405AA"/>
    <w:rsid w:val="00C40661"/>
    <w:rsid w:val="00C407A9"/>
    <w:rsid w:val="00C407AC"/>
    <w:rsid w:val="00C4096C"/>
    <w:rsid w:val="00C40982"/>
    <w:rsid w:val="00C40A43"/>
    <w:rsid w:val="00C40A73"/>
    <w:rsid w:val="00C40AD4"/>
    <w:rsid w:val="00C40B6C"/>
    <w:rsid w:val="00C40BAD"/>
    <w:rsid w:val="00C40E68"/>
    <w:rsid w:val="00C40E8F"/>
    <w:rsid w:val="00C40EE4"/>
    <w:rsid w:val="00C40F41"/>
    <w:rsid w:val="00C4111F"/>
    <w:rsid w:val="00C4117D"/>
    <w:rsid w:val="00C41186"/>
    <w:rsid w:val="00C411B5"/>
    <w:rsid w:val="00C411FF"/>
    <w:rsid w:val="00C41300"/>
    <w:rsid w:val="00C4132A"/>
    <w:rsid w:val="00C4143E"/>
    <w:rsid w:val="00C41442"/>
    <w:rsid w:val="00C41649"/>
    <w:rsid w:val="00C417E3"/>
    <w:rsid w:val="00C41908"/>
    <w:rsid w:val="00C41ABE"/>
    <w:rsid w:val="00C41DD1"/>
    <w:rsid w:val="00C41E8E"/>
    <w:rsid w:val="00C41E96"/>
    <w:rsid w:val="00C42062"/>
    <w:rsid w:val="00C42077"/>
    <w:rsid w:val="00C42188"/>
    <w:rsid w:val="00C4224A"/>
    <w:rsid w:val="00C422E8"/>
    <w:rsid w:val="00C423C7"/>
    <w:rsid w:val="00C423F7"/>
    <w:rsid w:val="00C42436"/>
    <w:rsid w:val="00C4250C"/>
    <w:rsid w:val="00C425D6"/>
    <w:rsid w:val="00C42682"/>
    <w:rsid w:val="00C42AE9"/>
    <w:rsid w:val="00C42BEE"/>
    <w:rsid w:val="00C42CD0"/>
    <w:rsid w:val="00C42D88"/>
    <w:rsid w:val="00C42DAF"/>
    <w:rsid w:val="00C42E6B"/>
    <w:rsid w:val="00C42EA2"/>
    <w:rsid w:val="00C42FA1"/>
    <w:rsid w:val="00C43039"/>
    <w:rsid w:val="00C4305C"/>
    <w:rsid w:val="00C430BE"/>
    <w:rsid w:val="00C430C3"/>
    <w:rsid w:val="00C431EE"/>
    <w:rsid w:val="00C43271"/>
    <w:rsid w:val="00C433CE"/>
    <w:rsid w:val="00C43541"/>
    <w:rsid w:val="00C43566"/>
    <w:rsid w:val="00C435D2"/>
    <w:rsid w:val="00C435DE"/>
    <w:rsid w:val="00C43728"/>
    <w:rsid w:val="00C43971"/>
    <w:rsid w:val="00C43A33"/>
    <w:rsid w:val="00C43A80"/>
    <w:rsid w:val="00C43BD8"/>
    <w:rsid w:val="00C43D0C"/>
    <w:rsid w:val="00C43E5A"/>
    <w:rsid w:val="00C43E81"/>
    <w:rsid w:val="00C43E8D"/>
    <w:rsid w:val="00C43EEE"/>
    <w:rsid w:val="00C43F36"/>
    <w:rsid w:val="00C43F69"/>
    <w:rsid w:val="00C4415C"/>
    <w:rsid w:val="00C441F3"/>
    <w:rsid w:val="00C44256"/>
    <w:rsid w:val="00C443C1"/>
    <w:rsid w:val="00C44429"/>
    <w:rsid w:val="00C4459F"/>
    <w:rsid w:val="00C445F0"/>
    <w:rsid w:val="00C44629"/>
    <w:rsid w:val="00C446FA"/>
    <w:rsid w:val="00C44716"/>
    <w:rsid w:val="00C447BA"/>
    <w:rsid w:val="00C44843"/>
    <w:rsid w:val="00C4486B"/>
    <w:rsid w:val="00C448E7"/>
    <w:rsid w:val="00C4499D"/>
    <w:rsid w:val="00C44A23"/>
    <w:rsid w:val="00C44A46"/>
    <w:rsid w:val="00C44A67"/>
    <w:rsid w:val="00C44ADA"/>
    <w:rsid w:val="00C44AF7"/>
    <w:rsid w:val="00C44B98"/>
    <w:rsid w:val="00C44C28"/>
    <w:rsid w:val="00C44CD0"/>
    <w:rsid w:val="00C44CE7"/>
    <w:rsid w:val="00C44DDB"/>
    <w:rsid w:val="00C44E0C"/>
    <w:rsid w:val="00C44F17"/>
    <w:rsid w:val="00C44F1E"/>
    <w:rsid w:val="00C44F8E"/>
    <w:rsid w:val="00C44FC5"/>
    <w:rsid w:val="00C44FE3"/>
    <w:rsid w:val="00C4530C"/>
    <w:rsid w:val="00C453B3"/>
    <w:rsid w:val="00C45554"/>
    <w:rsid w:val="00C4555E"/>
    <w:rsid w:val="00C45579"/>
    <w:rsid w:val="00C4582A"/>
    <w:rsid w:val="00C45875"/>
    <w:rsid w:val="00C4588A"/>
    <w:rsid w:val="00C458B8"/>
    <w:rsid w:val="00C458F3"/>
    <w:rsid w:val="00C45A19"/>
    <w:rsid w:val="00C45B3E"/>
    <w:rsid w:val="00C45BE9"/>
    <w:rsid w:val="00C45DFC"/>
    <w:rsid w:val="00C45E0E"/>
    <w:rsid w:val="00C45E6B"/>
    <w:rsid w:val="00C45F16"/>
    <w:rsid w:val="00C45F50"/>
    <w:rsid w:val="00C46060"/>
    <w:rsid w:val="00C460F1"/>
    <w:rsid w:val="00C46246"/>
    <w:rsid w:val="00C4629F"/>
    <w:rsid w:val="00C46331"/>
    <w:rsid w:val="00C46333"/>
    <w:rsid w:val="00C46335"/>
    <w:rsid w:val="00C4639A"/>
    <w:rsid w:val="00C46411"/>
    <w:rsid w:val="00C4644B"/>
    <w:rsid w:val="00C4646D"/>
    <w:rsid w:val="00C4650A"/>
    <w:rsid w:val="00C46560"/>
    <w:rsid w:val="00C46567"/>
    <w:rsid w:val="00C46594"/>
    <w:rsid w:val="00C46610"/>
    <w:rsid w:val="00C46811"/>
    <w:rsid w:val="00C4688B"/>
    <w:rsid w:val="00C468A6"/>
    <w:rsid w:val="00C468BE"/>
    <w:rsid w:val="00C46AD6"/>
    <w:rsid w:val="00C46DFD"/>
    <w:rsid w:val="00C46E04"/>
    <w:rsid w:val="00C46E47"/>
    <w:rsid w:val="00C46EDE"/>
    <w:rsid w:val="00C4707D"/>
    <w:rsid w:val="00C47299"/>
    <w:rsid w:val="00C472C3"/>
    <w:rsid w:val="00C473D5"/>
    <w:rsid w:val="00C4741B"/>
    <w:rsid w:val="00C47465"/>
    <w:rsid w:val="00C474DA"/>
    <w:rsid w:val="00C47582"/>
    <w:rsid w:val="00C47597"/>
    <w:rsid w:val="00C4765E"/>
    <w:rsid w:val="00C476AC"/>
    <w:rsid w:val="00C47784"/>
    <w:rsid w:val="00C477C3"/>
    <w:rsid w:val="00C47838"/>
    <w:rsid w:val="00C47854"/>
    <w:rsid w:val="00C478B2"/>
    <w:rsid w:val="00C478EE"/>
    <w:rsid w:val="00C4793A"/>
    <w:rsid w:val="00C4794C"/>
    <w:rsid w:val="00C47951"/>
    <w:rsid w:val="00C47AC2"/>
    <w:rsid w:val="00C47B7A"/>
    <w:rsid w:val="00C47BCA"/>
    <w:rsid w:val="00C47CA9"/>
    <w:rsid w:val="00C47CDD"/>
    <w:rsid w:val="00C47DB1"/>
    <w:rsid w:val="00C47E5A"/>
    <w:rsid w:val="00C47F5C"/>
    <w:rsid w:val="00C5012F"/>
    <w:rsid w:val="00C501BE"/>
    <w:rsid w:val="00C501F1"/>
    <w:rsid w:val="00C5031B"/>
    <w:rsid w:val="00C50406"/>
    <w:rsid w:val="00C5044E"/>
    <w:rsid w:val="00C504CE"/>
    <w:rsid w:val="00C5059B"/>
    <w:rsid w:val="00C50711"/>
    <w:rsid w:val="00C507F4"/>
    <w:rsid w:val="00C50AC8"/>
    <w:rsid w:val="00C50BC0"/>
    <w:rsid w:val="00C50C94"/>
    <w:rsid w:val="00C50D6D"/>
    <w:rsid w:val="00C50EE4"/>
    <w:rsid w:val="00C50F08"/>
    <w:rsid w:val="00C50FEA"/>
    <w:rsid w:val="00C51120"/>
    <w:rsid w:val="00C511D2"/>
    <w:rsid w:val="00C51335"/>
    <w:rsid w:val="00C51363"/>
    <w:rsid w:val="00C5140D"/>
    <w:rsid w:val="00C514CC"/>
    <w:rsid w:val="00C514D7"/>
    <w:rsid w:val="00C51548"/>
    <w:rsid w:val="00C515A9"/>
    <w:rsid w:val="00C515CA"/>
    <w:rsid w:val="00C51754"/>
    <w:rsid w:val="00C517DE"/>
    <w:rsid w:val="00C51831"/>
    <w:rsid w:val="00C51954"/>
    <w:rsid w:val="00C519CF"/>
    <w:rsid w:val="00C519F9"/>
    <w:rsid w:val="00C51A0C"/>
    <w:rsid w:val="00C51A1D"/>
    <w:rsid w:val="00C51ACF"/>
    <w:rsid w:val="00C51B9B"/>
    <w:rsid w:val="00C51BC1"/>
    <w:rsid w:val="00C51D9E"/>
    <w:rsid w:val="00C51F0F"/>
    <w:rsid w:val="00C51F4C"/>
    <w:rsid w:val="00C5200D"/>
    <w:rsid w:val="00C52019"/>
    <w:rsid w:val="00C521EC"/>
    <w:rsid w:val="00C522BB"/>
    <w:rsid w:val="00C523C6"/>
    <w:rsid w:val="00C523D7"/>
    <w:rsid w:val="00C52487"/>
    <w:rsid w:val="00C525BA"/>
    <w:rsid w:val="00C5261D"/>
    <w:rsid w:val="00C5266F"/>
    <w:rsid w:val="00C5267D"/>
    <w:rsid w:val="00C5268C"/>
    <w:rsid w:val="00C527F1"/>
    <w:rsid w:val="00C52904"/>
    <w:rsid w:val="00C529E5"/>
    <w:rsid w:val="00C52A02"/>
    <w:rsid w:val="00C52B68"/>
    <w:rsid w:val="00C52C93"/>
    <w:rsid w:val="00C52D69"/>
    <w:rsid w:val="00C52E19"/>
    <w:rsid w:val="00C52EAA"/>
    <w:rsid w:val="00C53065"/>
    <w:rsid w:val="00C530F3"/>
    <w:rsid w:val="00C532A7"/>
    <w:rsid w:val="00C532C8"/>
    <w:rsid w:val="00C53317"/>
    <w:rsid w:val="00C533E1"/>
    <w:rsid w:val="00C534EB"/>
    <w:rsid w:val="00C53554"/>
    <w:rsid w:val="00C5356C"/>
    <w:rsid w:val="00C53597"/>
    <w:rsid w:val="00C53680"/>
    <w:rsid w:val="00C536F9"/>
    <w:rsid w:val="00C537B6"/>
    <w:rsid w:val="00C537BC"/>
    <w:rsid w:val="00C5380A"/>
    <w:rsid w:val="00C538F6"/>
    <w:rsid w:val="00C53937"/>
    <w:rsid w:val="00C53A09"/>
    <w:rsid w:val="00C53A4D"/>
    <w:rsid w:val="00C53B11"/>
    <w:rsid w:val="00C53C6A"/>
    <w:rsid w:val="00C53C9D"/>
    <w:rsid w:val="00C53CB8"/>
    <w:rsid w:val="00C53D93"/>
    <w:rsid w:val="00C53E9C"/>
    <w:rsid w:val="00C53FA9"/>
    <w:rsid w:val="00C54063"/>
    <w:rsid w:val="00C540C1"/>
    <w:rsid w:val="00C540FD"/>
    <w:rsid w:val="00C5419D"/>
    <w:rsid w:val="00C54204"/>
    <w:rsid w:val="00C5420F"/>
    <w:rsid w:val="00C5426C"/>
    <w:rsid w:val="00C5426F"/>
    <w:rsid w:val="00C54362"/>
    <w:rsid w:val="00C5436E"/>
    <w:rsid w:val="00C54447"/>
    <w:rsid w:val="00C5448E"/>
    <w:rsid w:val="00C544B7"/>
    <w:rsid w:val="00C54518"/>
    <w:rsid w:val="00C54612"/>
    <w:rsid w:val="00C54762"/>
    <w:rsid w:val="00C54789"/>
    <w:rsid w:val="00C54794"/>
    <w:rsid w:val="00C5482F"/>
    <w:rsid w:val="00C54970"/>
    <w:rsid w:val="00C549C9"/>
    <w:rsid w:val="00C54A11"/>
    <w:rsid w:val="00C54A5F"/>
    <w:rsid w:val="00C54C7B"/>
    <w:rsid w:val="00C54EBC"/>
    <w:rsid w:val="00C54ECB"/>
    <w:rsid w:val="00C54FAD"/>
    <w:rsid w:val="00C54FF8"/>
    <w:rsid w:val="00C55082"/>
    <w:rsid w:val="00C551D3"/>
    <w:rsid w:val="00C555B1"/>
    <w:rsid w:val="00C555F7"/>
    <w:rsid w:val="00C55636"/>
    <w:rsid w:val="00C5575C"/>
    <w:rsid w:val="00C55982"/>
    <w:rsid w:val="00C5598A"/>
    <w:rsid w:val="00C559D1"/>
    <w:rsid w:val="00C55D56"/>
    <w:rsid w:val="00C55DC7"/>
    <w:rsid w:val="00C55EF8"/>
    <w:rsid w:val="00C55F71"/>
    <w:rsid w:val="00C55FA8"/>
    <w:rsid w:val="00C5603C"/>
    <w:rsid w:val="00C5612B"/>
    <w:rsid w:val="00C562A7"/>
    <w:rsid w:val="00C562EC"/>
    <w:rsid w:val="00C5634A"/>
    <w:rsid w:val="00C56446"/>
    <w:rsid w:val="00C565FF"/>
    <w:rsid w:val="00C5668E"/>
    <w:rsid w:val="00C5687C"/>
    <w:rsid w:val="00C568B3"/>
    <w:rsid w:val="00C569E4"/>
    <w:rsid w:val="00C56AA8"/>
    <w:rsid w:val="00C56BFA"/>
    <w:rsid w:val="00C56C76"/>
    <w:rsid w:val="00C56C9C"/>
    <w:rsid w:val="00C56CB7"/>
    <w:rsid w:val="00C56F2F"/>
    <w:rsid w:val="00C57084"/>
    <w:rsid w:val="00C571D7"/>
    <w:rsid w:val="00C572AB"/>
    <w:rsid w:val="00C573E6"/>
    <w:rsid w:val="00C575B7"/>
    <w:rsid w:val="00C576F4"/>
    <w:rsid w:val="00C57799"/>
    <w:rsid w:val="00C57848"/>
    <w:rsid w:val="00C57894"/>
    <w:rsid w:val="00C578E2"/>
    <w:rsid w:val="00C578ED"/>
    <w:rsid w:val="00C57923"/>
    <w:rsid w:val="00C57934"/>
    <w:rsid w:val="00C57954"/>
    <w:rsid w:val="00C579A4"/>
    <w:rsid w:val="00C57A89"/>
    <w:rsid w:val="00C57AA8"/>
    <w:rsid w:val="00C57BA9"/>
    <w:rsid w:val="00C57C38"/>
    <w:rsid w:val="00C57CD5"/>
    <w:rsid w:val="00C57DCA"/>
    <w:rsid w:val="00C57ECA"/>
    <w:rsid w:val="00C57F8B"/>
    <w:rsid w:val="00C57F96"/>
    <w:rsid w:val="00C600C8"/>
    <w:rsid w:val="00C600D1"/>
    <w:rsid w:val="00C6011C"/>
    <w:rsid w:val="00C601A6"/>
    <w:rsid w:val="00C60242"/>
    <w:rsid w:val="00C6029E"/>
    <w:rsid w:val="00C602C2"/>
    <w:rsid w:val="00C603CB"/>
    <w:rsid w:val="00C604A2"/>
    <w:rsid w:val="00C60573"/>
    <w:rsid w:val="00C605A3"/>
    <w:rsid w:val="00C60677"/>
    <w:rsid w:val="00C6085F"/>
    <w:rsid w:val="00C60863"/>
    <w:rsid w:val="00C60AC2"/>
    <w:rsid w:val="00C60B1B"/>
    <w:rsid w:val="00C60BE0"/>
    <w:rsid w:val="00C60C6A"/>
    <w:rsid w:val="00C60CE8"/>
    <w:rsid w:val="00C60DA0"/>
    <w:rsid w:val="00C60E0E"/>
    <w:rsid w:val="00C60EA2"/>
    <w:rsid w:val="00C60F8C"/>
    <w:rsid w:val="00C60FE2"/>
    <w:rsid w:val="00C61088"/>
    <w:rsid w:val="00C610CD"/>
    <w:rsid w:val="00C611A7"/>
    <w:rsid w:val="00C611C3"/>
    <w:rsid w:val="00C61204"/>
    <w:rsid w:val="00C6132B"/>
    <w:rsid w:val="00C613D7"/>
    <w:rsid w:val="00C613F1"/>
    <w:rsid w:val="00C6145E"/>
    <w:rsid w:val="00C615A9"/>
    <w:rsid w:val="00C61652"/>
    <w:rsid w:val="00C61804"/>
    <w:rsid w:val="00C61837"/>
    <w:rsid w:val="00C6189D"/>
    <w:rsid w:val="00C619E9"/>
    <w:rsid w:val="00C61A9A"/>
    <w:rsid w:val="00C61AF9"/>
    <w:rsid w:val="00C61E6B"/>
    <w:rsid w:val="00C61FB2"/>
    <w:rsid w:val="00C61FDA"/>
    <w:rsid w:val="00C6215B"/>
    <w:rsid w:val="00C62181"/>
    <w:rsid w:val="00C6229E"/>
    <w:rsid w:val="00C6233A"/>
    <w:rsid w:val="00C6241B"/>
    <w:rsid w:val="00C625CC"/>
    <w:rsid w:val="00C62608"/>
    <w:rsid w:val="00C6263C"/>
    <w:rsid w:val="00C62675"/>
    <w:rsid w:val="00C627C5"/>
    <w:rsid w:val="00C6280F"/>
    <w:rsid w:val="00C6283D"/>
    <w:rsid w:val="00C6285D"/>
    <w:rsid w:val="00C628E1"/>
    <w:rsid w:val="00C629F8"/>
    <w:rsid w:val="00C62A7E"/>
    <w:rsid w:val="00C62AC0"/>
    <w:rsid w:val="00C62B86"/>
    <w:rsid w:val="00C62C2E"/>
    <w:rsid w:val="00C62CCA"/>
    <w:rsid w:val="00C62DF0"/>
    <w:rsid w:val="00C62F11"/>
    <w:rsid w:val="00C62FB5"/>
    <w:rsid w:val="00C62FBB"/>
    <w:rsid w:val="00C62FCD"/>
    <w:rsid w:val="00C6307F"/>
    <w:rsid w:val="00C6315C"/>
    <w:rsid w:val="00C631E5"/>
    <w:rsid w:val="00C63275"/>
    <w:rsid w:val="00C633DF"/>
    <w:rsid w:val="00C634DC"/>
    <w:rsid w:val="00C6352A"/>
    <w:rsid w:val="00C635DB"/>
    <w:rsid w:val="00C636AC"/>
    <w:rsid w:val="00C6388E"/>
    <w:rsid w:val="00C638C9"/>
    <w:rsid w:val="00C638DA"/>
    <w:rsid w:val="00C6394C"/>
    <w:rsid w:val="00C63953"/>
    <w:rsid w:val="00C63979"/>
    <w:rsid w:val="00C639E3"/>
    <w:rsid w:val="00C63A36"/>
    <w:rsid w:val="00C63AA7"/>
    <w:rsid w:val="00C63ABB"/>
    <w:rsid w:val="00C63AC1"/>
    <w:rsid w:val="00C63BD1"/>
    <w:rsid w:val="00C63D98"/>
    <w:rsid w:val="00C63DAA"/>
    <w:rsid w:val="00C63DF1"/>
    <w:rsid w:val="00C63E16"/>
    <w:rsid w:val="00C640E1"/>
    <w:rsid w:val="00C640E3"/>
    <w:rsid w:val="00C6410C"/>
    <w:rsid w:val="00C6410D"/>
    <w:rsid w:val="00C64286"/>
    <w:rsid w:val="00C64440"/>
    <w:rsid w:val="00C64449"/>
    <w:rsid w:val="00C6472B"/>
    <w:rsid w:val="00C647D2"/>
    <w:rsid w:val="00C64899"/>
    <w:rsid w:val="00C64948"/>
    <w:rsid w:val="00C6498C"/>
    <w:rsid w:val="00C649BD"/>
    <w:rsid w:val="00C64AB3"/>
    <w:rsid w:val="00C64B1B"/>
    <w:rsid w:val="00C64B2A"/>
    <w:rsid w:val="00C64B4F"/>
    <w:rsid w:val="00C64BFF"/>
    <w:rsid w:val="00C64C28"/>
    <w:rsid w:val="00C64D07"/>
    <w:rsid w:val="00C64F09"/>
    <w:rsid w:val="00C65066"/>
    <w:rsid w:val="00C65161"/>
    <w:rsid w:val="00C651DD"/>
    <w:rsid w:val="00C6523E"/>
    <w:rsid w:val="00C652B2"/>
    <w:rsid w:val="00C65315"/>
    <w:rsid w:val="00C65358"/>
    <w:rsid w:val="00C65366"/>
    <w:rsid w:val="00C654D2"/>
    <w:rsid w:val="00C655A4"/>
    <w:rsid w:val="00C6560B"/>
    <w:rsid w:val="00C656CE"/>
    <w:rsid w:val="00C6577F"/>
    <w:rsid w:val="00C65794"/>
    <w:rsid w:val="00C657BF"/>
    <w:rsid w:val="00C658BA"/>
    <w:rsid w:val="00C658E9"/>
    <w:rsid w:val="00C658EE"/>
    <w:rsid w:val="00C6594A"/>
    <w:rsid w:val="00C659A9"/>
    <w:rsid w:val="00C659CD"/>
    <w:rsid w:val="00C65B1D"/>
    <w:rsid w:val="00C65B75"/>
    <w:rsid w:val="00C65B7A"/>
    <w:rsid w:val="00C65C3E"/>
    <w:rsid w:val="00C65CB1"/>
    <w:rsid w:val="00C65D5A"/>
    <w:rsid w:val="00C65D77"/>
    <w:rsid w:val="00C65DE5"/>
    <w:rsid w:val="00C65FC8"/>
    <w:rsid w:val="00C65FDA"/>
    <w:rsid w:val="00C65FF0"/>
    <w:rsid w:val="00C6607A"/>
    <w:rsid w:val="00C660CC"/>
    <w:rsid w:val="00C66112"/>
    <w:rsid w:val="00C66248"/>
    <w:rsid w:val="00C662CB"/>
    <w:rsid w:val="00C662DF"/>
    <w:rsid w:val="00C6633C"/>
    <w:rsid w:val="00C663B2"/>
    <w:rsid w:val="00C66569"/>
    <w:rsid w:val="00C66689"/>
    <w:rsid w:val="00C66768"/>
    <w:rsid w:val="00C668EC"/>
    <w:rsid w:val="00C66A40"/>
    <w:rsid w:val="00C66A88"/>
    <w:rsid w:val="00C66AE9"/>
    <w:rsid w:val="00C66C66"/>
    <w:rsid w:val="00C66EBA"/>
    <w:rsid w:val="00C67106"/>
    <w:rsid w:val="00C6711F"/>
    <w:rsid w:val="00C6715C"/>
    <w:rsid w:val="00C6724B"/>
    <w:rsid w:val="00C672B9"/>
    <w:rsid w:val="00C672BD"/>
    <w:rsid w:val="00C672F9"/>
    <w:rsid w:val="00C673A9"/>
    <w:rsid w:val="00C674C5"/>
    <w:rsid w:val="00C674EA"/>
    <w:rsid w:val="00C67589"/>
    <w:rsid w:val="00C6765E"/>
    <w:rsid w:val="00C676A4"/>
    <w:rsid w:val="00C6780B"/>
    <w:rsid w:val="00C67852"/>
    <w:rsid w:val="00C67891"/>
    <w:rsid w:val="00C6795A"/>
    <w:rsid w:val="00C679D0"/>
    <w:rsid w:val="00C67C14"/>
    <w:rsid w:val="00C67C32"/>
    <w:rsid w:val="00C67D05"/>
    <w:rsid w:val="00C67DA4"/>
    <w:rsid w:val="00C67DD8"/>
    <w:rsid w:val="00C67F91"/>
    <w:rsid w:val="00C70107"/>
    <w:rsid w:val="00C70260"/>
    <w:rsid w:val="00C703C3"/>
    <w:rsid w:val="00C7052F"/>
    <w:rsid w:val="00C70535"/>
    <w:rsid w:val="00C70563"/>
    <w:rsid w:val="00C7061E"/>
    <w:rsid w:val="00C7063F"/>
    <w:rsid w:val="00C7064E"/>
    <w:rsid w:val="00C706EE"/>
    <w:rsid w:val="00C70793"/>
    <w:rsid w:val="00C707C9"/>
    <w:rsid w:val="00C70882"/>
    <w:rsid w:val="00C70910"/>
    <w:rsid w:val="00C70983"/>
    <w:rsid w:val="00C70A21"/>
    <w:rsid w:val="00C70A45"/>
    <w:rsid w:val="00C70A6E"/>
    <w:rsid w:val="00C70B75"/>
    <w:rsid w:val="00C70BE0"/>
    <w:rsid w:val="00C70C7C"/>
    <w:rsid w:val="00C70CB6"/>
    <w:rsid w:val="00C70E38"/>
    <w:rsid w:val="00C70E47"/>
    <w:rsid w:val="00C70E58"/>
    <w:rsid w:val="00C70F83"/>
    <w:rsid w:val="00C71023"/>
    <w:rsid w:val="00C7104B"/>
    <w:rsid w:val="00C71292"/>
    <w:rsid w:val="00C713E2"/>
    <w:rsid w:val="00C71484"/>
    <w:rsid w:val="00C71496"/>
    <w:rsid w:val="00C714CC"/>
    <w:rsid w:val="00C715F5"/>
    <w:rsid w:val="00C71621"/>
    <w:rsid w:val="00C716CA"/>
    <w:rsid w:val="00C717DB"/>
    <w:rsid w:val="00C71A18"/>
    <w:rsid w:val="00C71A19"/>
    <w:rsid w:val="00C71B5A"/>
    <w:rsid w:val="00C71BBE"/>
    <w:rsid w:val="00C71C9E"/>
    <w:rsid w:val="00C71CD7"/>
    <w:rsid w:val="00C71CDF"/>
    <w:rsid w:val="00C71D09"/>
    <w:rsid w:val="00C71D30"/>
    <w:rsid w:val="00C71DE4"/>
    <w:rsid w:val="00C71FA8"/>
    <w:rsid w:val="00C71FAC"/>
    <w:rsid w:val="00C7201A"/>
    <w:rsid w:val="00C72032"/>
    <w:rsid w:val="00C72065"/>
    <w:rsid w:val="00C720E4"/>
    <w:rsid w:val="00C72178"/>
    <w:rsid w:val="00C721F1"/>
    <w:rsid w:val="00C72200"/>
    <w:rsid w:val="00C72216"/>
    <w:rsid w:val="00C72300"/>
    <w:rsid w:val="00C72305"/>
    <w:rsid w:val="00C723DF"/>
    <w:rsid w:val="00C724A7"/>
    <w:rsid w:val="00C725E9"/>
    <w:rsid w:val="00C72622"/>
    <w:rsid w:val="00C726E0"/>
    <w:rsid w:val="00C72731"/>
    <w:rsid w:val="00C72744"/>
    <w:rsid w:val="00C727EF"/>
    <w:rsid w:val="00C727F3"/>
    <w:rsid w:val="00C72972"/>
    <w:rsid w:val="00C729FB"/>
    <w:rsid w:val="00C72EF2"/>
    <w:rsid w:val="00C7302F"/>
    <w:rsid w:val="00C730E0"/>
    <w:rsid w:val="00C731F6"/>
    <w:rsid w:val="00C73289"/>
    <w:rsid w:val="00C73338"/>
    <w:rsid w:val="00C7333C"/>
    <w:rsid w:val="00C73382"/>
    <w:rsid w:val="00C7347B"/>
    <w:rsid w:val="00C734E6"/>
    <w:rsid w:val="00C735A7"/>
    <w:rsid w:val="00C736B2"/>
    <w:rsid w:val="00C73750"/>
    <w:rsid w:val="00C73846"/>
    <w:rsid w:val="00C7384D"/>
    <w:rsid w:val="00C738C5"/>
    <w:rsid w:val="00C73AEE"/>
    <w:rsid w:val="00C73C0F"/>
    <w:rsid w:val="00C73C35"/>
    <w:rsid w:val="00C73C3F"/>
    <w:rsid w:val="00C73C7E"/>
    <w:rsid w:val="00C73CB8"/>
    <w:rsid w:val="00C73CC0"/>
    <w:rsid w:val="00C73EAA"/>
    <w:rsid w:val="00C73F50"/>
    <w:rsid w:val="00C73F98"/>
    <w:rsid w:val="00C73FD5"/>
    <w:rsid w:val="00C740E8"/>
    <w:rsid w:val="00C74112"/>
    <w:rsid w:val="00C74285"/>
    <w:rsid w:val="00C7439A"/>
    <w:rsid w:val="00C743B8"/>
    <w:rsid w:val="00C743EC"/>
    <w:rsid w:val="00C7440C"/>
    <w:rsid w:val="00C745AF"/>
    <w:rsid w:val="00C745BD"/>
    <w:rsid w:val="00C74728"/>
    <w:rsid w:val="00C74770"/>
    <w:rsid w:val="00C747D8"/>
    <w:rsid w:val="00C7490B"/>
    <w:rsid w:val="00C7491F"/>
    <w:rsid w:val="00C7493E"/>
    <w:rsid w:val="00C74A30"/>
    <w:rsid w:val="00C74ACE"/>
    <w:rsid w:val="00C74ADC"/>
    <w:rsid w:val="00C74C1D"/>
    <w:rsid w:val="00C74CAB"/>
    <w:rsid w:val="00C74D34"/>
    <w:rsid w:val="00C74D4F"/>
    <w:rsid w:val="00C74D59"/>
    <w:rsid w:val="00C74D7A"/>
    <w:rsid w:val="00C74DDE"/>
    <w:rsid w:val="00C74F48"/>
    <w:rsid w:val="00C75052"/>
    <w:rsid w:val="00C75128"/>
    <w:rsid w:val="00C751BD"/>
    <w:rsid w:val="00C752A4"/>
    <w:rsid w:val="00C75332"/>
    <w:rsid w:val="00C75389"/>
    <w:rsid w:val="00C75507"/>
    <w:rsid w:val="00C7559B"/>
    <w:rsid w:val="00C755E1"/>
    <w:rsid w:val="00C7569B"/>
    <w:rsid w:val="00C75737"/>
    <w:rsid w:val="00C7576E"/>
    <w:rsid w:val="00C757A2"/>
    <w:rsid w:val="00C757D1"/>
    <w:rsid w:val="00C75815"/>
    <w:rsid w:val="00C7587F"/>
    <w:rsid w:val="00C758C8"/>
    <w:rsid w:val="00C758D2"/>
    <w:rsid w:val="00C75919"/>
    <w:rsid w:val="00C75A33"/>
    <w:rsid w:val="00C75AE5"/>
    <w:rsid w:val="00C75B82"/>
    <w:rsid w:val="00C75D36"/>
    <w:rsid w:val="00C75D5D"/>
    <w:rsid w:val="00C75D83"/>
    <w:rsid w:val="00C75FF3"/>
    <w:rsid w:val="00C760FE"/>
    <w:rsid w:val="00C76129"/>
    <w:rsid w:val="00C76144"/>
    <w:rsid w:val="00C76191"/>
    <w:rsid w:val="00C7625D"/>
    <w:rsid w:val="00C76292"/>
    <w:rsid w:val="00C7629D"/>
    <w:rsid w:val="00C76466"/>
    <w:rsid w:val="00C764B0"/>
    <w:rsid w:val="00C764DB"/>
    <w:rsid w:val="00C765BB"/>
    <w:rsid w:val="00C765F6"/>
    <w:rsid w:val="00C766A8"/>
    <w:rsid w:val="00C767DE"/>
    <w:rsid w:val="00C767EC"/>
    <w:rsid w:val="00C76908"/>
    <w:rsid w:val="00C769DE"/>
    <w:rsid w:val="00C76AAD"/>
    <w:rsid w:val="00C76B78"/>
    <w:rsid w:val="00C76C03"/>
    <w:rsid w:val="00C76D4C"/>
    <w:rsid w:val="00C76D67"/>
    <w:rsid w:val="00C76D80"/>
    <w:rsid w:val="00C76FAC"/>
    <w:rsid w:val="00C770DB"/>
    <w:rsid w:val="00C770EB"/>
    <w:rsid w:val="00C770F2"/>
    <w:rsid w:val="00C7710A"/>
    <w:rsid w:val="00C7715E"/>
    <w:rsid w:val="00C77200"/>
    <w:rsid w:val="00C7727F"/>
    <w:rsid w:val="00C77281"/>
    <w:rsid w:val="00C772E1"/>
    <w:rsid w:val="00C77381"/>
    <w:rsid w:val="00C773CF"/>
    <w:rsid w:val="00C77403"/>
    <w:rsid w:val="00C77460"/>
    <w:rsid w:val="00C77487"/>
    <w:rsid w:val="00C775A8"/>
    <w:rsid w:val="00C775B2"/>
    <w:rsid w:val="00C77600"/>
    <w:rsid w:val="00C77679"/>
    <w:rsid w:val="00C77712"/>
    <w:rsid w:val="00C7771E"/>
    <w:rsid w:val="00C77980"/>
    <w:rsid w:val="00C77A70"/>
    <w:rsid w:val="00C77A75"/>
    <w:rsid w:val="00C77B72"/>
    <w:rsid w:val="00C77B91"/>
    <w:rsid w:val="00C77BB3"/>
    <w:rsid w:val="00C77C20"/>
    <w:rsid w:val="00C77C26"/>
    <w:rsid w:val="00C77CEE"/>
    <w:rsid w:val="00C77D1D"/>
    <w:rsid w:val="00C77EB9"/>
    <w:rsid w:val="00C77F3E"/>
    <w:rsid w:val="00C77F4E"/>
    <w:rsid w:val="00C77FDF"/>
    <w:rsid w:val="00C800B6"/>
    <w:rsid w:val="00C800D9"/>
    <w:rsid w:val="00C801B5"/>
    <w:rsid w:val="00C803BD"/>
    <w:rsid w:val="00C8042A"/>
    <w:rsid w:val="00C805C9"/>
    <w:rsid w:val="00C8060E"/>
    <w:rsid w:val="00C80656"/>
    <w:rsid w:val="00C80794"/>
    <w:rsid w:val="00C80922"/>
    <w:rsid w:val="00C809AE"/>
    <w:rsid w:val="00C80B4C"/>
    <w:rsid w:val="00C80BA4"/>
    <w:rsid w:val="00C80C76"/>
    <w:rsid w:val="00C80D33"/>
    <w:rsid w:val="00C80D7F"/>
    <w:rsid w:val="00C80ED8"/>
    <w:rsid w:val="00C8106F"/>
    <w:rsid w:val="00C811A6"/>
    <w:rsid w:val="00C81376"/>
    <w:rsid w:val="00C8158E"/>
    <w:rsid w:val="00C8159A"/>
    <w:rsid w:val="00C815F4"/>
    <w:rsid w:val="00C815FF"/>
    <w:rsid w:val="00C81731"/>
    <w:rsid w:val="00C818F3"/>
    <w:rsid w:val="00C819D1"/>
    <w:rsid w:val="00C81AA9"/>
    <w:rsid w:val="00C81B0E"/>
    <w:rsid w:val="00C81B1E"/>
    <w:rsid w:val="00C81C80"/>
    <w:rsid w:val="00C81CE1"/>
    <w:rsid w:val="00C81D2A"/>
    <w:rsid w:val="00C81D32"/>
    <w:rsid w:val="00C81D86"/>
    <w:rsid w:val="00C81D88"/>
    <w:rsid w:val="00C81DC9"/>
    <w:rsid w:val="00C81E40"/>
    <w:rsid w:val="00C81EAA"/>
    <w:rsid w:val="00C81EE8"/>
    <w:rsid w:val="00C81F45"/>
    <w:rsid w:val="00C81F78"/>
    <w:rsid w:val="00C81FA6"/>
    <w:rsid w:val="00C820CE"/>
    <w:rsid w:val="00C8210E"/>
    <w:rsid w:val="00C82113"/>
    <w:rsid w:val="00C8213E"/>
    <w:rsid w:val="00C82154"/>
    <w:rsid w:val="00C8219B"/>
    <w:rsid w:val="00C82267"/>
    <w:rsid w:val="00C823F1"/>
    <w:rsid w:val="00C82445"/>
    <w:rsid w:val="00C82446"/>
    <w:rsid w:val="00C8244E"/>
    <w:rsid w:val="00C82533"/>
    <w:rsid w:val="00C8262D"/>
    <w:rsid w:val="00C82804"/>
    <w:rsid w:val="00C829F0"/>
    <w:rsid w:val="00C82A10"/>
    <w:rsid w:val="00C82A2A"/>
    <w:rsid w:val="00C82A65"/>
    <w:rsid w:val="00C82AB5"/>
    <w:rsid w:val="00C82B19"/>
    <w:rsid w:val="00C82B8F"/>
    <w:rsid w:val="00C82BAE"/>
    <w:rsid w:val="00C82BE7"/>
    <w:rsid w:val="00C82BE8"/>
    <w:rsid w:val="00C82C8F"/>
    <w:rsid w:val="00C82D01"/>
    <w:rsid w:val="00C82D3A"/>
    <w:rsid w:val="00C82E18"/>
    <w:rsid w:val="00C82F32"/>
    <w:rsid w:val="00C82FC4"/>
    <w:rsid w:val="00C8312C"/>
    <w:rsid w:val="00C83237"/>
    <w:rsid w:val="00C832FB"/>
    <w:rsid w:val="00C83307"/>
    <w:rsid w:val="00C8344B"/>
    <w:rsid w:val="00C83494"/>
    <w:rsid w:val="00C834E6"/>
    <w:rsid w:val="00C83507"/>
    <w:rsid w:val="00C8350A"/>
    <w:rsid w:val="00C835EF"/>
    <w:rsid w:val="00C83653"/>
    <w:rsid w:val="00C8365D"/>
    <w:rsid w:val="00C83709"/>
    <w:rsid w:val="00C83783"/>
    <w:rsid w:val="00C83907"/>
    <w:rsid w:val="00C83A27"/>
    <w:rsid w:val="00C83A7E"/>
    <w:rsid w:val="00C83B81"/>
    <w:rsid w:val="00C83C98"/>
    <w:rsid w:val="00C83EA1"/>
    <w:rsid w:val="00C83EA6"/>
    <w:rsid w:val="00C83F33"/>
    <w:rsid w:val="00C840E6"/>
    <w:rsid w:val="00C841A8"/>
    <w:rsid w:val="00C84202"/>
    <w:rsid w:val="00C84245"/>
    <w:rsid w:val="00C8435F"/>
    <w:rsid w:val="00C8445A"/>
    <w:rsid w:val="00C8452B"/>
    <w:rsid w:val="00C845ED"/>
    <w:rsid w:val="00C84694"/>
    <w:rsid w:val="00C846C2"/>
    <w:rsid w:val="00C847B2"/>
    <w:rsid w:val="00C847E7"/>
    <w:rsid w:val="00C84856"/>
    <w:rsid w:val="00C84867"/>
    <w:rsid w:val="00C848C2"/>
    <w:rsid w:val="00C84970"/>
    <w:rsid w:val="00C849FA"/>
    <w:rsid w:val="00C84ABF"/>
    <w:rsid w:val="00C84AFA"/>
    <w:rsid w:val="00C84B77"/>
    <w:rsid w:val="00C84B84"/>
    <w:rsid w:val="00C84BAF"/>
    <w:rsid w:val="00C84C79"/>
    <w:rsid w:val="00C84CF3"/>
    <w:rsid w:val="00C84E32"/>
    <w:rsid w:val="00C84ED3"/>
    <w:rsid w:val="00C84FCA"/>
    <w:rsid w:val="00C84FDF"/>
    <w:rsid w:val="00C85005"/>
    <w:rsid w:val="00C85063"/>
    <w:rsid w:val="00C850B0"/>
    <w:rsid w:val="00C85105"/>
    <w:rsid w:val="00C8514E"/>
    <w:rsid w:val="00C85243"/>
    <w:rsid w:val="00C853EF"/>
    <w:rsid w:val="00C8559D"/>
    <w:rsid w:val="00C855E6"/>
    <w:rsid w:val="00C8566F"/>
    <w:rsid w:val="00C8590D"/>
    <w:rsid w:val="00C8594E"/>
    <w:rsid w:val="00C8597B"/>
    <w:rsid w:val="00C859AE"/>
    <w:rsid w:val="00C859E9"/>
    <w:rsid w:val="00C85AAD"/>
    <w:rsid w:val="00C85B08"/>
    <w:rsid w:val="00C85C8B"/>
    <w:rsid w:val="00C85C9F"/>
    <w:rsid w:val="00C85CC5"/>
    <w:rsid w:val="00C85D58"/>
    <w:rsid w:val="00C85EF8"/>
    <w:rsid w:val="00C85FC3"/>
    <w:rsid w:val="00C86022"/>
    <w:rsid w:val="00C86053"/>
    <w:rsid w:val="00C86174"/>
    <w:rsid w:val="00C86221"/>
    <w:rsid w:val="00C86331"/>
    <w:rsid w:val="00C86363"/>
    <w:rsid w:val="00C863C1"/>
    <w:rsid w:val="00C863D8"/>
    <w:rsid w:val="00C86431"/>
    <w:rsid w:val="00C86536"/>
    <w:rsid w:val="00C865BA"/>
    <w:rsid w:val="00C86641"/>
    <w:rsid w:val="00C86704"/>
    <w:rsid w:val="00C867A0"/>
    <w:rsid w:val="00C86866"/>
    <w:rsid w:val="00C8699B"/>
    <w:rsid w:val="00C869AF"/>
    <w:rsid w:val="00C86AC9"/>
    <w:rsid w:val="00C86C21"/>
    <w:rsid w:val="00C86C5B"/>
    <w:rsid w:val="00C86C6A"/>
    <w:rsid w:val="00C86CFB"/>
    <w:rsid w:val="00C86D0B"/>
    <w:rsid w:val="00C86D7D"/>
    <w:rsid w:val="00C86DA4"/>
    <w:rsid w:val="00C86DAD"/>
    <w:rsid w:val="00C86F69"/>
    <w:rsid w:val="00C870A9"/>
    <w:rsid w:val="00C87190"/>
    <w:rsid w:val="00C8722A"/>
    <w:rsid w:val="00C876E0"/>
    <w:rsid w:val="00C876EF"/>
    <w:rsid w:val="00C877FD"/>
    <w:rsid w:val="00C87816"/>
    <w:rsid w:val="00C878AE"/>
    <w:rsid w:val="00C87904"/>
    <w:rsid w:val="00C87979"/>
    <w:rsid w:val="00C879E8"/>
    <w:rsid w:val="00C87A63"/>
    <w:rsid w:val="00C87ABC"/>
    <w:rsid w:val="00C87BA1"/>
    <w:rsid w:val="00C87C03"/>
    <w:rsid w:val="00C87C43"/>
    <w:rsid w:val="00C87D18"/>
    <w:rsid w:val="00C87E13"/>
    <w:rsid w:val="00C87E35"/>
    <w:rsid w:val="00C87EA0"/>
    <w:rsid w:val="00C87F1E"/>
    <w:rsid w:val="00C87F27"/>
    <w:rsid w:val="00C87F2D"/>
    <w:rsid w:val="00C87FBD"/>
    <w:rsid w:val="00C87FD9"/>
    <w:rsid w:val="00C9002B"/>
    <w:rsid w:val="00C9004D"/>
    <w:rsid w:val="00C9008A"/>
    <w:rsid w:val="00C90157"/>
    <w:rsid w:val="00C901D8"/>
    <w:rsid w:val="00C902A9"/>
    <w:rsid w:val="00C90437"/>
    <w:rsid w:val="00C9045E"/>
    <w:rsid w:val="00C90481"/>
    <w:rsid w:val="00C90519"/>
    <w:rsid w:val="00C905FD"/>
    <w:rsid w:val="00C9067B"/>
    <w:rsid w:val="00C906CA"/>
    <w:rsid w:val="00C906E5"/>
    <w:rsid w:val="00C9077D"/>
    <w:rsid w:val="00C90856"/>
    <w:rsid w:val="00C908CE"/>
    <w:rsid w:val="00C90967"/>
    <w:rsid w:val="00C90A6A"/>
    <w:rsid w:val="00C90ADF"/>
    <w:rsid w:val="00C90BBC"/>
    <w:rsid w:val="00C90C7E"/>
    <w:rsid w:val="00C90DCF"/>
    <w:rsid w:val="00C90EA9"/>
    <w:rsid w:val="00C90F9A"/>
    <w:rsid w:val="00C911C6"/>
    <w:rsid w:val="00C9123F"/>
    <w:rsid w:val="00C913D3"/>
    <w:rsid w:val="00C9152B"/>
    <w:rsid w:val="00C9154E"/>
    <w:rsid w:val="00C9157A"/>
    <w:rsid w:val="00C915D1"/>
    <w:rsid w:val="00C916AC"/>
    <w:rsid w:val="00C916CB"/>
    <w:rsid w:val="00C917C0"/>
    <w:rsid w:val="00C91823"/>
    <w:rsid w:val="00C919F1"/>
    <w:rsid w:val="00C91A7C"/>
    <w:rsid w:val="00C91A9B"/>
    <w:rsid w:val="00C91BB4"/>
    <w:rsid w:val="00C91BF6"/>
    <w:rsid w:val="00C91C59"/>
    <w:rsid w:val="00C91D09"/>
    <w:rsid w:val="00C91D10"/>
    <w:rsid w:val="00C91D1E"/>
    <w:rsid w:val="00C91DB8"/>
    <w:rsid w:val="00C91DE1"/>
    <w:rsid w:val="00C91E06"/>
    <w:rsid w:val="00C91EDF"/>
    <w:rsid w:val="00C91F15"/>
    <w:rsid w:val="00C91F3C"/>
    <w:rsid w:val="00C91FA3"/>
    <w:rsid w:val="00C920A5"/>
    <w:rsid w:val="00C920ED"/>
    <w:rsid w:val="00C920F0"/>
    <w:rsid w:val="00C9213C"/>
    <w:rsid w:val="00C92261"/>
    <w:rsid w:val="00C923F8"/>
    <w:rsid w:val="00C92429"/>
    <w:rsid w:val="00C924E1"/>
    <w:rsid w:val="00C92573"/>
    <w:rsid w:val="00C926DE"/>
    <w:rsid w:val="00C92726"/>
    <w:rsid w:val="00C92767"/>
    <w:rsid w:val="00C927E1"/>
    <w:rsid w:val="00C92803"/>
    <w:rsid w:val="00C9281C"/>
    <w:rsid w:val="00C9296A"/>
    <w:rsid w:val="00C92A4E"/>
    <w:rsid w:val="00C92D67"/>
    <w:rsid w:val="00C92E16"/>
    <w:rsid w:val="00C92F49"/>
    <w:rsid w:val="00C93090"/>
    <w:rsid w:val="00C9318F"/>
    <w:rsid w:val="00C93236"/>
    <w:rsid w:val="00C9323F"/>
    <w:rsid w:val="00C9348B"/>
    <w:rsid w:val="00C934A9"/>
    <w:rsid w:val="00C93616"/>
    <w:rsid w:val="00C9361E"/>
    <w:rsid w:val="00C93723"/>
    <w:rsid w:val="00C937C5"/>
    <w:rsid w:val="00C93857"/>
    <w:rsid w:val="00C938CF"/>
    <w:rsid w:val="00C939DD"/>
    <w:rsid w:val="00C93A21"/>
    <w:rsid w:val="00C93B0E"/>
    <w:rsid w:val="00C93C58"/>
    <w:rsid w:val="00C93C5E"/>
    <w:rsid w:val="00C93D3C"/>
    <w:rsid w:val="00C93E10"/>
    <w:rsid w:val="00C93E1A"/>
    <w:rsid w:val="00C93EC1"/>
    <w:rsid w:val="00C93F11"/>
    <w:rsid w:val="00C940F0"/>
    <w:rsid w:val="00C9413A"/>
    <w:rsid w:val="00C941A7"/>
    <w:rsid w:val="00C94323"/>
    <w:rsid w:val="00C94534"/>
    <w:rsid w:val="00C9458C"/>
    <w:rsid w:val="00C945F5"/>
    <w:rsid w:val="00C94705"/>
    <w:rsid w:val="00C9485E"/>
    <w:rsid w:val="00C94892"/>
    <w:rsid w:val="00C948E7"/>
    <w:rsid w:val="00C94942"/>
    <w:rsid w:val="00C94965"/>
    <w:rsid w:val="00C94A40"/>
    <w:rsid w:val="00C94AED"/>
    <w:rsid w:val="00C94B51"/>
    <w:rsid w:val="00C94B83"/>
    <w:rsid w:val="00C94C61"/>
    <w:rsid w:val="00C94C65"/>
    <w:rsid w:val="00C94CB6"/>
    <w:rsid w:val="00C94D93"/>
    <w:rsid w:val="00C94EBF"/>
    <w:rsid w:val="00C94EF1"/>
    <w:rsid w:val="00C94F1A"/>
    <w:rsid w:val="00C94F3B"/>
    <w:rsid w:val="00C94FC6"/>
    <w:rsid w:val="00C9508A"/>
    <w:rsid w:val="00C950D1"/>
    <w:rsid w:val="00C9514E"/>
    <w:rsid w:val="00C9521E"/>
    <w:rsid w:val="00C952C7"/>
    <w:rsid w:val="00C95335"/>
    <w:rsid w:val="00C95395"/>
    <w:rsid w:val="00C9543A"/>
    <w:rsid w:val="00C95492"/>
    <w:rsid w:val="00C954E4"/>
    <w:rsid w:val="00C9556F"/>
    <w:rsid w:val="00C9586A"/>
    <w:rsid w:val="00C958F6"/>
    <w:rsid w:val="00C95A31"/>
    <w:rsid w:val="00C95AB2"/>
    <w:rsid w:val="00C95C0E"/>
    <w:rsid w:val="00C95C37"/>
    <w:rsid w:val="00C95C4E"/>
    <w:rsid w:val="00C95CBB"/>
    <w:rsid w:val="00C95CF8"/>
    <w:rsid w:val="00C95DCF"/>
    <w:rsid w:val="00C95E28"/>
    <w:rsid w:val="00C95F1E"/>
    <w:rsid w:val="00C95F61"/>
    <w:rsid w:val="00C95F79"/>
    <w:rsid w:val="00C96058"/>
    <w:rsid w:val="00C960F3"/>
    <w:rsid w:val="00C9617D"/>
    <w:rsid w:val="00C961C6"/>
    <w:rsid w:val="00C96243"/>
    <w:rsid w:val="00C96248"/>
    <w:rsid w:val="00C96321"/>
    <w:rsid w:val="00C963DC"/>
    <w:rsid w:val="00C96435"/>
    <w:rsid w:val="00C96492"/>
    <w:rsid w:val="00C964B0"/>
    <w:rsid w:val="00C96549"/>
    <w:rsid w:val="00C96673"/>
    <w:rsid w:val="00C9668E"/>
    <w:rsid w:val="00C9675E"/>
    <w:rsid w:val="00C967B5"/>
    <w:rsid w:val="00C9686E"/>
    <w:rsid w:val="00C96ADC"/>
    <w:rsid w:val="00C96ADF"/>
    <w:rsid w:val="00C96B0E"/>
    <w:rsid w:val="00C96B76"/>
    <w:rsid w:val="00C96EE6"/>
    <w:rsid w:val="00C9705E"/>
    <w:rsid w:val="00C97075"/>
    <w:rsid w:val="00C97121"/>
    <w:rsid w:val="00C97172"/>
    <w:rsid w:val="00C972ED"/>
    <w:rsid w:val="00C97431"/>
    <w:rsid w:val="00C97451"/>
    <w:rsid w:val="00C9753E"/>
    <w:rsid w:val="00C97674"/>
    <w:rsid w:val="00C97727"/>
    <w:rsid w:val="00C977FA"/>
    <w:rsid w:val="00C978AB"/>
    <w:rsid w:val="00C97984"/>
    <w:rsid w:val="00C97995"/>
    <w:rsid w:val="00C979B1"/>
    <w:rsid w:val="00C979D0"/>
    <w:rsid w:val="00C979F2"/>
    <w:rsid w:val="00C97A08"/>
    <w:rsid w:val="00C97B6C"/>
    <w:rsid w:val="00C97D6B"/>
    <w:rsid w:val="00C97D81"/>
    <w:rsid w:val="00C97DB3"/>
    <w:rsid w:val="00C97DBB"/>
    <w:rsid w:val="00C97DE2"/>
    <w:rsid w:val="00C97EE3"/>
    <w:rsid w:val="00CA02A5"/>
    <w:rsid w:val="00CA03A5"/>
    <w:rsid w:val="00CA044F"/>
    <w:rsid w:val="00CA0458"/>
    <w:rsid w:val="00CA0477"/>
    <w:rsid w:val="00CA0539"/>
    <w:rsid w:val="00CA0695"/>
    <w:rsid w:val="00CA07CC"/>
    <w:rsid w:val="00CA0887"/>
    <w:rsid w:val="00CA08FF"/>
    <w:rsid w:val="00CA09F3"/>
    <w:rsid w:val="00CA0D2B"/>
    <w:rsid w:val="00CA0D7B"/>
    <w:rsid w:val="00CA0E63"/>
    <w:rsid w:val="00CA109A"/>
    <w:rsid w:val="00CA11AD"/>
    <w:rsid w:val="00CA125F"/>
    <w:rsid w:val="00CA1283"/>
    <w:rsid w:val="00CA12DA"/>
    <w:rsid w:val="00CA12FB"/>
    <w:rsid w:val="00CA132C"/>
    <w:rsid w:val="00CA1337"/>
    <w:rsid w:val="00CA14C8"/>
    <w:rsid w:val="00CA150D"/>
    <w:rsid w:val="00CA17D2"/>
    <w:rsid w:val="00CA192C"/>
    <w:rsid w:val="00CA19D5"/>
    <w:rsid w:val="00CA19EA"/>
    <w:rsid w:val="00CA1A73"/>
    <w:rsid w:val="00CA1A7B"/>
    <w:rsid w:val="00CA1AC0"/>
    <w:rsid w:val="00CA1B3D"/>
    <w:rsid w:val="00CA1BAD"/>
    <w:rsid w:val="00CA1C29"/>
    <w:rsid w:val="00CA1C4B"/>
    <w:rsid w:val="00CA1D68"/>
    <w:rsid w:val="00CA1D7D"/>
    <w:rsid w:val="00CA1D84"/>
    <w:rsid w:val="00CA1DF3"/>
    <w:rsid w:val="00CA1EB6"/>
    <w:rsid w:val="00CA2106"/>
    <w:rsid w:val="00CA210B"/>
    <w:rsid w:val="00CA21FB"/>
    <w:rsid w:val="00CA220B"/>
    <w:rsid w:val="00CA2633"/>
    <w:rsid w:val="00CA2668"/>
    <w:rsid w:val="00CA27EA"/>
    <w:rsid w:val="00CA2806"/>
    <w:rsid w:val="00CA2B64"/>
    <w:rsid w:val="00CA2B77"/>
    <w:rsid w:val="00CA2B92"/>
    <w:rsid w:val="00CA2BA1"/>
    <w:rsid w:val="00CA2BE6"/>
    <w:rsid w:val="00CA2CB1"/>
    <w:rsid w:val="00CA2CD8"/>
    <w:rsid w:val="00CA2CF4"/>
    <w:rsid w:val="00CA2D6C"/>
    <w:rsid w:val="00CA2DCE"/>
    <w:rsid w:val="00CA3157"/>
    <w:rsid w:val="00CA31BC"/>
    <w:rsid w:val="00CA3249"/>
    <w:rsid w:val="00CA3259"/>
    <w:rsid w:val="00CA32DB"/>
    <w:rsid w:val="00CA3434"/>
    <w:rsid w:val="00CA34BD"/>
    <w:rsid w:val="00CA3784"/>
    <w:rsid w:val="00CA38C2"/>
    <w:rsid w:val="00CA3973"/>
    <w:rsid w:val="00CA39A6"/>
    <w:rsid w:val="00CA3A4E"/>
    <w:rsid w:val="00CA3B11"/>
    <w:rsid w:val="00CA3D07"/>
    <w:rsid w:val="00CA3D22"/>
    <w:rsid w:val="00CA3D6F"/>
    <w:rsid w:val="00CA3DA6"/>
    <w:rsid w:val="00CA3DAD"/>
    <w:rsid w:val="00CA3ED1"/>
    <w:rsid w:val="00CA3F32"/>
    <w:rsid w:val="00CA410E"/>
    <w:rsid w:val="00CA4119"/>
    <w:rsid w:val="00CA4312"/>
    <w:rsid w:val="00CA443C"/>
    <w:rsid w:val="00CA447C"/>
    <w:rsid w:val="00CA447E"/>
    <w:rsid w:val="00CA4499"/>
    <w:rsid w:val="00CA44AA"/>
    <w:rsid w:val="00CA4514"/>
    <w:rsid w:val="00CA4650"/>
    <w:rsid w:val="00CA476E"/>
    <w:rsid w:val="00CA47C8"/>
    <w:rsid w:val="00CA482F"/>
    <w:rsid w:val="00CA497A"/>
    <w:rsid w:val="00CA49EF"/>
    <w:rsid w:val="00CA4A37"/>
    <w:rsid w:val="00CA4AE4"/>
    <w:rsid w:val="00CA4B76"/>
    <w:rsid w:val="00CA4C31"/>
    <w:rsid w:val="00CA4CEB"/>
    <w:rsid w:val="00CA4E2F"/>
    <w:rsid w:val="00CA4EB6"/>
    <w:rsid w:val="00CA4F0E"/>
    <w:rsid w:val="00CA514F"/>
    <w:rsid w:val="00CA51E7"/>
    <w:rsid w:val="00CA5272"/>
    <w:rsid w:val="00CA537C"/>
    <w:rsid w:val="00CA53D2"/>
    <w:rsid w:val="00CA54A2"/>
    <w:rsid w:val="00CA54B8"/>
    <w:rsid w:val="00CA555C"/>
    <w:rsid w:val="00CA55EB"/>
    <w:rsid w:val="00CA56EB"/>
    <w:rsid w:val="00CA574A"/>
    <w:rsid w:val="00CA578D"/>
    <w:rsid w:val="00CA5961"/>
    <w:rsid w:val="00CA597D"/>
    <w:rsid w:val="00CA5C19"/>
    <w:rsid w:val="00CA5D3E"/>
    <w:rsid w:val="00CA5E41"/>
    <w:rsid w:val="00CA5E69"/>
    <w:rsid w:val="00CA5EE3"/>
    <w:rsid w:val="00CA5F0A"/>
    <w:rsid w:val="00CA5F70"/>
    <w:rsid w:val="00CA601D"/>
    <w:rsid w:val="00CA605C"/>
    <w:rsid w:val="00CA60C9"/>
    <w:rsid w:val="00CA61B2"/>
    <w:rsid w:val="00CA6205"/>
    <w:rsid w:val="00CA62EA"/>
    <w:rsid w:val="00CA632E"/>
    <w:rsid w:val="00CA65C9"/>
    <w:rsid w:val="00CA663A"/>
    <w:rsid w:val="00CA668E"/>
    <w:rsid w:val="00CA66BD"/>
    <w:rsid w:val="00CA66EE"/>
    <w:rsid w:val="00CA67F2"/>
    <w:rsid w:val="00CA68FC"/>
    <w:rsid w:val="00CA6917"/>
    <w:rsid w:val="00CA697B"/>
    <w:rsid w:val="00CA6A3A"/>
    <w:rsid w:val="00CA6A70"/>
    <w:rsid w:val="00CA6AFA"/>
    <w:rsid w:val="00CA6B93"/>
    <w:rsid w:val="00CA6BD9"/>
    <w:rsid w:val="00CA6C8E"/>
    <w:rsid w:val="00CA6CB3"/>
    <w:rsid w:val="00CA6DCA"/>
    <w:rsid w:val="00CA6EA1"/>
    <w:rsid w:val="00CA6EA3"/>
    <w:rsid w:val="00CA6EDC"/>
    <w:rsid w:val="00CA6F68"/>
    <w:rsid w:val="00CA70CC"/>
    <w:rsid w:val="00CA7194"/>
    <w:rsid w:val="00CA727B"/>
    <w:rsid w:val="00CA7495"/>
    <w:rsid w:val="00CA75B1"/>
    <w:rsid w:val="00CA772B"/>
    <w:rsid w:val="00CA774A"/>
    <w:rsid w:val="00CA776B"/>
    <w:rsid w:val="00CA77DF"/>
    <w:rsid w:val="00CA788E"/>
    <w:rsid w:val="00CA78BA"/>
    <w:rsid w:val="00CA78BF"/>
    <w:rsid w:val="00CA7A75"/>
    <w:rsid w:val="00CA7A99"/>
    <w:rsid w:val="00CA7AE6"/>
    <w:rsid w:val="00CA7BF8"/>
    <w:rsid w:val="00CA7C2B"/>
    <w:rsid w:val="00CA7CB9"/>
    <w:rsid w:val="00CA7E08"/>
    <w:rsid w:val="00CA7E87"/>
    <w:rsid w:val="00CA7EB8"/>
    <w:rsid w:val="00CA7FBA"/>
    <w:rsid w:val="00CA7FC0"/>
    <w:rsid w:val="00CB00CD"/>
    <w:rsid w:val="00CB012B"/>
    <w:rsid w:val="00CB012E"/>
    <w:rsid w:val="00CB01C5"/>
    <w:rsid w:val="00CB025F"/>
    <w:rsid w:val="00CB026C"/>
    <w:rsid w:val="00CB0343"/>
    <w:rsid w:val="00CB0358"/>
    <w:rsid w:val="00CB03CD"/>
    <w:rsid w:val="00CB0636"/>
    <w:rsid w:val="00CB06EA"/>
    <w:rsid w:val="00CB0716"/>
    <w:rsid w:val="00CB0774"/>
    <w:rsid w:val="00CB07F3"/>
    <w:rsid w:val="00CB088D"/>
    <w:rsid w:val="00CB09F6"/>
    <w:rsid w:val="00CB0A34"/>
    <w:rsid w:val="00CB0A99"/>
    <w:rsid w:val="00CB0B08"/>
    <w:rsid w:val="00CB0B74"/>
    <w:rsid w:val="00CB0C18"/>
    <w:rsid w:val="00CB0C5E"/>
    <w:rsid w:val="00CB0C7D"/>
    <w:rsid w:val="00CB0CDF"/>
    <w:rsid w:val="00CB0CEB"/>
    <w:rsid w:val="00CB0CF0"/>
    <w:rsid w:val="00CB0D54"/>
    <w:rsid w:val="00CB0DE5"/>
    <w:rsid w:val="00CB0E43"/>
    <w:rsid w:val="00CB0EE7"/>
    <w:rsid w:val="00CB0FE7"/>
    <w:rsid w:val="00CB10FB"/>
    <w:rsid w:val="00CB11AB"/>
    <w:rsid w:val="00CB11F7"/>
    <w:rsid w:val="00CB12BE"/>
    <w:rsid w:val="00CB1305"/>
    <w:rsid w:val="00CB13C2"/>
    <w:rsid w:val="00CB1418"/>
    <w:rsid w:val="00CB1424"/>
    <w:rsid w:val="00CB1487"/>
    <w:rsid w:val="00CB149E"/>
    <w:rsid w:val="00CB150C"/>
    <w:rsid w:val="00CB1545"/>
    <w:rsid w:val="00CB1552"/>
    <w:rsid w:val="00CB1697"/>
    <w:rsid w:val="00CB16B7"/>
    <w:rsid w:val="00CB16D2"/>
    <w:rsid w:val="00CB172C"/>
    <w:rsid w:val="00CB1769"/>
    <w:rsid w:val="00CB1998"/>
    <w:rsid w:val="00CB19F6"/>
    <w:rsid w:val="00CB1A53"/>
    <w:rsid w:val="00CB1A5F"/>
    <w:rsid w:val="00CB1C40"/>
    <w:rsid w:val="00CB1C4B"/>
    <w:rsid w:val="00CB1C59"/>
    <w:rsid w:val="00CB1CAF"/>
    <w:rsid w:val="00CB1D33"/>
    <w:rsid w:val="00CB1DDE"/>
    <w:rsid w:val="00CB1DE7"/>
    <w:rsid w:val="00CB1E22"/>
    <w:rsid w:val="00CB1EBA"/>
    <w:rsid w:val="00CB1FAE"/>
    <w:rsid w:val="00CB1FE6"/>
    <w:rsid w:val="00CB2000"/>
    <w:rsid w:val="00CB2033"/>
    <w:rsid w:val="00CB20E3"/>
    <w:rsid w:val="00CB21FE"/>
    <w:rsid w:val="00CB22EA"/>
    <w:rsid w:val="00CB2453"/>
    <w:rsid w:val="00CB2533"/>
    <w:rsid w:val="00CB25AD"/>
    <w:rsid w:val="00CB25C5"/>
    <w:rsid w:val="00CB2684"/>
    <w:rsid w:val="00CB26D4"/>
    <w:rsid w:val="00CB2741"/>
    <w:rsid w:val="00CB27FD"/>
    <w:rsid w:val="00CB2856"/>
    <w:rsid w:val="00CB288A"/>
    <w:rsid w:val="00CB28B6"/>
    <w:rsid w:val="00CB2908"/>
    <w:rsid w:val="00CB2B02"/>
    <w:rsid w:val="00CB2B35"/>
    <w:rsid w:val="00CB2B7A"/>
    <w:rsid w:val="00CB2BA1"/>
    <w:rsid w:val="00CB2BB5"/>
    <w:rsid w:val="00CB2BCF"/>
    <w:rsid w:val="00CB2DA2"/>
    <w:rsid w:val="00CB2E81"/>
    <w:rsid w:val="00CB2EEB"/>
    <w:rsid w:val="00CB2F5B"/>
    <w:rsid w:val="00CB2F9B"/>
    <w:rsid w:val="00CB3180"/>
    <w:rsid w:val="00CB3328"/>
    <w:rsid w:val="00CB33FB"/>
    <w:rsid w:val="00CB362C"/>
    <w:rsid w:val="00CB36D7"/>
    <w:rsid w:val="00CB38B1"/>
    <w:rsid w:val="00CB391A"/>
    <w:rsid w:val="00CB3B4B"/>
    <w:rsid w:val="00CB3C55"/>
    <w:rsid w:val="00CB3CD1"/>
    <w:rsid w:val="00CB3DA8"/>
    <w:rsid w:val="00CB3DBA"/>
    <w:rsid w:val="00CB3EA4"/>
    <w:rsid w:val="00CB3EE2"/>
    <w:rsid w:val="00CB3F3E"/>
    <w:rsid w:val="00CB400C"/>
    <w:rsid w:val="00CB4013"/>
    <w:rsid w:val="00CB4084"/>
    <w:rsid w:val="00CB40D3"/>
    <w:rsid w:val="00CB4122"/>
    <w:rsid w:val="00CB413E"/>
    <w:rsid w:val="00CB421E"/>
    <w:rsid w:val="00CB42D1"/>
    <w:rsid w:val="00CB4313"/>
    <w:rsid w:val="00CB43A1"/>
    <w:rsid w:val="00CB43EB"/>
    <w:rsid w:val="00CB43F4"/>
    <w:rsid w:val="00CB43F5"/>
    <w:rsid w:val="00CB44C9"/>
    <w:rsid w:val="00CB4521"/>
    <w:rsid w:val="00CB4564"/>
    <w:rsid w:val="00CB45F3"/>
    <w:rsid w:val="00CB4620"/>
    <w:rsid w:val="00CB465B"/>
    <w:rsid w:val="00CB4863"/>
    <w:rsid w:val="00CB489F"/>
    <w:rsid w:val="00CB4966"/>
    <w:rsid w:val="00CB4A0E"/>
    <w:rsid w:val="00CB4A43"/>
    <w:rsid w:val="00CB4B4F"/>
    <w:rsid w:val="00CB4B98"/>
    <w:rsid w:val="00CB4D0C"/>
    <w:rsid w:val="00CB4E9D"/>
    <w:rsid w:val="00CB4FF3"/>
    <w:rsid w:val="00CB50E2"/>
    <w:rsid w:val="00CB50F3"/>
    <w:rsid w:val="00CB511C"/>
    <w:rsid w:val="00CB5198"/>
    <w:rsid w:val="00CB5207"/>
    <w:rsid w:val="00CB528D"/>
    <w:rsid w:val="00CB52A4"/>
    <w:rsid w:val="00CB53D6"/>
    <w:rsid w:val="00CB541C"/>
    <w:rsid w:val="00CB54A3"/>
    <w:rsid w:val="00CB55BC"/>
    <w:rsid w:val="00CB56A5"/>
    <w:rsid w:val="00CB56FB"/>
    <w:rsid w:val="00CB5804"/>
    <w:rsid w:val="00CB5898"/>
    <w:rsid w:val="00CB58BE"/>
    <w:rsid w:val="00CB5A9A"/>
    <w:rsid w:val="00CB5AB1"/>
    <w:rsid w:val="00CB5AF0"/>
    <w:rsid w:val="00CB5B32"/>
    <w:rsid w:val="00CB5C48"/>
    <w:rsid w:val="00CB5CB8"/>
    <w:rsid w:val="00CB6199"/>
    <w:rsid w:val="00CB61EC"/>
    <w:rsid w:val="00CB62A5"/>
    <w:rsid w:val="00CB62D7"/>
    <w:rsid w:val="00CB62E4"/>
    <w:rsid w:val="00CB6342"/>
    <w:rsid w:val="00CB635C"/>
    <w:rsid w:val="00CB6428"/>
    <w:rsid w:val="00CB64A4"/>
    <w:rsid w:val="00CB65DF"/>
    <w:rsid w:val="00CB672C"/>
    <w:rsid w:val="00CB67D0"/>
    <w:rsid w:val="00CB6821"/>
    <w:rsid w:val="00CB6B09"/>
    <w:rsid w:val="00CB6C8A"/>
    <w:rsid w:val="00CB6D17"/>
    <w:rsid w:val="00CB6D8F"/>
    <w:rsid w:val="00CB6DCC"/>
    <w:rsid w:val="00CB6DCD"/>
    <w:rsid w:val="00CB6E22"/>
    <w:rsid w:val="00CB6F4D"/>
    <w:rsid w:val="00CB6FE2"/>
    <w:rsid w:val="00CB7066"/>
    <w:rsid w:val="00CB70CB"/>
    <w:rsid w:val="00CB71B2"/>
    <w:rsid w:val="00CB7321"/>
    <w:rsid w:val="00CB7533"/>
    <w:rsid w:val="00CB7540"/>
    <w:rsid w:val="00CB76B3"/>
    <w:rsid w:val="00CB7717"/>
    <w:rsid w:val="00CB796B"/>
    <w:rsid w:val="00CB799B"/>
    <w:rsid w:val="00CB7A8D"/>
    <w:rsid w:val="00CB7C85"/>
    <w:rsid w:val="00CB7CA6"/>
    <w:rsid w:val="00CB7D2B"/>
    <w:rsid w:val="00CB7D4E"/>
    <w:rsid w:val="00CB7E0A"/>
    <w:rsid w:val="00CB7FCC"/>
    <w:rsid w:val="00CB7FDA"/>
    <w:rsid w:val="00CC0067"/>
    <w:rsid w:val="00CC028A"/>
    <w:rsid w:val="00CC03DA"/>
    <w:rsid w:val="00CC0514"/>
    <w:rsid w:val="00CC0530"/>
    <w:rsid w:val="00CC0585"/>
    <w:rsid w:val="00CC061D"/>
    <w:rsid w:val="00CC0653"/>
    <w:rsid w:val="00CC06AE"/>
    <w:rsid w:val="00CC088B"/>
    <w:rsid w:val="00CC0899"/>
    <w:rsid w:val="00CC091A"/>
    <w:rsid w:val="00CC0994"/>
    <w:rsid w:val="00CC09AF"/>
    <w:rsid w:val="00CC09C0"/>
    <w:rsid w:val="00CC0B15"/>
    <w:rsid w:val="00CC0B6D"/>
    <w:rsid w:val="00CC0C2A"/>
    <w:rsid w:val="00CC0C7B"/>
    <w:rsid w:val="00CC0CE3"/>
    <w:rsid w:val="00CC0FA1"/>
    <w:rsid w:val="00CC104B"/>
    <w:rsid w:val="00CC10C4"/>
    <w:rsid w:val="00CC10DA"/>
    <w:rsid w:val="00CC10F3"/>
    <w:rsid w:val="00CC1143"/>
    <w:rsid w:val="00CC119B"/>
    <w:rsid w:val="00CC11B2"/>
    <w:rsid w:val="00CC1310"/>
    <w:rsid w:val="00CC1480"/>
    <w:rsid w:val="00CC1513"/>
    <w:rsid w:val="00CC1552"/>
    <w:rsid w:val="00CC15DD"/>
    <w:rsid w:val="00CC165E"/>
    <w:rsid w:val="00CC1713"/>
    <w:rsid w:val="00CC176D"/>
    <w:rsid w:val="00CC1779"/>
    <w:rsid w:val="00CC1833"/>
    <w:rsid w:val="00CC1871"/>
    <w:rsid w:val="00CC18A5"/>
    <w:rsid w:val="00CC1A6C"/>
    <w:rsid w:val="00CC1B40"/>
    <w:rsid w:val="00CC1BE5"/>
    <w:rsid w:val="00CC1C14"/>
    <w:rsid w:val="00CC1C8E"/>
    <w:rsid w:val="00CC1D6A"/>
    <w:rsid w:val="00CC1ED8"/>
    <w:rsid w:val="00CC1FA8"/>
    <w:rsid w:val="00CC20F5"/>
    <w:rsid w:val="00CC221A"/>
    <w:rsid w:val="00CC2308"/>
    <w:rsid w:val="00CC2368"/>
    <w:rsid w:val="00CC2395"/>
    <w:rsid w:val="00CC23B0"/>
    <w:rsid w:val="00CC24C5"/>
    <w:rsid w:val="00CC24C7"/>
    <w:rsid w:val="00CC2782"/>
    <w:rsid w:val="00CC2790"/>
    <w:rsid w:val="00CC27C9"/>
    <w:rsid w:val="00CC282C"/>
    <w:rsid w:val="00CC2917"/>
    <w:rsid w:val="00CC295B"/>
    <w:rsid w:val="00CC29F9"/>
    <w:rsid w:val="00CC2A1B"/>
    <w:rsid w:val="00CC2B56"/>
    <w:rsid w:val="00CC2BA8"/>
    <w:rsid w:val="00CC2CCB"/>
    <w:rsid w:val="00CC2D91"/>
    <w:rsid w:val="00CC2EC1"/>
    <w:rsid w:val="00CC2ECF"/>
    <w:rsid w:val="00CC2F3C"/>
    <w:rsid w:val="00CC2F75"/>
    <w:rsid w:val="00CC2F7A"/>
    <w:rsid w:val="00CC2FDF"/>
    <w:rsid w:val="00CC3027"/>
    <w:rsid w:val="00CC302B"/>
    <w:rsid w:val="00CC3040"/>
    <w:rsid w:val="00CC3149"/>
    <w:rsid w:val="00CC3230"/>
    <w:rsid w:val="00CC328D"/>
    <w:rsid w:val="00CC32D9"/>
    <w:rsid w:val="00CC339C"/>
    <w:rsid w:val="00CC35BA"/>
    <w:rsid w:val="00CC3628"/>
    <w:rsid w:val="00CC3745"/>
    <w:rsid w:val="00CC378F"/>
    <w:rsid w:val="00CC379E"/>
    <w:rsid w:val="00CC386A"/>
    <w:rsid w:val="00CC38E3"/>
    <w:rsid w:val="00CC399B"/>
    <w:rsid w:val="00CC39EE"/>
    <w:rsid w:val="00CC3A63"/>
    <w:rsid w:val="00CC3A69"/>
    <w:rsid w:val="00CC3B21"/>
    <w:rsid w:val="00CC3BBD"/>
    <w:rsid w:val="00CC3C37"/>
    <w:rsid w:val="00CC3C9A"/>
    <w:rsid w:val="00CC3E27"/>
    <w:rsid w:val="00CC3E97"/>
    <w:rsid w:val="00CC3F19"/>
    <w:rsid w:val="00CC3F86"/>
    <w:rsid w:val="00CC4108"/>
    <w:rsid w:val="00CC416C"/>
    <w:rsid w:val="00CC421B"/>
    <w:rsid w:val="00CC4372"/>
    <w:rsid w:val="00CC4392"/>
    <w:rsid w:val="00CC4575"/>
    <w:rsid w:val="00CC4601"/>
    <w:rsid w:val="00CC46E8"/>
    <w:rsid w:val="00CC4700"/>
    <w:rsid w:val="00CC4757"/>
    <w:rsid w:val="00CC4774"/>
    <w:rsid w:val="00CC4790"/>
    <w:rsid w:val="00CC4975"/>
    <w:rsid w:val="00CC49BC"/>
    <w:rsid w:val="00CC49E6"/>
    <w:rsid w:val="00CC4AA2"/>
    <w:rsid w:val="00CC4B4E"/>
    <w:rsid w:val="00CC4B5B"/>
    <w:rsid w:val="00CC4B6C"/>
    <w:rsid w:val="00CC4BE7"/>
    <w:rsid w:val="00CC4C99"/>
    <w:rsid w:val="00CC4E19"/>
    <w:rsid w:val="00CC4ED5"/>
    <w:rsid w:val="00CC4FC6"/>
    <w:rsid w:val="00CC4FD5"/>
    <w:rsid w:val="00CC5022"/>
    <w:rsid w:val="00CC5045"/>
    <w:rsid w:val="00CC51C1"/>
    <w:rsid w:val="00CC527C"/>
    <w:rsid w:val="00CC5319"/>
    <w:rsid w:val="00CC53FB"/>
    <w:rsid w:val="00CC543B"/>
    <w:rsid w:val="00CC54F8"/>
    <w:rsid w:val="00CC552B"/>
    <w:rsid w:val="00CC5618"/>
    <w:rsid w:val="00CC571A"/>
    <w:rsid w:val="00CC5738"/>
    <w:rsid w:val="00CC5747"/>
    <w:rsid w:val="00CC582E"/>
    <w:rsid w:val="00CC58A4"/>
    <w:rsid w:val="00CC594D"/>
    <w:rsid w:val="00CC5A23"/>
    <w:rsid w:val="00CC5ABA"/>
    <w:rsid w:val="00CC5ADA"/>
    <w:rsid w:val="00CC5B1F"/>
    <w:rsid w:val="00CC5F04"/>
    <w:rsid w:val="00CC5F80"/>
    <w:rsid w:val="00CC618B"/>
    <w:rsid w:val="00CC61F1"/>
    <w:rsid w:val="00CC624A"/>
    <w:rsid w:val="00CC6302"/>
    <w:rsid w:val="00CC63D4"/>
    <w:rsid w:val="00CC6424"/>
    <w:rsid w:val="00CC64EC"/>
    <w:rsid w:val="00CC6551"/>
    <w:rsid w:val="00CC65AB"/>
    <w:rsid w:val="00CC66AC"/>
    <w:rsid w:val="00CC66EB"/>
    <w:rsid w:val="00CC6725"/>
    <w:rsid w:val="00CC67A4"/>
    <w:rsid w:val="00CC67F1"/>
    <w:rsid w:val="00CC6830"/>
    <w:rsid w:val="00CC6912"/>
    <w:rsid w:val="00CC6967"/>
    <w:rsid w:val="00CC69E3"/>
    <w:rsid w:val="00CC6A4E"/>
    <w:rsid w:val="00CC6A96"/>
    <w:rsid w:val="00CC6AA1"/>
    <w:rsid w:val="00CC6B7B"/>
    <w:rsid w:val="00CC6B9C"/>
    <w:rsid w:val="00CC6BA1"/>
    <w:rsid w:val="00CC6C82"/>
    <w:rsid w:val="00CC6F42"/>
    <w:rsid w:val="00CC7097"/>
    <w:rsid w:val="00CC70C3"/>
    <w:rsid w:val="00CC70E6"/>
    <w:rsid w:val="00CC71AE"/>
    <w:rsid w:val="00CC71CD"/>
    <w:rsid w:val="00CC7250"/>
    <w:rsid w:val="00CC72B4"/>
    <w:rsid w:val="00CC7393"/>
    <w:rsid w:val="00CC73CF"/>
    <w:rsid w:val="00CC73EA"/>
    <w:rsid w:val="00CC7519"/>
    <w:rsid w:val="00CC7625"/>
    <w:rsid w:val="00CC7626"/>
    <w:rsid w:val="00CC765E"/>
    <w:rsid w:val="00CC77A1"/>
    <w:rsid w:val="00CC7864"/>
    <w:rsid w:val="00CC7869"/>
    <w:rsid w:val="00CC78BF"/>
    <w:rsid w:val="00CC797B"/>
    <w:rsid w:val="00CC7993"/>
    <w:rsid w:val="00CC79AE"/>
    <w:rsid w:val="00CC7A35"/>
    <w:rsid w:val="00CC7CF6"/>
    <w:rsid w:val="00CC7EF6"/>
    <w:rsid w:val="00CC7FF4"/>
    <w:rsid w:val="00CD003B"/>
    <w:rsid w:val="00CD01B4"/>
    <w:rsid w:val="00CD01C0"/>
    <w:rsid w:val="00CD0287"/>
    <w:rsid w:val="00CD039E"/>
    <w:rsid w:val="00CD0455"/>
    <w:rsid w:val="00CD048C"/>
    <w:rsid w:val="00CD059A"/>
    <w:rsid w:val="00CD0639"/>
    <w:rsid w:val="00CD0758"/>
    <w:rsid w:val="00CD076C"/>
    <w:rsid w:val="00CD0798"/>
    <w:rsid w:val="00CD08BA"/>
    <w:rsid w:val="00CD0904"/>
    <w:rsid w:val="00CD099A"/>
    <w:rsid w:val="00CD0D35"/>
    <w:rsid w:val="00CD0E7A"/>
    <w:rsid w:val="00CD0E7D"/>
    <w:rsid w:val="00CD0FE9"/>
    <w:rsid w:val="00CD1020"/>
    <w:rsid w:val="00CD108E"/>
    <w:rsid w:val="00CD1253"/>
    <w:rsid w:val="00CD1285"/>
    <w:rsid w:val="00CD12D7"/>
    <w:rsid w:val="00CD1383"/>
    <w:rsid w:val="00CD13BE"/>
    <w:rsid w:val="00CD1461"/>
    <w:rsid w:val="00CD1473"/>
    <w:rsid w:val="00CD14AC"/>
    <w:rsid w:val="00CD1621"/>
    <w:rsid w:val="00CD176A"/>
    <w:rsid w:val="00CD17CC"/>
    <w:rsid w:val="00CD17DA"/>
    <w:rsid w:val="00CD183D"/>
    <w:rsid w:val="00CD1876"/>
    <w:rsid w:val="00CD1891"/>
    <w:rsid w:val="00CD1A3F"/>
    <w:rsid w:val="00CD1BC6"/>
    <w:rsid w:val="00CD1C25"/>
    <w:rsid w:val="00CD1C31"/>
    <w:rsid w:val="00CD1C83"/>
    <w:rsid w:val="00CD1CB7"/>
    <w:rsid w:val="00CD1D90"/>
    <w:rsid w:val="00CD1DC5"/>
    <w:rsid w:val="00CD1DCB"/>
    <w:rsid w:val="00CD1DE3"/>
    <w:rsid w:val="00CD1E39"/>
    <w:rsid w:val="00CD1E62"/>
    <w:rsid w:val="00CD1FC4"/>
    <w:rsid w:val="00CD2072"/>
    <w:rsid w:val="00CD20D0"/>
    <w:rsid w:val="00CD20EE"/>
    <w:rsid w:val="00CD2188"/>
    <w:rsid w:val="00CD22AC"/>
    <w:rsid w:val="00CD235B"/>
    <w:rsid w:val="00CD23E9"/>
    <w:rsid w:val="00CD243E"/>
    <w:rsid w:val="00CD24B3"/>
    <w:rsid w:val="00CD26B2"/>
    <w:rsid w:val="00CD26BF"/>
    <w:rsid w:val="00CD26D6"/>
    <w:rsid w:val="00CD2776"/>
    <w:rsid w:val="00CD27EE"/>
    <w:rsid w:val="00CD28CA"/>
    <w:rsid w:val="00CD296B"/>
    <w:rsid w:val="00CD29CC"/>
    <w:rsid w:val="00CD29F3"/>
    <w:rsid w:val="00CD2AF9"/>
    <w:rsid w:val="00CD2B1A"/>
    <w:rsid w:val="00CD2B54"/>
    <w:rsid w:val="00CD2C9F"/>
    <w:rsid w:val="00CD2E75"/>
    <w:rsid w:val="00CD2E7A"/>
    <w:rsid w:val="00CD302F"/>
    <w:rsid w:val="00CD305A"/>
    <w:rsid w:val="00CD3086"/>
    <w:rsid w:val="00CD3238"/>
    <w:rsid w:val="00CD3244"/>
    <w:rsid w:val="00CD3333"/>
    <w:rsid w:val="00CD348E"/>
    <w:rsid w:val="00CD3503"/>
    <w:rsid w:val="00CD3507"/>
    <w:rsid w:val="00CD355B"/>
    <w:rsid w:val="00CD3597"/>
    <w:rsid w:val="00CD35A6"/>
    <w:rsid w:val="00CD35D7"/>
    <w:rsid w:val="00CD3602"/>
    <w:rsid w:val="00CD369F"/>
    <w:rsid w:val="00CD37AF"/>
    <w:rsid w:val="00CD385E"/>
    <w:rsid w:val="00CD397F"/>
    <w:rsid w:val="00CD39D2"/>
    <w:rsid w:val="00CD3A68"/>
    <w:rsid w:val="00CD3B65"/>
    <w:rsid w:val="00CD3BB1"/>
    <w:rsid w:val="00CD3BEF"/>
    <w:rsid w:val="00CD3C72"/>
    <w:rsid w:val="00CD3F45"/>
    <w:rsid w:val="00CD3F75"/>
    <w:rsid w:val="00CD4048"/>
    <w:rsid w:val="00CD4070"/>
    <w:rsid w:val="00CD430D"/>
    <w:rsid w:val="00CD4350"/>
    <w:rsid w:val="00CD43D1"/>
    <w:rsid w:val="00CD45A7"/>
    <w:rsid w:val="00CD46AF"/>
    <w:rsid w:val="00CD479E"/>
    <w:rsid w:val="00CD4A28"/>
    <w:rsid w:val="00CD4AF3"/>
    <w:rsid w:val="00CD4EEC"/>
    <w:rsid w:val="00CD4FCC"/>
    <w:rsid w:val="00CD5157"/>
    <w:rsid w:val="00CD51BC"/>
    <w:rsid w:val="00CD5249"/>
    <w:rsid w:val="00CD5393"/>
    <w:rsid w:val="00CD53D0"/>
    <w:rsid w:val="00CD5434"/>
    <w:rsid w:val="00CD5435"/>
    <w:rsid w:val="00CD549A"/>
    <w:rsid w:val="00CD54C4"/>
    <w:rsid w:val="00CD54E9"/>
    <w:rsid w:val="00CD55D4"/>
    <w:rsid w:val="00CD5632"/>
    <w:rsid w:val="00CD5643"/>
    <w:rsid w:val="00CD56A9"/>
    <w:rsid w:val="00CD575B"/>
    <w:rsid w:val="00CD5783"/>
    <w:rsid w:val="00CD57F9"/>
    <w:rsid w:val="00CD5839"/>
    <w:rsid w:val="00CD58A0"/>
    <w:rsid w:val="00CD58B4"/>
    <w:rsid w:val="00CD5903"/>
    <w:rsid w:val="00CD5919"/>
    <w:rsid w:val="00CD5A74"/>
    <w:rsid w:val="00CD5BC6"/>
    <w:rsid w:val="00CD5C24"/>
    <w:rsid w:val="00CD5CB0"/>
    <w:rsid w:val="00CD5D73"/>
    <w:rsid w:val="00CD5DE7"/>
    <w:rsid w:val="00CD5DFF"/>
    <w:rsid w:val="00CD5FE5"/>
    <w:rsid w:val="00CD608C"/>
    <w:rsid w:val="00CD608D"/>
    <w:rsid w:val="00CD6098"/>
    <w:rsid w:val="00CD60D5"/>
    <w:rsid w:val="00CD61A3"/>
    <w:rsid w:val="00CD62E9"/>
    <w:rsid w:val="00CD639A"/>
    <w:rsid w:val="00CD63F1"/>
    <w:rsid w:val="00CD641C"/>
    <w:rsid w:val="00CD64B2"/>
    <w:rsid w:val="00CD6741"/>
    <w:rsid w:val="00CD6778"/>
    <w:rsid w:val="00CD6779"/>
    <w:rsid w:val="00CD67A6"/>
    <w:rsid w:val="00CD6AD5"/>
    <w:rsid w:val="00CD6B5D"/>
    <w:rsid w:val="00CD6B6E"/>
    <w:rsid w:val="00CD6B74"/>
    <w:rsid w:val="00CD6BAD"/>
    <w:rsid w:val="00CD6E2D"/>
    <w:rsid w:val="00CD735D"/>
    <w:rsid w:val="00CD73F5"/>
    <w:rsid w:val="00CD742A"/>
    <w:rsid w:val="00CD74CD"/>
    <w:rsid w:val="00CD7568"/>
    <w:rsid w:val="00CD75D2"/>
    <w:rsid w:val="00CD7630"/>
    <w:rsid w:val="00CD764D"/>
    <w:rsid w:val="00CD772F"/>
    <w:rsid w:val="00CD7777"/>
    <w:rsid w:val="00CD7920"/>
    <w:rsid w:val="00CD7A9C"/>
    <w:rsid w:val="00CD7B05"/>
    <w:rsid w:val="00CD7E56"/>
    <w:rsid w:val="00CD7F59"/>
    <w:rsid w:val="00CD7FA5"/>
    <w:rsid w:val="00CD7FAE"/>
    <w:rsid w:val="00CD7FB4"/>
    <w:rsid w:val="00CE010E"/>
    <w:rsid w:val="00CE020F"/>
    <w:rsid w:val="00CE02D6"/>
    <w:rsid w:val="00CE0361"/>
    <w:rsid w:val="00CE0397"/>
    <w:rsid w:val="00CE0496"/>
    <w:rsid w:val="00CE0531"/>
    <w:rsid w:val="00CE05BA"/>
    <w:rsid w:val="00CE065B"/>
    <w:rsid w:val="00CE06EE"/>
    <w:rsid w:val="00CE0722"/>
    <w:rsid w:val="00CE072B"/>
    <w:rsid w:val="00CE0761"/>
    <w:rsid w:val="00CE089D"/>
    <w:rsid w:val="00CE0931"/>
    <w:rsid w:val="00CE09ED"/>
    <w:rsid w:val="00CE0ABF"/>
    <w:rsid w:val="00CE0ADC"/>
    <w:rsid w:val="00CE0B21"/>
    <w:rsid w:val="00CE0B3C"/>
    <w:rsid w:val="00CE0C51"/>
    <w:rsid w:val="00CE0E67"/>
    <w:rsid w:val="00CE0F01"/>
    <w:rsid w:val="00CE0F35"/>
    <w:rsid w:val="00CE0F91"/>
    <w:rsid w:val="00CE10BD"/>
    <w:rsid w:val="00CE10FD"/>
    <w:rsid w:val="00CE129F"/>
    <w:rsid w:val="00CE1309"/>
    <w:rsid w:val="00CE1384"/>
    <w:rsid w:val="00CE13E4"/>
    <w:rsid w:val="00CE15F3"/>
    <w:rsid w:val="00CE1600"/>
    <w:rsid w:val="00CE1604"/>
    <w:rsid w:val="00CE16E0"/>
    <w:rsid w:val="00CE1726"/>
    <w:rsid w:val="00CE177F"/>
    <w:rsid w:val="00CE1854"/>
    <w:rsid w:val="00CE186C"/>
    <w:rsid w:val="00CE1914"/>
    <w:rsid w:val="00CE19FF"/>
    <w:rsid w:val="00CE1A82"/>
    <w:rsid w:val="00CE1AE3"/>
    <w:rsid w:val="00CE1B4C"/>
    <w:rsid w:val="00CE1C36"/>
    <w:rsid w:val="00CE1E76"/>
    <w:rsid w:val="00CE1F17"/>
    <w:rsid w:val="00CE1F54"/>
    <w:rsid w:val="00CE1FCA"/>
    <w:rsid w:val="00CE2114"/>
    <w:rsid w:val="00CE2226"/>
    <w:rsid w:val="00CE2258"/>
    <w:rsid w:val="00CE22B2"/>
    <w:rsid w:val="00CE2332"/>
    <w:rsid w:val="00CE2337"/>
    <w:rsid w:val="00CE2370"/>
    <w:rsid w:val="00CE2390"/>
    <w:rsid w:val="00CE24D7"/>
    <w:rsid w:val="00CE25D1"/>
    <w:rsid w:val="00CE26D9"/>
    <w:rsid w:val="00CE2715"/>
    <w:rsid w:val="00CE287A"/>
    <w:rsid w:val="00CE288F"/>
    <w:rsid w:val="00CE2925"/>
    <w:rsid w:val="00CE2BE9"/>
    <w:rsid w:val="00CE2C44"/>
    <w:rsid w:val="00CE2C9D"/>
    <w:rsid w:val="00CE2CA7"/>
    <w:rsid w:val="00CE2D33"/>
    <w:rsid w:val="00CE2DA8"/>
    <w:rsid w:val="00CE2F36"/>
    <w:rsid w:val="00CE2FF7"/>
    <w:rsid w:val="00CE3064"/>
    <w:rsid w:val="00CE30FE"/>
    <w:rsid w:val="00CE317F"/>
    <w:rsid w:val="00CE3216"/>
    <w:rsid w:val="00CE328F"/>
    <w:rsid w:val="00CE3293"/>
    <w:rsid w:val="00CE3426"/>
    <w:rsid w:val="00CE3587"/>
    <w:rsid w:val="00CE362E"/>
    <w:rsid w:val="00CE3673"/>
    <w:rsid w:val="00CE3848"/>
    <w:rsid w:val="00CE39B7"/>
    <w:rsid w:val="00CE3A5C"/>
    <w:rsid w:val="00CE3A5E"/>
    <w:rsid w:val="00CE3AD1"/>
    <w:rsid w:val="00CE3AF5"/>
    <w:rsid w:val="00CE3B6C"/>
    <w:rsid w:val="00CE3C7E"/>
    <w:rsid w:val="00CE3D43"/>
    <w:rsid w:val="00CE3EE2"/>
    <w:rsid w:val="00CE3F88"/>
    <w:rsid w:val="00CE42B2"/>
    <w:rsid w:val="00CE43E7"/>
    <w:rsid w:val="00CE442B"/>
    <w:rsid w:val="00CE44CD"/>
    <w:rsid w:val="00CE4514"/>
    <w:rsid w:val="00CE46D8"/>
    <w:rsid w:val="00CE4775"/>
    <w:rsid w:val="00CE47A2"/>
    <w:rsid w:val="00CE4935"/>
    <w:rsid w:val="00CE4A00"/>
    <w:rsid w:val="00CE4ABE"/>
    <w:rsid w:val="00CE4B7F"/>
    <w:rsid w:val="00CE4CF4"/>
    <w:rsid w:val="00CE4D34"/>
    <w:rsid w:val="00CE4D54"/>
    <w:rsid w:val="00CE4D72"/>
    <w:rsid w:val="00CE4DC9"/>
    <w:rsid w:val="00CE4F66"/>
    <w:rsid w:val="00CE4F82"/>
    <w:rsid w:val="00CE4FD0"/>
    <w:rsid w:val="00CE5033"/>
    <w:rsid w:val="00CE5229"/>
    <w:rsid w:val="00CE5239"/>
    <w:rsid w:val="00CE52A6"/>
    <w:rsid w:val="00CE52E8"/>
    <w:rsid w:val="00CE5507"/>
    <w:rsid w:val="00CE55C6"/>
    <w:rsid w:val="00CE5621"/>
    <w:rsid w:val="00CE563C"/>
    <w:rsid w:val="00CE570A"/>
    <w:rsid w:val="00CE5881"/>
    <w:rsid w:val="00CE5913"/>
    <w:rsid w:val="00CE59F2"/>
    <w:rsid w:val="00CE5A1F"/>
    <w:rsid w:val="00CE5AD9"/>
    <w:rsid w:val="00CE5B89"/>
    <w:rsid w:val="00CE5B94"/>
    <w:rsid w:val="00CE5DC8"/>
    <w:rsid w:val="00CE5E8E"/>
    <w:rsid w:val="00CE5F2C"/>
    <w:rsid w:val="00CE5F2E"/>
    <w:rsid w:val="00CE5F41"/>
    <w:rsid w:val="00CE601A"/>
    <w:rsid w:val="00CE6042"/>
    <w:rsid w:val="00CE611D"/>
    <w:rsid w:val="00CE612E"/>
    <w:rsid w:val="00CE619F"/>
    <w:rsid w:val="00CE62E5"/>
    <w:rsid w:val="00CE6312"/>
    <w:rsid w:val="00CE63A7"/>
    <w:rsid w:val="00CE6411"/>
    <w:rsid w:val="00CE6427"/>
    <w:rsid w:val="00CE6452"/>
    <w:rsid w:val="00CE64F7"/>
    <w:rsid w:val="00CE6519"/>
    <w:rsid w:val="00CE664E"/>
    <w:rsid w:val="00CE6726"/>
    <w:rsid w:val="00CE6737"/>
    <w:rsid w:val="00CE673E"/>
    <w:rsid w:val="00CE680E"/>
    <w:rsid w:val="00CE68B7"/>
    <w:rsid w:val="00CE68C2"/>
    <w:rsid w:val="00CE69D6"/>
    <w:rsid w:val="00CE6A67"/>
    <w:rsid w:val="00CE6A97"/>
    <w:rsid w:val="00CE6B21"/>
    <w:rsid w:val="00CE6C02"/>
    <w:rsid w:val="00CE6C95"/>
    <w:rsid w:val="00CE6CA9"/>
    <w:rsid w:val="00CE6F07"/>
    <w:rsid w:val="00CE6F7E"/>
    <w:rsid w:val="00CE713A"/>
    <w:rsid w:val="00CE7190"/>
    <w:rsid w:val="00CE71FF"/>
    <w:rsid w:val="00CE7296"/>
    <w:rsid w:val="00CE749E"/>
    <w:rsid w:val="00CE7569"/>
    <w:rsid w:val="00CE7644"/>
    <w:rsid w:val="00CE7669"/>
    <w:rsid w:val="00CE7670"/>
    <w:rsid w:val="00CE7753"/>
    <w:rsid w:val="00CE77E7"/>
    <w:rsid w:val="00CE7967"/>
    <w:rsid w:val="00CE7ABA"/>
    <w:rsid w:val="00CE7B1B"/>
    <w:rsid w:val="00CE7B84"/>
    <w:rsid w:val="00CE7C7C"/>
    <w:rsid w:val="00CE7E66"/>
    <w:rsid w:val="00CE7EEF"/>
    <w:rsid w:val="00CE7F13"/>
    <w:rsid w:val="00CF005B"/>
    <w:rsid w:val="00CF00F8"/>
    <w:rsid w:val="00CF0120"/>
    <w:rsid w:val="00CF013C"/>
    <w:rsid w:val="00CF01C6"/>
    <w:rsid w:val="00CF0318"/>
    <w:rsid w:val="00CF04D6"/>
    <w:rsid w:val="00CF06C6"/>
    <w:rsid w:val="00CF0BB7"/>
    <w:rsid w:val="00CF0C09"/>
    <w:rsid w:val="00CF0CC8"/>
    <w:rsid w:val="00CF0DB5"/>
    <w:rsid w:val="00CF0DE8"/>
    <w:rsid w:val="00CF0EB8"/>
    <w:rsid w:val="00CF0F10"/>
    <w:rsid w:val="00CF0F54"/>
    <w:rsid w:val="00CF0F7E"/>
    <w:rsid w:val="00CF11CD"/>
    <w:rsid w:val="00CF1235"/>
    <w:rsid w:val="00CF12BD"/>
    <w:rsid w:val="00CF131F"/>
    <w:rsid w:val="00CF1353"/>
    <w:rsid w:val="00CF137F"/>
    <w:rsid w:val="00CF142B"/>
    <w:rsid w:val="00CF1455"/>
    <w:rsid w:val="00CF1492"/>
    <w:rsid w:val="00CF1592"/>
    <w:rsid w:val="00CF15F9"/>
    <w:rsid w:val="00CF1608"/>
    <w:rsid w:val="00CF1673"/>
    <w:rsid w:val="00CF1777"/>
    <w:rsid w:val="00CF1815"/>
    <w:rsid w:val="00CF18DD"/>
    <w:rsid w:val="00CF195E"/>
    <w:rsid w:val="00CF1971"/>
    <w:rsid w:val="00CF19F2"/>
    <w:rsid w:val="00CF1A72"/>
    <w:rsid w:val="00CF1A91"/>
    <w:rsid w:val="00CF1BB9"/>
    <w:rsid w:val="00CF1C15"/>
    <w:rsid w:val="00CF1CF0"/>
    <w:rsid w:val="00CF1D14"/>
    <w:rsid w:val="00CF1E21"/>
    <w:rsid w:val="00CF1E52"/>
    <w:rsid w:val="00CF1F24"/>
    <w:rsid w:val="00CF232D"/>
    <w:rsid w:val="00CF2358"/>
    <w:rsid w:val="00CF2366"/>
    <w:rsid w:val="00CF2368"/>
    <w:rsid w:val="00CF237B"/>
    <w:rsid w:val="00CF23D7"/>
    <w:rsid w:val="00CF2461"/>
    <w:rsid w:val="00CF249E"/>
    <w:rsid w:val="00CF24B6"/>
    <w:rsid w:val="00CF24C8"/>
    <w:rsid w:val="00CF26BF"/>
    <w:rsid w:val="00CF2808"/>
    <w:rsid w:val="00CF2811"/>
    <w:rsid w:val="00CF2819"/>
    <w:rsid w:val="00CF2842"/>
    <w:rsid w:val="00CF28AB"/>
    <w:rsid w:val="00CF28DA"/>
    <w:rsid w:val="00CF2914"/>
    <w:rsid w:val="00CF2980"/>
    <w:rsid w:val="00CF2AEC"/>
    <w:rsid w:val="00CF2B31"/>
    <w:rsid w:val="00CF2B62"/>
    <w:rsid w:val="00CF2C55"/>
    <w:rsid w:val="00CF2D5C"/>
    <w:rsid w:val="00CF2DCB"/>
    <w:rsid w:val="00CF303D"/>
    <w:rsid w:val="00CF311D"/>
    <w:rsid w:val="00CF31A9"/>
    <w:rsid w:val="00CF3239"/>
    <w:rsid w:val="00CF327C"/>
    <w:rsid w:val="00CF3345"/>
    <w:rsid w:val="00CF3403"/>
    <w:rsid w:val="00CF34E6"/>
    <w:rsid w:val="00CF35FC"/>
    <w:rsid w:val="00CF36EA"/>
    <w:rsid w:val="00CF3885"/>
    <w:rsid w:val="00CF39E7"/>
    <w:rsid w:val="00CF3A71"/>
    <w:rsid w:val="00CF3C5F"/>
    <w:rsid w:val="00CF3D36"/>
    <w:rsid w:val="00CF3E32"/>
    <w:rsid w:val="00CF3E89"/>
    <w:rsid w:val="00CF3ED0"/>
    <w:rsid w:val="00CF3F21"/>
    <w:rsid w:val="00CF3F90"/>
    <w:rsid w:val="00CF3FB2"/>
    <w:rsid w:val="00CF418D"/>
    <w:rsid w:val="00CF41CA"/>
    <w:rsid w:val="00CF429C"/>
    <w:rsid w:val="00CF435D"/>
    <w:rsid w:val="00CF43F5"/>
    <w:rsid w:val="00CF4479"/>
    <w:rsid w:val="00CF447F"/>
    <w:rsid w:val="00CF4483"/>
    <w:rsid w:val="00CF4600"/>
    <w:rsid w:val="00CF470E"/>
    <w:rsid w:val="00CF4742"/>
    <w:rsid w:val="00CF4ABF"/>
    <w:rsid w:val="00CF4B83"/>
    <w:rsid w:val="00CF4C4C"/>
    <w:rsid w:val="00CF4C62"/>
    <w:rsid w:val="00CF4C7B"/>
    <w:rsid w:val="00CF4CE4"/>
    <w:rsid w:val="00CF4D05"/>
    <w:rsid w:val="00CF4D24"/>
    <w:rsid w:val="00CF4D66"/>
    <w:rsid w:val="00CF4D7E"/>
    <w:rsid w:val="00CF4E1A"/>
    <w:rsid w:val="00CF4EBD"/>
    <w:rsid w:val="00CF518C"/>
    <w:rsid w:val="00CF51AA"/>
    <w:rsid w:val="00CF51C6"/>
    <w:rsid w:val="00CF5275"/>
    <w:rsid w:val="00CF5317"/>
    <w:rsid w:val="00CF5333"/>
    <w:rsid w:val="00CF53E8"/>
    <w:rsid w:val="00CF546C"/>
    <w:rsid w:val="00CF5481"/>
    <w:rsid w:val="00CF5536"/>
    <w:rsid w:val="00CF5574"/>
    <w:rsid w:val="00CF558D"/>
    <w:rsid w:val="00CF5593"/>
    <w:rsid w:val="00CF5723"/>
    <w:rsid w:val="00CF57CA"/>
    <w:rsid w:val="00CF57EB"/>
    <w:rsid w:val="00CF59D0"/>
    <w:rsid w:val="00CF5A35"/>
    <w:rsid w:val="00CF5A5A"/>
    <w:rsid w:val="00CF5A7A"/>
    <w:rsid w:val="00CF5BC2"/>
    <w:rsid w:val="00CF5BE5"/>
    <w:rsid w:val="00CF5C3B"/>
    <w:rsid w:val="00CF5EB7"/>
    <w:rsid w:val="00CF5EDC"/>
    <w:rsid w:val="00CF5F8B"/>
    <w:rsid w:val="00CF6029"/>
    <w:rsid w:val="00CF6041"/>
    <w:rsid w:val="00CF60AF"/>
    <w:rsid w:val="00CF61FC"/>
    <w:rsid w:val="00CF6211"/>
    <w:rsid w:val="00CF6289"/>
    <w:rsid w:val="00CF637B"/>
    <w:rsid w:val="00CF63DF"/>
    <w:rsid w:val="00CF6493"/>
    <w:rsid w:val="00CF64C2"/>
    <w:rsid w:val="00CF653C"/>
    <w:rsid w:val="00CF6631"/>
    <w:rsid w:val="00CF66A7"/>
    <w:rsid w:val="00CF683C"/>
    <w:rsid w:val="00CF6A8C"/>
    <w:rsid w:val="00CF6CD6"/>
    <w:rsid w:val="00CF6D40"/>
    <w:rsid w:val="00CF6D98"/>
    <w:rsid w:val="00CF705B"/>
    <w:rsid w:val="00CF719A"/>
    <w:rsid w:val="00CF7206"/>
    <w:rsid w:val="00CF7325"/>
    <w:rsid w:val="00CF7420"/>
    <w:rsid w:val="00CF7505"/>
    <w:rsid w:val="00CF7510"/>
    <w:rsid w:val="00CF7583"/>
    <w:rsid w:val="00CF75A0"/>
    <w:rsid w:val="00CF75F3"/>
    <w:rsid w:val="00CF7680"/>
    <w:rsid w:val="00CF770A"/>
    <w:rsid w:val="00CF780B"/>
    <w:rsid w:val="00CF7851"/>
    <w:rsid w:val="00CF79CA"/>
    <w:rsid w:val="00CF79CB"/>
    <w:rsid w:val="00CF7A85"/>
    <w:rsid w:val="00CF7AD3"/>
    <w:rsid w:val="00CF7AF5"/>
    <w:rsid w:val="00CF7AFF"/>
    <w:rsid w:val="00CF7C1D"/>
    <w:rsid w:val="00CF7C23"/>
    <w:rsid w:val="00CF7C5B"/>
    <w:rsid w:val="00CF7C8D"/>
    <w:rsid w:val="00CF7C9B"/>
    <w:rsid w:val="00CF7CD8"/>
    <w:rsid w:val="00CF7CE7"/>
    <w:rsid w:val="00CF7D81"/>
    <w:rsid w:val="00CF7DD3"/>
    <w:rsid w:val="00CF7E0C"/>
    <w:rsid w:val="00CF7EE0"/>
    <w:rsid w:val="00CF7FAC"/>
    <w:rsid w:val="00CF7FC7"/>
    <w:rsid w:val="00D00094"/>
    <w:rsid w:val="00D00131"/>
    <w:rsid w:val="00D003BD"/>
    <w:rsid w:val="00D004BE"/>
    <w:rsid w:val="00D00507"/>
    <w:rsid w:val="00D00598"/>
    <w:rsid w:val="00D005FE"/>
    <w:rsid w:val="00D00677"/>
    <w:rsid w:val="00D00751"/>
    <w:rsid w:val="00D008CE"/>
    <w:rsid w:val="00D008EB"/>
    <w:rsid w:val="00D00A9E"/>
    <w:rsid w:val="00D00B6C"/>
    <w:rsid w:val="00D00B77"/>
    <w:rsid w:val="00D00BCB"/>
    <w:rsid w:val="00D00CE5"/>
    <w:rsid w:val="00D00D08"/>
    <w:rsid w:val="00D00DBC"/>
    <w:rsid w:val="00D00DF3"/>
    <w:rsid w:val="00D00E59"/>
    <w:rsid w:val="00D00ED1"/>
    <w:rsid w:val="00D00EEE"/>
    <w:rsid w:val="00D00EF8"/>
    <w:rsid w:val="00D00F46"/>
    <w:rsid w:val="00D00F91"/>
    <w:rsid w:val="00D00FB0"/>
    <w:rsid w:val="00D0105A"/>
    <w:rsid w:val="00D010F2"/>
    <w:rsid w:val="00D01171"/>
    <w:rsid w:val="00D01423"/>
    <w:rsid w:val="00D014C4"/>
    <w:rsid w:val="00D01553"/>
    <w:rsid w:val="00D01619"/>
    <w:rsid w:val="00D016D3"/>
    <w:rsid w:val="00D01707"/>
    <w:rsid w:val="00D0175E"/>
    <w:rsid w:val="00D0178E"/>
    <w:rsid w:val="00D017E2"/>
    <w:rsid w:val="00D01870"/>
    <w:rsid w:val="00D018D1"/>
    <w:rsid w:val="00D0193A"/>
    <w:rsid w:val="00D019FD"/>
    <w:rsid w:val="00D01A66"/>
    <w:rsid w:val="00D01A99"/>
    <w:rsid w:val="00D01B07"/>
    <w:rsid w:val="00D01B15"/>
    <w:rsid w:val="00D01B34"/>
    <w:rsid w:val="00D01B4A"/>
    <w:rsid w:val="00D01D00"/>
    <w:rsid w:val="00D01E52"/>
    <w:rsid w:val="00D01F29"/>
    <w:rsid w:val="00D01FFC"/>
    <w:rsid w:val="00D0206F"/>
    <w:rsid w:val="00D023C3"/>
    <w:rsid w:val="00D02479"/>
    <w:rsid w:val="00D0253A"/>
    <w:rsid w:val="00D02582"/>
    <w:rsid w:val="00D0258C"/>
    <w:rsid w:val="00D028FB"/>
    <w:rsid w:val="00D0294E"/>
    <w:rsid w:val="00D02978"/>
    <w:rsid w:val="00D0298C"/>
    <w:rsid w:val="00D02C0B"/>
    <w:rsid w:val="00D02C9C"/>
    <w:rsid w:val="00D02CBB"/>
    <w:rsid w:val="00D02CD9"/>
    <w:rsid w:val="00D02D2C"/>
    <w:rsid w:val="00D02D54"/>
    <w:rsid w:val="00D02FAD"/>
    <w:rsid w:val="00D03125"/>
    <w:rsid w:val="00D03188"/>
    <w:rsid w:val="00D03308"/>
    <w:rsid w:val="00D03343"/>
    <w:rsid w:val="00D033D1"/>
    <w:rsid w:val="00D03586"/>
    <w:rsid w:val="00D0367A"/>
    <w:rsid w:val="00D0369D"/>
    <w:rsid w:val="00D03911"/>
    <w:rsid w:val="00D03924"/>
    <w:rsid w:val="00D03B28"/>
    <w:rsid w:val="00D03B6C"/>
    <w:rsid w:val="00D03B6D"/>
    <w:rsid w:val="00D03B8A"/>
    <w:rsid w:val="00D03C80"/>
    <w:rsid w:val="00D03D20"/>
    <w:rsid w:val="00D03D22"/>
    <w:rsid w:val="00D03EBF"/>
    <w:rsid w:val="00D03F6E"/>
    <w:rsid w:val="00D04034"/>
    <w:rsid w:val="00D0403A"/>
    <w:rsid w:val="00D04050"/>
    <w:rsid w:val="00D041BA"/>
    <w:rsid w:val="00D0420E"/>
    <w:rsid w:val="00D0422C"/>
    <w:rsid w:val="00D0425E"/>
    <w:rsid w:val="00D0436D"/>
    <w:rsid w:val="00D043CA"/>
    <w:rsid w:val="00D0464D"/>
    <w:rsid w:val="00D04684"/>
    <w:rsid w:val="00D04A73"/>
    <w:rsid w:val="00D04A82"/>
    <w:rsid w:val="00D04B6B"/>
    <w:rsid w:val="00D04BAA"/>
    <w:rsid w:val="00D04BBE"/>
    <w:rsid w:val="00D04BFC"/>
    <w:rsid w:val="00D04C08"/>
    <w:rsid w:val="00D04C0B"/>
    <w:rsid w:val="00D04C62"/>
    <w:rsid w:val="00D04C98"/>
    <w:rsid w:val="00D04CEF"/>
    <w:rsid w:val="00D04D24"/>
    <w:rsid w:val="00D04D58"/>
    <w:rsid w:val="00D04D70"/>
    <w:rsid w:val="00D04E15"/>
    <w:rsid w:val="00D04E53"/>
    <w:rsid w:val="00D04F0F"/>
    <w:rsid w:val="00D04F61"/>
    <w:rsid w:val="00D05078"/>
    <w:rsid w:val="00D0511E"/>
    <w:rsid w:val="00D051B7"/>
    <w:rsid w:val="00D051E9"/>
    <w:rsid w:val="00D05203"/>
    <w:rsid w:val="00D05296"/>
    <w:rsid w:val="00D052A4"/>
    <w:rsid w:val="00D053A9"/>
    <w:rsid w:val="00D05482"/>
    <w:rsid w:val="00D05612"/>
    <w:rsid w:val="00D05670"/>
    <w:rsid w:val="00D056AE"/>
    <w:rsid w:val="00D056C5"/>
    <w:rsid w:val="00D05726"/>
    <w:rsid w:val="00D057AA"/>
    <w:rsid w:val="00D058EF"/>
    <w:rsid w:val="00D05A7B"/>
    <w:rsid w:val="00D05B50"/>
    <w:rsid w:val="00D05B67"/>
    <w:rsid w:val="00D05B82"/>
    <w:rsid w:val="00D05C2C"/>
    <w:rsid w:val="00D05D4D"/>
    <w:rsid w:val="00D05D9E"/>
    <w:rsid w:val="00D05E5C"/>
    <w:rsid w:val="00D05FE1"/>
    <w:rsid w:val="00D06195"/>
    <w:rsid w:val="00D06243"/>
    <w:rsid w:val="00D0644E"/>
    <w:rsid w:val="00D064BC"/>
    <w:rsid w:val="00D065F9"/>
    <w:rsid w:val="00D06653"/>
    <w:rsid w:val="00D067C7"/>
    <w:rsid w:val="00D068E8"/>
    <w:rsid w:val="00D06B7B"/>
    <w:rsid w:val="00D06BB7"/>
    <w:rsid w:val="00D06BDB"/>
    <w:rsid w:val="00D06C0C"/>
    <w:rsid w:val="00D06C9A"/>
    <w:rsid w:val="00D06CF7"/>
    <w:rsid w:val="00D06D6A"/>
    <w:rsid w:val="00D06F03"/>
    <w:rsid w:val="00D06F5E"/>
    <w:rsid w:val="00D07133"/>
    <w:rsid w:val="00D07186"/>
    <w:rsid w:val="00D0719B"/>
    <w:rsid w:val="00D071D4"/>
    <w:rsid w:val="00D07256"/>
    <w:rsid w:val="00D07261"/>
    <w:rsid w:val="00D072A5"/>
    <w:rsid w:val="00D072F3"/>
    <w:rsid w:val="00D0736B"/>
    <w:rsid w:val="00D07390"/>
    <w:rsid w:val="00D075B8"/>
    <w:rsid w:val="00D075C6"/>
    <w:rsid w:val="00D076C6"/>
    <w:rsid w:val="00D0784B"/>
    <w:rsid w:val="00D079B9"/>
    <w:rsid w:val="00D079F7"/>
    <w:rsid w:val="00D07AF8"/>
    <w:rsid w:val="00D07C3D"/>
    <w:rsid w:val="00D07C6E"/>
    <w:rsid w:val="00D07C9B"/>
    <w:rsid w:val="00D07E85"/>
    <w:rsid w:val="00D07F64"/>
    <w:rsid w:val="00D07F9C"/>
    <w:rsid w:val="00D1004A"/>
    <w:rsid w:val="00D10098"/>
    <w:rsid w:val="00D100CB"/>
    <w:rsid w:val="00D1016C"/>
    <w:rsid w:val="00D10171"/>
    <w:rsid w:val="00D10244"/>
    <w:rsid w:val="00D1035B"/>
    <w:rsid w:val="00D103ED"/>
    <w:rsid w:val="00D10488"/>
    <w:rsid w:val="00D1049C"/>
    <w:rsid w:val="00D106F6"/>
    <w:rsid w:val="00D1089B"/>
    <w:rsid w:val="00D1090A"/>
    <w:rsid w:val="00D109E2"/>
    <w:rsid w:val="00D10B25"/>
    <w:rsid w:val="00D10B70"/>
    <w:rsid w:val="00D10C25"/>
    <w:rsid w:val="00D10C39"/>
    <w:rsid w:val="00D10F3C"/>
    <w:rsid w:val="00D10FA4"/>
    <w:rsid w:val="00D11066"/>
    <w:rsid w:val="00D1119E"/>
    <w:rsid w:val="00D11617"/>
    <w:rsid w:val="00D11630"/>
    <w:rsid w:val="00D11670"/>
    <w:rsid w:val="00D1168F"/>
    <w:rsid w:val="00D11736"/>
    <w:rsid w:val="00D11835"/>
    <w:rsid w:val="00D118D4"/>
    <w:rsid w:val="00D11939"/>
    <w:rsid w:val="00D11A88"/>
    <w:rsid w:val="00D11AB2"/>
    <w:rsid w:val="00D11BF0"/>
    <w:rsid w:val="00D11C27"/>
    <w:rsid w:val="00D11C5B"/>
    <w:rsid w:val="00D11C88"/>
    <w:rsid w:val="00D11CEE"/>
    <w:rsid w:val="00D11D67"/>
    <w:rsid w:val="00D11DD3"/>
    <w:rsid w:val="00D11E25"/>
    <w:rsid w:val="00D11E30"/>
    <w:rsid w:val="00D11EDB"/>
    <w:rsid w:val="00D120E7"/>
    <w:rsid w:val="00D12281"/>
    <w:rsid w:val="00D122EC"/>
    <w:rsid w:val="00D12489"/>
    <w:rsid w:val="00D124BB"/>
    <w:rsid w:val="00D124F4"/>
    <w:rsid w:val="00D12539"/>
    <w:rsid w:val="00D1270D"/>
    <w:rsid w:val="00D12711"/>
    <w:rsid w:val="00D127FA"/>
    <w:rsid w:val="00D12944"/>
    <w:rsid w:val="00D1297B"/>
    <w:rsid w:val="00D129AD"/>
    <w:rsid w:val="00D12B39"/>
    <w:rsid w:val="00D12BC2"/>
    <w:rsid w:val="00D12C13"/>
    <w:rsid w:val="00D12C73"/>
    <w:rsid w:val="00D12CE0"/>
    <w:rsid w:val="00D12F83"/>
    <w:rsid w:val="00D12FAC"/>
    <w:rsid w:val="00D12FB5"/>
    <w:rsid w:val="00D12FDE"/>
    <w:rsid w:val="00D13059"/>
    <w:rsid w:val="00D130BB"/>
    <w:rsid w:val="00D13106"/>
    <w:rsid w:val="00D13132"/>
    <w:rsid w:val="00D13158"/>
    <w:rsid w:val="00D13551"/>
    <w:rsid w:val="00D13648"/>
    <w:rsid w:val="00D137AB"/>
    <w:rsid w:val="00D13894"/>
    <w:rsid w:val="00D138CF"/>
    <w:rsid w:val="00D139F9"/>
    <w:rsid w:val="00D13A20"/>
    <w:rsid w:val="00D13A31"/>
    <w:rsid w:val="00D13BA9"/>
    <w:rsid w:val="00D13BEA"/>
    <w:rsid w:val="00D13C93"/>
    <w:rsid w:val="00D13DA0"/>
    <w:rsid w:val="00D13E8D"/>
    <w:rsid w:val="00D13EB6"/>
    <w:rsid w:val="00D13F11"/>
    <w:rsid w:val="00D13F86"/>
    <w:rsid w:val="00D14074"/>
    <w:rsid w:val="00D14097"/>
    <w:rsid w:val="00D140C0"/>
    <w:rsid w:val="00D140CE"/>
    <w:rsid w:val="00D1414C"/>
    <w:rsid w:val="00D1430E"/>
    <w:rsid w:val="00D14311"/>
    <w:rsid w:val="00D14425"/>
    <w:rsid w:val="00D144E2"/>
    <w:rsid w:val="00D1450B"/>
    <w:rsid w:val="00D1451C"/>
    <w:rsid w:val="00D1462E"/>
    <w:rsid w:val="00D1469C"/>
    <w:rsid w:val="00D147ED"/>
    <w:rsid w:val="00D1482F"/>
    <w:rsid w:val="00D148D1"/>
    <w:rsid w:val="00D14A23"/>
    <w:rsid w:val="00D14B7C"/>
    <w:rsid w:val="00D14C40"/>
    <w:rsid w:val="00D14D41"/>
    <w:rsid w:val="00D14E47"/>
    <w:rsid w:val="00D14E5D"/>
    <w:rsid w:val="00D14F17"/>
    <w:rsid w:val="00D14FB9"/>
    <w:rsid w:val="00D14FEA"/>
    <w:rsid w:val="00D15053"/>
    <w:rsid w:val="00D151B8"/>
    <w:rsid w:val="00D1523D"/>
    <w:rsid w:val="00D15257"/>
    <w:rsid w:val="00D15267"/>
    <w:rsid w:val="00D15346"/>
    <w:rsid w:val="00D15399"/>
    <w:rsid w:val="00D153D2"/>
    <w:rsid w:val="00D153F8"/>
    <w:rsid w:val="00D15490"/>
    <w:rsid w:val="00D15562"/>
    <w:rsid w:val="00D15595"/>
    <w:rsid w:val="00D155EC"/>
    <w:rsid w:val="00D15698"/>
    <w:rsid w:val="00D157FD"/>
    <w:rsid w:val="00D1589D"/>
    <w:rsid w:val="00D15A31"/>
    <w:rsid w:val="00D15C39"/>
    <w:rsid w:val="00D15C47"/>
    <w:rsid w:val="00D15D00"/>
    <w:rsid w:val="00D15D3F"/>
    <w:rsid w:val="00D15DA3"/>
    <w:rsid w:val="00D15F7A"/>
    <w:rsid w:val="00D15F9A"/>
    <w:rsid w:val="00D15FFB"/>
    <w:rsid w:val="00D16154"/>
    <w:rsid w:val="00D16203"/>
    <w:rsid w:val="00D16220"/>
    <w:rsid w:val="00D16244"/>
    <w:rsid w:val="00D162B8"/>
    <w:rsid w:val="00D1632B"/>
    <w:rsid w:val="00D163F9"/>
    <w:rsid w:val="00D1650F"/>
    <w:rsid w:val="00D165AC"/>
    <w:rsid w:val="00D165B3"/>
    <w:rsid w:val="00D165C7"/>
    <w:rsid w:val="00D166FD"/>
    <w:rsid w:val="00D167A6"/>
    <w:rsid w:val="00D1687C"/>
    <w:rsid w:val="00D1689C"/>
    <w:rsid w:val="00D16922"/>
    <w:rsid w:val="00D16988"/>
    <w:rsid w:val="00D16B56"/>
    <w:rsid w:val="00D16BA7"/>
    <w:rsid w:val="00D16C81"/>
    <w:rsid w:val="00D16D99"/>
    <w:rsid w:val="00D16DAD"/>
    <w:rsid w:val="00D16E04"/>
    <w:rsid w:val="00D1703D"/>
    <w:rsid w:val="00D170AC"/>
    <w:rsid w:val="00D17127"/>
    <w:rsid w:val="00D17151"/>
    <w:rsid w:val="00D171AB"/>
    <w:rsid w:val="00D171B5"/>
    <w:rsid w:val="00D171F3"/>
    <w:rsid w:val="00D17223"/>
    <w:rsid w:val="00D17286"/>
    <w:rsid w:val="00D1728C"/>
    <w:rsid w:val="00D172AA"/>
    <w:rsid w:val="00D172F4"/>
    <w:rsid w:val="00D17300"/>
    <w:rsid w:val="00D17322"/>
    <w:rsid w:val="00D17346"/>
    <w:rsid w:val="00D1739B"/>
    <w:rsid w:val="00D17449"/>
    <w:rsid w:val="00D1748C"/>
    <w:rsid w:val="00D175AB"/>
    <w:rsid w:val="00D176A8"/>
    <w:rsid w:val="00D176EB"/>
    <w:rsid w:val="00D1782B"/>
    <w:rsid w:val="00D1784C"/>
    <w:rsid w:val="00D178B6"/>
    <w:rsid w:val="00D178CF"/>
    <w:rsid w:val="00D1799F"/>
    <w:rsid w:val="00D17A29"/>
    <w:rsid w:val="00D17AED"/>
    <w:rsid w:val="00D17AF0"/>
    <w:rsid w:val="00D17B41"/>
    <w:rsid w:val="00D17C28"/>
    <w:rsid w:val="00D17C9C"/>
    <w:rsid w:val="00D17D8A"/>
    <w:rsid w:val="00D17E9A"/>
    <w:rsid w:val="00D17EB8"/>
    <w:rsid w:val="00D17EBE"/>
    <w:rsid w:val="00D17ED2"/>
    <w:rsid w:val="00D17EE6"/>
    <w:rsid w:val="00D17F60"/>
    <w:rsid w:val="00D17F7D"/>
    <w:rsid w:val="00D17FAF"/>
    <w:rsid w:val="00D200DF"/>
    <w:rsid w:val="00D20147"/>
    <w:rsid w:val="00D2017B"/>
    <w:rsid w:val="00D201B6"/>
    <w:rsid w:val="00D201F0"/>
    <w:rsid w:val="00D2021F"/>
    <w:rsid w:val="00D202DA"/>
    <w:rsid w:val="00D20311"/>
    <w:rsid w:val="00D20449"/>
    <w:rsid w:val="00D204F8"/>
    <w:rsid w:val="00D20758"/>
    <w:rsid w:val="00D207E3"/>
    <w:rsid w:val="00D20898"/>
    <w:rsid w:val="00D20A95"/>
    <w:rsid w:val="00D20B54"/>
    <w:rsid w:val="00D20D7D"/>
    <w:rsid w:val="00D20D93"/>
    <w:rsid w:val="00D20DF2"/>
    <w:rsid w:val="00D20E3B"/>
    <w:rsid w:val="00D20F6D"/>
    <w:rsid w:val="00D20FEB"/>
    <w:rsid w:val="00D21038"/>
    <w:rsid w:val="00D21070"/>
    <w:rsid w:val="00D210F6"/>
    <w:rsid w:val="00D211D0"/>
    <w:rsid w:val="00D212BE"/>
    <w:rsid w:val="00D2131F"/>
    <w:rsid w:val="00D2132A"/>
    <w:rsid w:val="00D213E9"/>
    <w:rsid w:val="00D214E3"/>
    <w:rsid w:val="00D2155B"/>
    <w:rsid w:val="00D21654"/>
    <w:rsid w:val="00D21693"/>
    <w:rsid w:val="00D216BF"/>
    <w:rsid w:val="00D21719"/>
    <w:rsid w:val="00D217FC"/>
    <w:rsid w:val="00D218BE"/>
    <w:rsid w:val="00D218F0"/>
    <w:rsid w:val="00D219B2"/>
    <w:rsid w:val="00D219C4"/>
    <w:rsid w:val="00D219CD"/>
    <w:rsid w:val="00D219F2"/>
    <w:rsid w:val="00D21B30"/>
    <w:rsid w:val="00D21B67"/>
    <w:rsid w:val="00D21BC6"/>
    <w:rsid w:val="00D21C2A"/>
    <w:rsid w:val="00D21D8C"/>
    <w:rsid w:val="00D21D98"/>
    <w:rsid w:val="00D21F8F"/>
    <w:rsid w:val="00D2202C"/>
    <w:rsid w:val="00D2204F"/>
    <w:rsid w:val="00D220E8"/>
    <w:rsid w:val="00D22130"/>
    <w:rsid w:val="00D221B3"/>
    <w:rsid w:val="00D221D2"/>
    <w:rsid w:val="00D222D8"/>
    <w:rsid w:val="00D224AE"/>
    <w:rsid w:val="00D224CA"/>
    <w:rsid w:val="00D225D6"/>
    <w:rsid w:val="00D22660"/>
    <w:rsid w:val="00D226FC"/>
    <w:rsid w:val="00D22768"/>
    <w:rsid w:val="00D22814"/>
    <w:rsid w:val="00D2290D"/>
    <w:rsid w:val="00D229A1"/>
    <w:rsid w:val="00D22A4A"/>
    <w:rsid w:val="00D22B15"/>
    <w:rsid w:val="00D22C29"/>
    <w:rsid w:val="00D22C75"/>
    <w:rsid w:val="00D22CE4"/>
    <w:rsid w:val="00D22D1D"/>
    <w:rsid w:val="00D22D4C"/>
    <w:rsid w:val="00D22D9A"/>
    <w:rsid w:val="00D22DE9"/>
    <w:rsid w:val="00D22ED7"/>
    <w:rsid w:val="00D22F0C"/>
    <w:rsid w:val="00D230AD"/>
    <w:rsid w:val="00D23246"/>
    <w:rsid w:val="00D23284"/>
    <w:rsid w:val="00D232ED"/>
    <w:rsid w:val="00D233EF"/>
    <w:rsid w:val="00D23472"/>
    <w:rsid w:val="00D234D5"/>
    <w:rsid w:val="00D23696"/>
    <w:rsid w:val="00D236F7"/>
    <w:rsid w:val="00D23761"/>
    <w:rsid w:val="00D23957"/>
    <w:rsid w:val="00D23962"/>
    <w:rsid w:val="00D239B7"/>
    <w:rsid w:val="00D239B9"/>
    <w:rsid w:val="00D23A1E"/>
    <w:rsid w:val="00D23A5B"/>
    <w:rsid w:val="00D23AE7"/>
    <w:rsid w:val="00D23B62"/>
    <w:rsid w:val="00D23B63"/>
    <w:rsid w:val="00D23BD5"/>
    <w:rsid w:val="00D23BE1"/>
    <w:rsid w:val="00D23C58"/>
    <w:rsid w:val="00D23D00"/>
    <w:rsid w:val="00D23D6C"/>
    <w:rsid w:val="00D23E97"/>
    <w:rsid w:val="00D23ECC"/>
    <w:rsid w:val="00D23F9E"/>
    <w:rsid w:val="00D23FFD"/>
    <w:rsid w:val="00D2403A"/>
    <w:rsid w:val="00D241AC"/>
    <w:rsid w:val="00D241C3"/>
    <w:rsid w:val="00D242C1"/>
    <w:rsid w:val="00D242CD"/>
    <w:rsid w:val="00D24333"/>
    <w:rsid w:val="00D24395"/>
    <w:rsid w:val="00D243E6"/>
    <w:rsid w:val="00D24413"/>
    <w:rsid w:val="00D24506"/>
    <w:rsid w:val="00D24568"/>
    <w:rsid w:val="00D245A8"/>
    <w:rsid w:val="00D2473A"/>
    <w:rsid w:val="00D2474F"/>
    <w:rsid w:val="00D2478F"/>
    <w:rsid w:val="00D24794"/>
    <w:rsid w:val="00D2481B"/>
    <w:rsid w:val="00D248E6"/>
    <w:rsid w:val="00D2495D"/>
    <w:rsid w:val="00D249A6"/>
    <w:rsid w:val="00D24A18"/>
    <w:rsid w:val="00D24A7B"/>
    <w:rsid w:val="00D24A83"/>
    <w:rsid w:val="00D24A95"/>
    <w:rsid w:val="00D24A9C"/>
    <w:rsid w:val="00D24B26"/>
    <w:rsid w:val="00D24B41"/>
    <w:rsid w:val="00D24BE6"/>
    <w:rsid w:val="00D24BEA"/>
    <w:rsid w:val="00D24C6A"/>
    <w:rsid w:val="00D24D27"/>
    <w:rsid w:val="00D24E7B"/>
    <w:rsid w:val="00D24F2B"/>
    <w:rsid w:val="00D250E1"/>
    <w:rsid w:val="00D251C4"/>
    <w:rsid w:val="00D25204"/>
    <w:rsid w:val="00D252BC"/>
    <w:rsid w:val="00D253B8"/>
    <w:rsid w:val="00D253F7"/>
    <w:rsid w:val="00D253FB"/>
    <w:rsid w:val="00D25657"/>
    <w:rsid w:val="00D256CB"/>
    <w:rsid w:val="00D256CC"/>
    <w:rsid w:val="00D2575B"/>
    <w:rsid w:val="00D2577C"/>
    <w:rsid w:val="00D2578F"/>
    <w:rsid w:val="00D257CE"/>
    <w:rsid w:val="00D25902"/>
    <w:rsid w:val="00D2592B"/>
    <w:rsid w:val="00D25B1D"/>
    <w:rsid w:val="00D25BA9"/>
    <w:rsid w:val="00D25C3E"/>
    <w:rsid w:val="00D25C6D"/>
    <w:rsid w:val="00D25CE0"/>
    <w:rsid w:val="00D25CFE"/>
    <w:rsid w:val="00D25D17"/>
    <w:rsid w:val="00D25D9F"/>
    <w:rsid w:val="00D25E3D"/>
    <w:rsid w:val="00D25EEF"/>
    <w:rsid w:val="00D26078"/>
    <w:rsid w:val="00D2609B"/>
    <w:rsid w:val="00D261DA"/>
    <w:rsid w:val="00D2630A"/>
    <w:rsid w:val="00D26411"/>
    <w:rsid w:val="00D2650F"/>
    <w:rsid w:val="00D2657F"/>
    <w:rsid w:val="00D2658F"/>
    <w:rsid w:val="00D265D3"/>
    <w:rsid w:val="00D26736"/>
    <w:rsid w:val="00D26772"/>
    <w:rsid w:val="00D26A3F"/>
    <w:rsid w:val="00D26B07"/>
    <w:rsid w:val="00D26B77"/>
    <w:rsid w:val="00D26EA0"/>
    <w:rsid w:val="00D2705B"/>
    <w:rsid w:val="00D27159"/>
    <w:rsid w:val="00D27183"/>
    <w:rsid w:val="00D272C6"/>
    <w:rsid w:val="00D27382"/>
    <w:rsid w:val="00D273CB"/>
    <w:rsid w:val="00D27403"/>
    <w:rsid w:val="00D27411"/>
    <w:rsid w:val="00D27505"/>
    <w:rsid w:val="00D27535"/>
    <w:rsid w:val="00D27648"/>
    <w:rsid w:val="00D276DA"/>
    <w:rsid w:val="00D27789"/>
    <w:rsid w:val="00D27969"/>
    <w:rsid w:val="00D2799F"/>
    <w:rsid w:val="00D279B6"/>
    <w:rsid w:val="00D27A25"/>
    <w:rsid w:val="00D27AE4"/>
    <w:rsid w:val="00D27D25"/>
    <w:rsid w:val="00D27D70"/>
    <w:rsid w:val="00D27D78"/>
    <w:rsid w:val="00D27E71"/>
    <w:rsid w:val="00D27EFF"/>
    <w:rsid w:val="00D27F25"/>
    <w:rsid w:val="00D27F89"/>
    <w:rsid w:val="00D27FC6"/>
    <w:rsid w:val="00D300AC"/>
    <w:rsid w:val="00D30308"/>
    <w:rsid w:val="00D30379"/>
    <w:rsid w:val="00D303F7"/>
    <w:rsid w:val="00D30507"/>
    <w:rsid w:val="00D305A1"/>
    <w:rsid w:val="00D305BD"/>
    <w:rsid w:val="00D305D8"/>
    <w:rsid w:val="00D30764"/>
    <w:rsid w:val="00D30799"/>
    <w:rsid w:val="00D3092A"/>
    <w:rsid w:val="00D3094D"/>
    <w:rsid w:val="00D3096E"/>
    <w:rsid w:val="00D30A51"/>
    <w:rsid w:val="00D30C7D"/>
    <w:rsid w:val="00D30DAD"/>
    <w:rsid w:val="00D30E72"/>
    <w:rsid w:val="00D30E93"/>
    <w:rsid w:val="00D31161"/>
    <w:rsid w:val="00D3118F"/>
    <w:rsid w:val="00D3128A"/>
    <w:rsid w:val="00D312E2"/>
    <w:rsid w:val="00D313A7"/>
    <w:rsid w:val="00D31466"/>
    <w:rsid w:val="00D31561"/>
    <w:rsid w:val="00D31711"/>
    <w:rsid w:val="00D3173A"/>
    <w:rsid w:val="00D31762"/>
    <w:rsid w:val="00D317E9"/>
    <w:rsid w:val="00D317FB"/>
    <w:rsid w:val="00D3181F"/>
    <w:rsid w:val="00D31A36"/>
    <w:rsid w:val="00D31A46"/>
    <w:rsid w:val="00D31C36"/>
    <w:rsid w:val="00D31D83"/>
    <w:rsid w:val="00D31D95"/>
    <w:rsid w:val="00D31DED"/>
    <w:rsid w:val="00D31E71"/>
    <w:rsid w:val="00D31EE0"/>
    <w:rsid w:val="00D31FC6"/>
    <w:rsid w:val="00D31FDA"/>
    <w:rsid w:val="00D320AB"/>
    <w:rsid w:val="00D320B5"/>
    <w:rsid w:val="00D32132"/>
    <w:rsid w:val="00D3216E"/>
    <w:rsid w:val="00D321BC"/>
    <w:rsid w:val="00D3220F"/>
    <w:rsid w:val="00D32233"/>
    <w:rsid w:val="00D322EE"/>
    <w:rsid w:val="00D323AD"/>
    <w:rsid w:val="00D324B4"/>
    <w:rsid w:val="00D32606"/>
    <w:rsid w:val="00D32778"/>
    <w:rsid w:val="00D327A4"/>
    <w:rsid w:val="00D327FB"/>
    <w:rsid w:val="00D3286B"/>
    <w:rsid w:val="00D328A0"/>
    <w:rsid w:val="00D3290D"/>
    <w:rsid w:val="00D32C91"/>
    <w:rsid w:val="00D32CAC"/>
    <w:rsid w:val="00D32D2E"/>
    <w:rsid w:val="00D33032"/>
    <w:rsid w:val="00D3304A"/>
    <w:rsid w:val="00D330DB"/>
    <w:rsid w:val="00D331CC"/>
    <w:rsid w:val="00D3329D"/>
    <w:rsid w:val="00D33331"/>
    <w:rsid w:val="00D33349"/>
    <w:rsid w:val="00D3338B"/>
    <w:rsid w:val="00D3343A"/>
    <w:rsid w:val="00D3376E"/>
    <w:rsid w:val="00D339CD"/>
    <w:rsid w:val="00D33A14"/>
    <w:rsid w:val="00D33A4A"/>
    <w:rsid w:val="00D33B0C"/>
    <w:rsid w:val="00D33B6C"/>
    <w:rsid w:val="00D33DC7"/>
    <w:rsid w:val="00D33EC7"/>
    <w:rsid w:val="00D33FB6"/>
    <w:rsid w:val="00D33FE5"/>
    <w:rsid w:val="00D341B2"/>
    <w:rsid w:val="00D3429A"/>
    <w:rsid w:val="00D34300"/>
    <w:rsid w:val="00D34392"/>
    <w:rsid w:val="00D3442C"/>
    <w:rsid w:val="00D34477"/>
    <w:rsid w:val="00D34511"/>
    <w:rsid w:val="00D3454C"/>
    <w:rsid w:val="00D3458E"/>
    <w:rsid w:val="00D345B1"/>
    <w:rsid w:val="00D345C6"/>
    <w:rsid w:val="00D34631"/>
    <w:rsid w:val="00D34753"/>
    <w:rsid w:val="00D34816"/>
    <w:rsid w:val="00D34ABB"/>
    <w:rsid w:val="00D34AC6"/>
    <w:rsid w:val="00D34B92"/>
    <w:rsid w:val="00D34BB6"/>
    <w:rsid w:val="00D34DF8"/>
    <w:rsid w:val="00D34EA5"/>
    <w:rsid w:val="00D34EAC"/>
    <w:rsid w:val="00D34F9F"/>
    <w:rsid w:val="00D34FF9"/>
    <w:rsid w:val="00D34FFC"/>
    <w:rsid w:val="00D35027"/>
    <w:rsid w:val="00D35071"/>
    <w:rsid w:val="00D35222"/>
    <w:rsid w:val="00D352CB"/>
    <w:rsid w:val="00D352D5"/>
    <w:rsid w:val="00D3531C"/>
    <w:rsid w:val="00D35337"/>
    <w:rsid w:val="00D35393"/>
    <w:rsid w:val="00D3539B"/>
    <w:rsid w:val="00D353C3"/>
    <w:rsid w:val="00D354BE"/>
    <w:rsid w:val="00D355E1"/>
    <w:rsid w:val="00D355FB"/>
    <w:rsid w:val="00D35696"/>
    <w:rsid w:val="00D35722"/>
    <w:rsid w:val="00D3586E"/>
    <w:rsid w:val="00D3587E"/>
    <w:rsid w:val="00D358DC"/>
    <w:rsid w:val="00D35923"/>
    <w:rsid w:val="00D35AA0"/>
    <w:rsid w:val="00D35B57"/>
    <w:rsid w:val="00D35BD9"/>
    <w:rsid w:val="00D35BF6"/>
    <w:rsid w:val="00D35D42"/>
    <w:rsid w:val="00D35DB6"/>
    <w:rsid w:val="00D35E08"/>
    <w:rsid w:val="00D35E37"/>
    <w:rsid w:val="00D35F6C"/>
    <w:rsid w:val="00D35F87"/>
    <w:rsid w:val="00D35F96"/>
    <w:rsid w:val="00D35FAD"/>
    <w:rsid w:val="00D35FC2"/>
    <w:rsid w:val="00D360AA"/>
    <w:rsid w:val="00D3613D"/>
    <w:rsid w:val="00D36261"/>
    <w:rsid w:val="00D36375"/>
    <w:rsid w:val="00D363CC"/>
    <w:rsid w:val="00D3640A"/>
    <w:rsid w:val="00D3641D"/>
    <w:rsid w:val="00D3647F"/>
    <w:rsid w:val="00D364A6"/>
    <w:rsid w:val="00D364C5"/>
    <w:rsid w:val="00D366CC"/>
    <w:rsid w:val="00D367B3"/>
    <w:rsid w:val="00D36828"/>
    <w:rsid w:val="00D36854"/>
    <w:rsid w:val="00D36900"/>
    <w:rsid w:val="00D36A3C"/>
    <w:rsid w:val="00D36A70"/>
    <w:rsid w:val="00D36B0D"/>
    <w:rsid w:val="00D36BBE"/>
    <w:rsid w:val="00D36C08"/>
    <w:rsid w:val="00D36C19"/>
    <w:rsid w:val="00D36CE8"/>
    <w:rsid w:val="00D36F29"/>
    <w:rsid w:val="00D36FC1"/>
    <w:rsid w:val="00D37048"/>
    <w:rsid w:val="00D3715C"/>
    <w:rsid w:val="00D3719C"/>
    <w:rsid w:val="00D371B0"/>
    <w:rsid w:val="00D371D3"/>
    <w:rsid w:val="00D37244"/>
    <w:rsid w:val="00D3727B"/>
    <w:rsid w:val="00D372F0"/>
    <w:rsid w:val="00D3744F"/>
    <w:rsid w:val="00D374BB"/>
    <w:rsid w:val="00D374EE"/>
    <w:rsid w:val="00D37595"/>
    <w:rsid w:val="00D37633"/>
    <w:rsid w:val="00D376FD"/>
    <w:rsid w:val="00D37855"/>
    <w:rsid w:val="00D3786C"/>
    <w:rsid w:val="00D37897"/>
    <w:rsid w:val="00D378EF"/>
    <w:rsid w:val="00D3795E"/>
    <w:rsid w:val="00D37B1F"/>
    <w:rsid w:val="00D37B4F"/>
    <w:rsid w:val="00D37BCA"/>
    <w:rsid w:val="00D37D05"/>
    <w:rsid w:val="00D37D62"/>
    <w:rsid w:val="00D37E67"/>
    <w:rsid w:val="00D37F45"/>
    <w:rsid w:val="00D400CF"/>
    <w:rsid w:val="00D4010A"/>
    <w:rsid w:val="00D401C5"/>
    <w:rsid w:val="00D401D7"/>
    <w:rsid w:val="00D40245"/>
    <w:rsid w:val="00D402AE"/>
    <w:rsid w:val="00D40444"/>
    <w:rsid w:val="00D405E0"/>
    <w:rsid w:val="00D40613"/>
    <w:rsid w:val="00D4069C"/>
    <w:rsid w:val="00D4093E"/>
    <w:rsid w:val="00D4094B"/>
    <w:rsid w:val="00D40956"/>
    <w:rsid w:val="00D40A89"/>
    <w:rsid w:val="00D40C3B"/>
    <w:rsid w:val="00D40C8F"/>
    <w:rsid w:val="00D40E2C"/>
    <w:rsid w:val="00D40F27"/>
    <w:rsid w:val="00D40F76"/>
    <w:rsid w:val="00D40F98"/>
    <w:rsid w:val="00D40FF2"/>
    <w:rsid w:val="00D41053"/>
    <w:rsid w:val="00D4105E"/>
    <w:rsid w:val="00D41075"/>
    <w:rsid w:val="00D4116A"/>
    <w:rsid w:val="00D41212"/>
    <w:rsid w:val="00D41309"/>
    <w:rsid w:val="00D413D0"/>
    <w:rsid w:val="00D413E4"/>
    <w:rsid w:val="00D414B0"/>
    <w:rsid w:val="00D414B1"/>
    <w:rsid w:val="00D414CC"/>
    <w:rsid w:val="00D41716"/>
    <w:rsid w:val="00D41729"/>
    <w:rsid w:val="00D41743"/>
    <w:rsid w:val="00D417AB"/>
    <w:rsid w:val="00D41832"/>
    <w:rsid w:val="00D41842"/>
    <w:rsid w:val="00D41949"/>
    <w:rsid w:val="00D41A5B"/>
    <w:rsid w:val="00D41A62"/>
    <w:rsid w:val="00D41A71"/>
    <w:rsid w:val="00D41A97"/>
    <w:rsid w:val="00D41C41"/>
    <w:rsid w:val="00D41D21"/>
    <w:rsid w:val="00D41DEC"/>
    <w:rsid w:val="00D41DF9"/>
    <w:rsid w:val="00D41E8C"/>
    <w:rsid w:val="00D41F87"/>
    <w:rsid w:val="00D41FD3"/>
    <w:rsid w:val="00D42088"/>
    <w:rsid w:val="00D42180"/>
    <w:rsid w:val="00D422B0"/>
    <w:rsid w:val="00D42371"/>
    <w:rsid w:val="00D42440"/>
    <w:rsid w:val="00D42852"/>
    <w:rsid w:val="00D42859"/>
    <w:rsid w:val="00D42978"/>
    <w:rsid w:val="00D42AA0"/>
    <w:rsid w:val="00D42AAF"/>
    <w:rsid w:val="00D42AD6"/>
    <w:rsid w:val="00D42B9A"/>
    <w:rsid w:val="00D42C22"/>
    <w:rsid w:val="00D42D5B"/>
    <w:rsid w:val="00D42E24"/>
    <w:rsid w:val="00D42F09"/>
    <w:rsid w:val="00D42FBE"/>
    <w:rsid w:val="00D42FFB"/>
    <w:rsid w:val="00D431A5"/>
    <w:rsid w:val="00D43234"/>
    <w:rsid w:val="00D43239"/>
    <w:rsid w:val="00D4328F"/>
    <w:rsid w:val="00D43290"/>
    <w:rsid w:val="00D4347C"/>
    <w:rsid w:val="00D434D6"/>
    <w:rsid w:val="00D43584"/>
    <w:rsid w:val="00D435EF"/>
    <w:rsid w:val="00D4372C"/>
    <w:rsid w:val="00D437C4"/>
    <w:rsid w:val="00D438F6"/>
    <w:rsid w:val="00D43CCB"/>
    <w:rsid w:val="00D43DBB"/>
    <w:rsid w:val="00D43F1C"/>
    <w:rsid w:val="00D43F66"/>
    <w:rsid w:val="00D44027"/>
    <w:rsid w:val="00D44343"/>
    <w:rsid w:val="00D4435F"/>
    <w:rsid w:val="00D44394"/>
    <w:rsid w:val="00D443A7"/>
    <w:rsid w:val="00D44628"/>
    <w:rsid w:val="00D44867"/>
    <w:rsid w:val="00D448ED"/>
    <w:rsid w:val="00D44945"/>
    <w:rsid w:val="00D4497C"/>
    <w:rsid w:val="00D449D7"/>
    <w:rsid w:val="00D449DA"/>
    <w:rsid w:val="00D44A6D"/>
    <w:rsid w:val="00D44C4B"/>
    <w:rsid w:val="00D44CA8"/>
    <w:rsid w:val="00D44CDB"/>
    <w:rsid w:val="00D44CEE"/>
    <w:rsid w:val="00D44D93"/>
    <w:rsid w:val="00D44EEF"/>
    <w:rsid w:val="00D44F63"/>
    <w:rsid w:val="00D45030"/>
    <w:rsid w:val="00D45082"/>
    <w:rsid w:val="00D450D4"/>
    <w:rsid w:val="00D45164"/>
    <w:rsid w:val="00D451F5"/>
    <w:rsid w:val="00D45249"/>
    <w:rsid w:val="00D4524D"/>
    <w:rsid w:val="00D4554B"/>
    <w:rsid w:val="00D4556F"/>
    <w:rsid w:val="00D45657"/>
    <w:rsid w:val="00D4565B"/>
    <w:rsid w:val="00D4567C"/>
    <w:rsid w:val="00D456C8"/>
    <w:rsid w:val="00D45F3C"/>
    <w:rsid w:val="00D45F4D"/>
    <w:rsid w:val="00D45F64"/>
    <w:rsid w:val="00D46107"/>
    <w:rsid w:val="00D46118"/>
    <w:rsid w:val="00D461E5"/>
    <w:rsid w:val="00D461EB"/>
    <w:rsid w:val="00D46241"/>
    <w:rsid w:val="00D463CC"/>
    <w:rsid w:val="00D46449"/>
    <w:rsid w:val="00D4645E"/>
    <w:rsid w:val="00D46463"/>
    <w:rsid w:val="00D46473"/>
    <w:rsid w:val="00D46492"/>
    <w:rsid w:val="00D465C9"/>
    <w:rsid w:val="00D466B1"/>
    <w:rsid w:val="00D4695E"/>
    <w:rsid w:val="00D469A8"/>
    <w:rsid w:val="00D46A89"/>
    <w:rsid w:val="00D46BF9"/>
    <w:rsid w:val="00D46CDA"/>
    <w:rsid w:val="00D46D28"/>
    <w:rsid w:val="00D46DA9"/>
    <w:rsid w:val="00D46EB9"/>
    <w:rsid w:val="00D46ED8"/>
    <w:rsid w:val="00D46F92"/>
    <w:rsid w:val="00D46FB4"/>
    <w:rsid w:val="00D46FC1"/>
    <w:rsid w:val="00D4741B"/>
    <w:rsid w:val="00D4742C"/>
    <w:rsid w:val="00D4742E"/>
    <w:rsid w:val="00D474AA"/>
    <w:rsid w:val="00D47585"/>
    <w:rsid w:val="00D476D2"/>
    <w:rsid w:val="00D477A9"/>
    <w:rsid w:val="00D477BB"/>
    <w:rsid w:val="00D478B9"/>
    <w:rsid w:val="00D479F5"/>
    <w:rsid w:val="00D47A37"/>
    <w:rsid w:val="00D47A3F"/>
    <w:rsid w:val="00D47AC0"/>
    <w:rsid w:val="00D47B15"/>
    <w:rsid w:val="00D47D22"/>
    <w:rsid w:val="00D47D76"/>
    <w:rsid w:val="00D47E73"/>
    <w:rsid w:val="00D47F36"/>
    <w:rsid w:val="00D47FDE"/>
    <w:rsid w:val="00D50154"/>
    <w:rsid w:val="00D50186"/>
    <w:rsid w:val="00D501CD"/>
    <w:rsid w:val="00D5031D"/>
    <w:rsid w:val="00D50787"/>
    <w:rsid w:val="00D507EE"/>
    <w:rsid w:val="00D5080C"/>
    <w:rsid w:val="00D50815"/>
    <w:rsid w:val="00D50854"/>
    <w:rsid w:val="00D50899"/>
    <w:rsid w:val="00D5091B"/>
    <w:rsid w:val="00D5098E"/>
    <w:rsid w:val="00D509AA"/>
    <w:rsid w:val="00D509B9"/>
    <w:rsid w:val="00D50A1A"/>
    <w:rsid w:val="00D50A68"/>
    <w:rsid w:val="00D50ADA"/>
    <w:rsid w:val="00D50B25"/>
    <w:rsid w:val="00D50B72"/>
    <w:rsid w:val="00D50B75"/>
    <w:rsid w:val="00D50BDD"/>
    <w:rsid w:val="00D50CB2"/>
    <w:rsid w:val="00D50E01"/>
    <w:rsid w:val="00D50E02"/>
    <w:rsid w:val="00D50FBD"/>
    <w:rsid w:val="00D51018"/>
    <w:rsid w:val="00D5102B"/>
    <w:rsid w:val="00D5109A"/>
    <w:rsid w:val="00D51112"/>
    <w:rsid w:val="00D51181"/>
    <w:rsid w:val="00D511FB"/>
    <w:rsid w:val="00D51267"/>
    <w:rsid w:val="00D51273"/>
    <w:rsid w:val="00D51275"/>
    <w:rsid w:val="00D512C7"/>
    <w:rsid w:val="00D51301"/>
    <w:rsid w:val="00D51471"/>
    <w:rsid w:val="00D514FD"/>
    <w:rsid w:val="00D51614"/>
    <w:rsid w:val="00D51637"/>
    <w:rsid w:val="00D51640"/>
    <w:rsid w:val="00D516AD"/>
    <w:rsid w:val="00D516B0"/>
    <w:rsid w:val="00D51841"/>
    <w:rsid w:val="00D51851"/>
    <w:rsid w:val="00D5194E"/>
    <w:rsid w:val="00D5199F"/>
    <w:rsid w:val="00D519C9"/>
    <w:rsid w:val="00D519E2"/>
    <w:rsid w:val="00D51A27"/>
    <w:rsid w:val="00D51B4D"/>
    <w:rsid w:val="00D51B79"/>
    <w:rsid w:val="00D51BD8"/>
    <w:rsid w:val="00D51BF0"/>
    <w:rsid w:val="00D51D9B"/>
    <w:rsid w:val="00D51DE8"/>
    <w:rsid w:val="00D52056"/>
    <w:rsid w:val="00D5230F"/>
    <w:rsid w:val="00D523F0"/>
    <w:rsid w:val="00D5242B"/>
    <w:rsid w:val="00D52513"/>
    <w:rsid w:val="00D525C4"/>
    <w:rsid w:val="00D525D2"/>
    <w:rsid w:val="00D525DD"/>
    <w:rsid w:val="00D5261C"/>
    <w:rsid w:val="00D5262C"/>
    <w:rsid w:val="00D52664"/>
    <w:rsid w:val="00D5277E"/>
    <w:rsid w:val="00D52782"/>
    <w:rsid w:val="00D527CD"/>
    <w:rsid w:val="00D5282E"/>
    <w:rsid w:val="00D52938"/>
    <w:rsid w:val="00D52AD3"/>
    <w:rsid w:val="00D52AE0"/>
    <w:rsid w:val="00D52B0E"/>
    <w:rsid w:val="00D52B53"/>
    <w:rsid w:val="00D52C10"/>
    <w:rsid w:val="00D52C3E"/>
    <w:rsid w:val="00D52C5E"/>
    <w:rsid w:val="00D52C7D"/>
    <w:rsid w:val="00D52D3E"/>
    <w:rsid w:val="00D52D42"/>
    <w:rsid w:val="00D52DDE"/>
    <w:rsid w:val="00D52E79"/>
    <w:rsid w:val="00D53083"/>
    <w:rsid w:val="00D53120"/>
    <w:rsid w:val="00D53196"/>
    <w:rsid w:val="00D531C2"/>
    <w:rsid w:val="00D53257"/>
    <w:rsid w:val="00D535CF"/>
    <w:rsid w:val="00D53702"/>
    <w:rsid w:val="00D53801"/>
    <w:rsid w:val="00D53911"/>
    <w:rsid w:val="00D53986"/>
    <w:rsid w:val="00D53A15"/>
    <w:rsid w:val="00D53B56"/>
    <w:rsid w:val="00D53D54"/>
    <w:rsid w:val="00D53DDE"/>
    <w:rsid w:val="00D53F05"/>
    <w:rsid w:val="00D53F70"/>
    <w:rsid w:val="00D540F2"/>
    <w:rsid w:val="00D54128"/>
    <w:rsid w:val="00D54158"/>
    <w:rsid w:val="00D541A2"/>
    <w:rsid w:val="00D541DD"/>
    <w:rsid w:val="00D54315"/>
    <w:rsid w:val="00D5435D"/>
    <w:rsid w:val="00D543AE"/>
    <w:rsid w:val="00D5452A"/>
    <w:rsid w:val="00D545EE"/>
    <w:rsid w:val="00D5472D"/>
    <w:rsid w:val="00D54850"/>
    <w:rsid w:val="00D5487A"/>
    <w:rsid w:val="00D548F0"/>
    <w:rsid w:val="00D5493D"/>
    <w:rsid w:val="00D54A16"/>
    <w:rsid w:val="00D54A1B"/>
    <w:rsid w:val="00D54BA1"/>
    <w:rsid w:val="00D54BF6"/>
    <w:rsid w:val="00D54C20"/>
    <w:rsid w:val="00D54C42"/>
    <w:rsid w:val="00D54D0B"/>
    <w:rsid w:val="00D54D1F"/>
    <w:rsid w:val="00D54DA4"/>
    <w:rsid w:val="00D54E39"/>
    <w:rsid w:val="00D54EC6"/>
    <w:rsid w:val="00D54EE5"/>
    <w:rsid w:val="00D54FBE"/>
    <w:rsid w:val="00D54FD2"/>
    <w:rsid w:val="00D5510E"/>
    <w:rsid w:val="00D5517A"/>
    <w:rsid w:val="00D551AF"/>
    <w:rsid w:val="00D5523A"/>
    <w:rsid w:val="00D554B9"/>
    <w:rsid w:val="00D5558C"/>
    <w:rsid w:val="00D5558F"/>
    <w:rsid w:val="00D55601"/>
    <w:rsid w:val="00D5569F"/>
    <w:rsid w:val="00D55948"/>
    <w:rsid w:val="00D55A19"/>
    <w:rsid w:val="00D55A44"/>
    <w:rsid w:val="00D55A75"/>
    <w:rsid w:val="00D55B07"/>
    <w:rsid w:val="00D55B24"/>
    <w:rsid w:val="00D55BCA"/>
    <w:rsid w:val="00D55C3E"/>
    <w:rsid w:val="00D55CBA"/>
    <w:rsid w:val="00D55CF5"/>
    <w:rsid w:val="00D55DEE"/>
    <w:rsid w:val="00D56053"/>
    <w:rsid w:val="00D561C5"/>
    <w:rsid w:val="00D5621E"/>
    <w:rsid w:val="00D56289"/>
    <w:rsid w:val="00D562B0"/>
    <w:rsid w:val="00D562C3"/>
    <w:rsid w:val="00D56403"/>
    <w:rsid w:val="00D56489"/>
    <w:rsid w:val="00D5655F"/>
    <w:rsid w:val="00D56757"/>
    <w:rsid w:val="00D567EA"/>
    <w:rsid w:val="00D56867"/>
    <w:rsid w:val="00D5688B"/>
    <w:rsid w:val="00D56969"/>
    <w:rsid w:val="00D56B61"/>
    <w:rsid w:val="00D56B7C"/>
    <w:rsid w:val="00D56BC8"/>
    <w:rsid w:val="00D56C4C"/>
    <w:rsid w:val="00D56C6E"/>
    <w:rsid w:val="00D56D9C"/>
    <w:rsid w:val="00D56DA4"/>
    <w:rsid w:val="00D56DA7"/>
    <w:rsid w:val="00D56EB3"/>
    <w:rsid w:val="00D56FBD"/>
    <w:rsid w:val="00D56FC3"/>
    <w:rsid w:val="00D570B6"/>
    <w:rsid w:val="00D57346"/>
    <w:rsid w:val="00D5738E"/>
    <w:rsid w:val="00D573C1"/>
    <w:rsid w:val="00D573D5"/>
    <w:rsid w:val="00D57438"/>
    <w:rsid w:val="00D57508"/>
    <w:rsid w:val="00D57562"/>
    <w:rsid w:val="00D57659"/>
    <w:rsid w:val="00D5769A"/>
    <w:rsid w:val="00D578AD"/>
    <w:rsid w:val="00D579D1"/>
    <w:rsid w:val="00D57BB2"/>
    <w:rsid w:val="00D57C51"/>
    <w:rsid w:val="00D57D19"/>
    <w:rsid w:val="00D57D5E"/>
    <w:rsid w:val="00D57D62"/>
    <w:rsid w:val="00D57DF9"/>
    <w:rsid w:val="00D57E0E"/>
    <w:rsid w:val="00D57E9A"/>
    <w:rsid w:val="00D57E9E"/>
    <w:rsid w:val="00D57F72"/>
    <w:rsid w:val="00D600A6"/>
    <w:rsid w:val="00D60125"/>
    <w:rsid w:val="00D6014A"/>
    <w:rsid w:val="00D6031B"/>
    <w:rsid w:val="00D60473"/>
    <w:rsid w:val="00D604CC"/>
    <w:rsid w:val="00D60562"/>
    <w:rsid w:val="00D606A5"/>
    <w:rsid w:val="00D607E7"/>
    <w:rsid w:val="00D6095C"/>
    <w:rsid w:val="00D60960"/>
    <w:rsid w:val="00D6096D"/>
    <w:rsid w:val="00D60A15"/>
    <w:rsid w:val="00D60A7A"/>
    <w:rsid w:val="00D60B3F"/>
    <w:rsid w:val="00D60BB8"/>
    <w:rsid w:val="00D60BD3"/>
    <w:rsid w:val="00D60CDC"/>
    <w:rsid w:val="00D60D1C"/>
    <w:rsid w:val="00D60DAA"/>
    <w:rsid w:val="00D60EC4"/>
    <w:rsid w:val="00D60EEE"/>
    <w:rsid w:val="00D60F00"/>
    <w:rsid w:val="00D60FB7"/>
    <w:rsid w:val="00D6113B"/>
    <w:rsid w:val="00D6115B"/>
    <w:rsid w:val="00D6116B"/>
    <w:rsid w:val="00D611A3"/>
    <w:rsid w:val="00D6133A"/>
    <w:rsid w:val="00D61345"/>
    <w:rsid w:val="00D61440"/>
    <w:rsid w:val="00D61489"/>
    <w:rsid w:val="00D614F9"/>
    <w:rsid w:val="00D615FE"/>
    <w:rsid w:val="00D6165B"/>
    <w:rsid w:val="00D61794"/>
    <w:rsid w:val="00D61844"/>
    <w:rsid w:val="00D61848"/>
    <w:rsid w:val="00D61984"/>
    <w:rsid w:val="00D619B8"/>
    <w:rsid w:val="00D61A19"/>
    <w:rsid w:val="00D61A2F"/>
    <w:rsid w:val="00D61B40"/>
    <w:rsid w:val="00D61C8B"/>
    <w:rsid w:val="00D61CE3"/>
    <w:rsid w:val="00D61D88"/>
    <w:rsid w:val="00D61DCE"/>
    <w:rsid w:val="00D61DEB"/>
    <w:rsid w:val="00D61E2E"/>
    <w:rsid w:val="00D61E89"/>
    <w:rsid w:val="00D61F4E"/>
    <w:rsid w:val="00D62122"/>
    <w:rsid w:val="00D621BF"/>
    <w:rsid w:val="00D621F5"/>
    <w:rsid w:val="00D6225D"/>
    <w:rsid w:val="00D6228F"/>
    <w:rsid w:val="00D622FF"/>
    <w:rsid w:val="00D623C1"/>
    <w:rsid w:val="00D6242A"/>
    <w:rsid w:val="00D6267E"/>
    <w:rsid w:val="00D62718"/>
    <w:rsid w:val="00D627BA"/>
    <w:rsid w:val="00D628B2"/>
    <w:rsid w:val="00D6290D"/>
    <w:rsid w:val="00D62979"/>
    <w:rsid w:val="00D629FE"/>
    <w:rsid w:val="00D62A55"/>
    <w:rsid w:val="00D62B6B"/>
    <w:rsid w:val="00D62BE8"/>
    <w:rsid w:val="00D62C09"/>
    <w:rsid w:val="00D62C3C"/>
    <w:rsid w:val="00D62CCB"/>
    <w:rsid w:val="00D62D02"/>
    <w:rsid w:val="00D62D78"/>
    <w:rsid w:val="00D62DF0"/>
    <w:rsid w:val="00D62EC9"/>
    <w:rsid w:val="00D62F4F"/>
    <w:rsid w:val="00D62FE9"/>
    <w:rsid w:val="00D630A5"/>
    <w:rsid w:val="00D63195"/>
    <w:rsid w:val="00D63322"/>
    <w:rsid w:val="00D6334A"/>
    <w:rsid w:val="00D635DE"/>
    <w:rsid w:val="00D63600"/>
    <w:rsid w:val="00D63738"/>
    <w:rsid w:val="00D637C1"/>
    <w:rsid w:val="00D63850"/>
    <w:rsid w:val="00D639AF"/>
    <w:rsid w:val="00D639B3"/>
    <w:rsid w:val="00D63A3B"/>
    <w:rsid w:val="00D63A6B"/>
    <w:rsid w:val="00D63BCD"/>
    <w:rsid w:val="00D63D53"/>
    <w:rsid w:val="00D63D99"/>
    <w:rsid w:val="00D63DA9"/>
    <w:rsid w:val="00D63E0C"/>
    <w:rsid w:val="00D63F71"/>
    <w:rsid w:val="00D63FAC"/>
    <w:rsid w:val="00D64007"/>
    <w:rsid w:val="00D6401D"/>
    <w:rsid w:val="00D6406D"/>
    <w:rsid w:val="00D64126"/>
    <w:rsid w:val="00D641AB"/>
    <w:rsid w:val="00D64216"/>
    <w:rsid w:val="00D64299"/>
    <w:rsid w:val="00D6429D"/>
    <w:rsid w:val="00D642F4"/>
    <w:rsid w:val="00D64441"/>
    <w:rsid w:val="00D6445F"/>
    <w:rsid w:val="00D644EA"/>
    <w:rsid w:val="00D6452B"/>
    <w:rsid w:val="00D64608"/>
    <w:rsid w:val="00D6466B"/>
    <w:rsid w:val="00D6466D"/>
    <w:rsid w:val="00D64679"/>
    <w:rsid w:val="00D6468E"/>
    <w:rsid w:val="00D6472E"/>
    <w:rsid w:val="00D647DA"/>
    <w:rsid w:val="00D64ADD"/>
    <w:rsid w:val="00D64C5F"/>
    <w:rsid w:val="00D64D54"/>
    <w:rsid w:val="00D64DC5"/>
    <w:rsid w:val="00D64F0F"/>
    <w:rsid w:val="00D64F50"/>
    <w:rsid w:val="00D64FEC"/>
    <w:rsid w:val="00D65299"/>
    <w:rsid w:val="00D65329"/>
    <w:rsid w:val="00D65348"/>
    <w:rsid w:val="00D653BC"/>
    <w:rsid w:val="00D65471"/>
    <w:rsid w:val="00D65501"/>
    <w:rsid w:val="00D65510"/>
    <w:rsid w:val="00D6555D"/>
    <w:rsid w:val="00D6564B"/>
    <w:rsid w:val="00D6568B"/>
    <w:rsid w:val="00D6584A"/>
    <w:rsid w:val="00D659D2"/>
    <w:rsid w:val="00D65A4A"/>
    <w:rsid w:val="00D65CFE"/>
    <w:rsid w:val="00D65D61"/>
    <w:rsid w:val="00D65DA6"/>
    <w:rsid w:val="00D65DBC"/>
    <w:rsid w:val="00D66084"/>
    <w:rsid w:val="00D660B2"/>
    <w:rsid w:val="00D661F9"/>
    <w:rsid w:val="00D66206"/>
    <w:rsid w:val="00D66285"/>
    <w:rsid w:val="00D662D3"/>
    <w:rsid w:val="00D662E8"/>
    <w:rsid w:val="00D66337"/>
    <w:rsid w:val="00D66545"/>
    <w:rsid w:val="00D665F9"/>
    <w:rsid w:val="00D66743"/>
    <w:rsid w:val="00D668C0"/>
    <w:rsid w:val="00D668C9"/>
    <w:rsid w:val="00D669A2"/>
    <w:rsid w:val="00D669DE"/>
    <w:rsid w:val="00D66AA0"/>
    <w:rsid w:val="00D66AEE"/>
    <w:rsid w:val="00D66C83"/>
    <w:rsid w:val="00D66C8C"/>
    <w:rsid w:val="00D66D7B"/>
    <w:rsid w:val="00D66E14"/>
    <w:rsid w:val="00D66EA5"/>
    <w:rsid w:val="00D66FBC"/>
    <w:rsid w:val="00D67029"/>
    <w:rsid w:val="00D67067"/>
    <w:rsid w:val="00D670CD"/>
    <w:rsid w:val="00D670E6"/>
    <w:rsid w:val="00D671F4"/>
    <w:rsid w:val="00D67234"/>
    <w:rsid w:val="00D672D0"/>
    <w:rsid w:val="00D67416"/>
    <w:rsid w:val="00D6746A"/>
    <w:rsid w:val="00D674A6"/>
    <w:rsid w:val="00D67560"/>
    <w:rsid w:val="00D6766B"/>
    <w:rsid w:val="00D67671"/>
    <w:rsid w:val="00D67696"/>
    <w:rsid w:val="00D67866"/>
    <w:rsid w:val="00D679B9"/>
    <w:rsid w:val="00D679FE"/>
    <w:rsid w:val="00D67AC0"/>
    <w:rsid w:val="00D67B1A"/>
    <w:rsid w:val="00D67BA1"/>
    <w:rsid w:val="00D67BB5"/>
    <w:rsid w:val="00D67C92"/>
    <w:rsid w:val="00D67CBA"/>
    <w:rsid w:val="00D67D77"/>
    <w:rsid w:val="00D67D7D"/>
    <w:rsid w:val="00D67D9C"/>
    <w:rsid w:val="00D67DF6"/>
    <w:rsid w:val="00D67E36"/>
    <w:rsid w:val="00D67E87"/>
    <w:rsid w:val="00D67EAB"/>
    <w:rsid w:val="00D67FBE"/>
    <w:rsid w:val="00D67FC0"/>
    <w:rsid w:val="00D7007A"/>
    <w:rsid w:val="00D702F3"/>
    <w:rsid w:val="00D70409"/>
    <w:rsid w:val="00D704E9"/>
    <w:rsid w:val="00D70561"/>
    <w:rsid w:val="00D705CD"/>
    <w:rsid w:val="00D705F9"/>
    <w:rsid w:val="00D70653"/>
    <w:rsid w:val="00D7066B"/>
    <w:rsid w:val="00D70706"/>
    <w:rsid w:val="00D7076A"/>
    <w:rsid w:val="00D70786"/>
    <w:rsid w:val="00D707EC"/>
    <w:rsid w:val="00D708D4"/>
    <w:rsid w:val="00D708F4"/>
    <w:rsid w:val="00D70913"/>
    <w:rsid w:val="00D70948"/>
    <w:rsid w:val="00D70A41"/>
    <w:rsid w:val="00D70A6B"/>
    <w:rsid w:val="00D70AA0"/>
    <w:rsid w:val="00D70B79"/>
    <w:rsid w:val="00D70C1A"/>
    <w:rsid w:val="00D70C43"/>
    <w:rsid w:val="00D70CFE"/>
    <w:rsid w:val="00D70D0E"/>
    <w:rsid w:val="00D70E18"/>
    <w:rsid w:val="00D70FD6"/>
    <w:rsid w:val="00D70FE5"/>
    <w:rsid w:val="00D7110A"/>
    <w:rsid w:val="00D71118"/>
    <w:rsid w:val="00D71366"/>
    <w:rsid w:val="00D71452"/>
    <w:rsid w:val="00D71559"/>
    <w:rsid w:val="00D71623"/>
    <w:rsid w:val="00D7178E"/>
    <w:rsid w:val="00D7179F"/>
    <w:rsid w:val="00D717DC"/>
    <w:rsid w:val="00D7185E"/>
    <w:rsid w:val="00D71885"/>
    <w:rsid w:val="00D718C0"/>
    <w:rsid w:val="00D71920"/>
    <w:rsid w:val="00D7196F"/>
    <w:rsid w:val="00D71A44"/>
    <w:rsid w:val="00D71A5B"/>
    <w:rsid w:val="00D71A65"/>
    <w:rsid w:val="00D71D7A"/>
    <w:rsid w:val="00D71E2E"/>
    <w:rsid w:val="00D71EA4"/>
    <w:rsid w:val="00D71F2F"/>
    <w:rsid w:val="00D720FB"/>
    <w:rsid w:val="00D72181"/>
    <w:rsid w:val="00D721BF"/>
    <w:rsid w:val="00D7223B"/>
    <w:rsid w:val="00D72320"/>
    <w:rsid w:val="00D72339"/>
    <w:rsid w:val="00D72393"/>
    <w:rsid w:val="00D723A3"/>
    <w:rsid w:val="00D7244A"/>
    <w:rsid w:val="00D726E4"/>
    <w:rsid w:val="00D72716"/>
    <w:rsid w:val="00D72756"/>
    <w:rsid w:val="00D727D9"/>
    <w:rsid w:val="00D72848"/>
    <w:rsid w:val="00D7287E"/>
    <w:rsid w:val="00D7290A"/>
    <w:rsid w:val="00D72920"/>
    <w:rsid w:val="00D72959"/>
    <w:rsid w:val="00D7298D"/>
    <w:rsid w:val="00D72998"/>
    <w:rsid w:val="00D72A55"/>
    <w:rsid w:val="00D72A86"/>
    <w:rsid w:val="00D72B26"/>
    <w:rsid w:val="00D72B9B"/>
    <w:rsid w:val="00D72BB3"/>
    <w:rsid w:val="00D72D43"/>
    <w:rsid w:val="00D72D56"/>
    <w:rsid w:val="00D72DAE"/>
    <w:rsid w:val="00D72E19"/>
    <w:rsid w:val="00D72E30"/>
    <w:rsid w:val="00D72F21"/>
    <w:rsid w:val="00D72F6B"/>
    <w:rsid w:val="00D72F95"/>
    <w:rsid w:val="00D73021"/>
    <w:rsid w:val="00D7308F"/>
    <w:rsid w:val="00D730EA"/>
    <w:rsid w:val="00D730ED"/>
    <w:rsid w:val="00D73224"/>
    <w:rsid w:val="00D732E5"/>
    <w:rsid w:val="00D73396"/>
    <w:rsid w:val="00D733C5"/>
    <w:rsid w:val="00D733D1"/>
    <w:rsid w:val="00D7343B"/>
    <w:rsid w:val="00D7356D"/>
    <w:rsid w:val="00D735D2"/>
    <w:rsid w:val="00D73719"/>
    <w:rsid w:val="00D7372E"/>
    <w:rsid w:val="00D7376B"/>
    <w:rsid w:val="00D7376C"/>
    <w:rsid w:val="00D73803"/>
    <w:rsid w:val="00D738BF"/>
    <w:rsid w:val="00D7396F"/>
    <w:rsid w:val="00D73983"/>
    <w:rsid w:val="00D739D0"/>
    <w:rsid w:val="00D73A35"/>
    <w:rsid w:val="00D73B8D"/>
    <w:rsid w:val="00D73BF1"/>
    <w:rsid w:val="00D73C13"/>
    <w:rsid w:val="00D73C1B"/>
    <w:rsid w:val="00D73C5F"/>
    <w:rsid w:val="00D73CD3"/>
    <w:rsid w:val="00D73D4B"/>
    <w:rsid w:val="00D73E14"/>
    <w:rsid w:val="00D73E69"/>
    <w:rsid w:val="00D73E80"/>
    <w:rsid w:val="00D74039"/>
    <w:rsid w:val="00D74045"/>
    <w:rsid w:val="00D740BE"/>
    <w:rsid w:val="00D7422F"/>
    <w:rsid w:val="00D74242"/>
    <w:rsid w:val="00D742E0"/>
    <w:rsid w:val="00D74357"/>
    <w:rsid w:val="00D744F4"/>
    <w:rsid w:val="00D745C3"/>
    <w:rsid w:val="00D7466E"/>
    <w:rsid w:val="00D746C4"/>
    <w:rsid w:val="00D74756"/>
    <w:rsid w:val="00D747F5"/>
    <w:rsid w:val="00D74863"/>
    <w:rsid w:val="00D74A5C"/>
    <w:rsid w:val="00D74A8D"/>
    <w:rsid w:val="00D74B83"/>
    <w:rsid w:val="00D74C5D"/>
    <w:rsid w:val="00D74CF7"/>
    <w:rsid w:val="00D74D38"/>
    <w:rsid w:val="00D74D5F"/>
    <w:rsid w:val="00D74DBD"/>
    <w:rsid w:val="00D74E2B"/>
    <w:rsid w:val="00D74F33"/>
    <w:rsid w:val="00D74FFD"/>
    <w:rsid w:val="00D7523E"/>
    <w:rsid w:val="00D7527D"/>
    <w:rsid w:val="00D75360"/>
    <w:rsid w:val="00D75507"/>
    <w:rsid w:val="00D755AB"/>
    <w:rsid w:val="00D7563C"/>
    <w:rsid w:val="00D75643"/>
    <w:rsid w:val="00D7568F"/>
    <w:rsid w:val="00D756E8"/>
    <w:rsid w:val="00D7582E"/>
    <w:rsid w:val="00D7597B"/>
    <w:rsid w:val="00D759CE"/>
    <w:rsid w:val="00D75B7D"/>
    <w:rsid w:val="00D75BE7"/>
    <w:rsid w:val="00D75F11"/>
    <w:rsid w:val="00D75F46"/>
    <w:rsid w:val="00D760DE"/>
    <w:rsid w:val="00D761D9"/>
    <w:rsid w:val="00D7626C"/>
    <w:rsid w:val="00D76272"/>
    <w:rsid w:val="00D762DD"/>
    <w:rsid w:val="00D763C1"/>
    <w:rsid w:val="00D76418"/>
    <w:rsid w:val="00D7643A"/>
    <w:rsid w:val="00D7649B"/>
    <w:rsid w:val="00D765B7"/>
    <w:rsid w:val="00D7664B"/>
    <w:rsid w:val="00D76828"/>
    <w:rsid w:val="00D769E9"/>
    <w:rsid w:val="00D76A33"/>
    <w:rsid w:val="00D76AE7"/>
    <w:rsid w:val="00D76B9C"/>
    <w:rsid w:val="00D76BC9"/>
    <w:rsid w:val="00D76C23"/>
    <w:rsid w:val="00D76C25"/>
    <w:rsid w:val="00D76CE6"/>
    <w:rsid w:val="00D76E36"/>
    <w:rsid w:val="00D76F3C"/>
    <w:rsid w:val="00D76F75"/>
    <w:rsid w:val="00D77014"/>
    <w:rsid w:val="00D77026"/>
    <w:rsid w:val="00D7705D"/>
    <w:rsid w:val="00D770CE"/>
    <w:rsid w:val="00D77158"/>
    <w:rsid w:val="00D7717D"/>
    <w:rsid w:val="00D77185"/>
    <w:rsid w:val="00D771DF"/>
    <w:rsid w:val="00D77219"/>
    <w:rsid w:val="00D77437"/>
    <w:rsid w:val="00D77501"/>
    <w:rsid w:val="00D77656"/>
    <w:rsid w:val="00D776D8"/>
    <w:rsid w:val="00D776E0"/>
    <w:rsid w:val="00D779E1"/>
    <w:rsid w:val="00D779F5"/>
    <w:rsid w:val="00D77A0C"/>
    <w:rsid w:val="00D77A2E"/>
    <w:rsid w:val="00D77BED"/>
    <w:rsid w:val="00D77C2B"/>
    <w:rsid w:val="00D77CAA"/>
    <w:rsid w:val="00D77CC7"/>
    <w:rsid w:val="00D77CD8"/>
    <w:rsid w:val="00D77D30"/>
    <w:rsid w:val="00D77E5D"/>
    <w:rsid w:val="00D77F5F"/>
    <w:rsid w:val="00D77F62"/>
    <w:rsid w:val="00D77F78"/>
    <w:rsid w:val="00D77F80"/>
    <w:rsid w:val="00D77FCA"/>
    <w:rsid w:val="00D800FB"/>
    <w:rsid w:val="00D8025C"/>
    <w:rsid w:val="00D80282"/>
    <w:rsid w:val="00D8031C"/>
    <w:rsid w:val="00D80340"/>
    <w:rsid w:val="00D80406"/>
    <w:rsid w:val="00D804DD"/>
    <w:rsid w:val="00D806C0"/>
    <w:rsid w:val="00D80759"/>
    <w:rsid w:val="00D80808"/>
    <w:rsid w:val="00D8080D"/>
    <w:rsid w:val="00D80B66"/>
    <w:rsid w:val="00D80CD3"/>
    <w:rsid w:val="00D80DC8"/>
    <w:rsid w:val="00D80DF0"/>
    <w:rsid w:val="00D80E75"/>
    <w:rsid w:val="00D80EEF"/>
    <w:rsid w:val="00D81024"/>
    <w:rsid w:val="00D810F1"/>
    <w:rsid w:val="00D8136E"/>
    <w:rsid w:val="00D8140A"/>
    <w:rsid w:val="00D814AB"/>
    <w:rsid w:val="00D8160D"/>
    <w:rsid w:val="00D81767"/>
    <w:rsid w:val="00D817F3"/>
    <w:rsid w:val="00D81957"/>
    <w:rsid w:val="00D81A1E"/>
    <w:rsid w:val="00D81AF0"/>
    <w:rsid w:val="00D81AF1"/>
    <w:rsid w:val="00D81B1D"/>
    <w:rsid w:val="00D81B9A"/>
    <w:rsid w:val="00D81BBE"/>
    <w:rsid w:val="00D81BDD"/>
    <w:rsid w:val="00D81BEA"/>
    <w:rsid w:val="00D81CFF"/>
    <w:rsid w:val="00D81DB5"/>
    <w:rsid w:val="00D81DFC"/>
    <w:rsid w:val="00D81E5E"/>
    <w:rsid w:val="00D81E6B"/>
    <w:rsid w:val="00D81F98"/>
    <w:rsid w:val="00D82071"/>
    <w:rsid w:val="00D820C1"/>
    <w:rsid w:val="00D8210E"/>
    <w:rsid w:val="00D821F0"/>
    <w:rsid w:val="00D82213"/>
    <w:rsid w:val="00D82221"/>
    <w:rsid w:val="00D823D9"/>
    <w:rsid w:val="00D8247C"/>
    <w:rsid w:val="00D82515"/>
    <w:rsid w:val="00D82578"/>
    <w:rsid w:val="00D825A9"/>
    <w:rsid w:val="00D826F7"/>
    <w:rsid w:val="00D82702"/>
    <w:rsid w:val="00D82731"/>
    <w:rsid w:val="00D8277C"/>
    <w:rsid w:val="00D827D4"/>
    <w:rsid w:val="00D827E2"/>
    <w:rsid w:val="00D82904"/>
    <w:rsid w:val="00D82909"/>
    <w:rsid w:val="00D829E1"/>
    <w:rsid w:val="00D82A5B"/>
    <w:rsid w:val="00D82A72"/>
    <w:rsid w:val="00D82B26"/>
    <w:rsid w:val="00D82BF6"/>
    <w:rsid w:val="00D82D9B"/>
    <w:rsid w:val="00D82DF2"/>
    <w:rsid w:val="00D82F65"/>
    <w:rsid w:val="00D830DE"/>
    <w:rsid w:val="00D830F2"/>
    <w:rsid w:val="00D8313D"/>
    <w:rsid w:val="00D8341A"/>
    <w:rsid w:val="00D83459"/>
    <w:rsid w:val="00D8348A"/>
    <w:rsid w:val="00D834C9"/>
    <w:rsid w:val="00D836E9"/>
    <w:rsid w:val="00D83829"/>
    <w:rsid w:val="00D83A04"/>
    <w:rsid w:val="00D83A5D"/>
    <w:rsid w:val="00D83BF9"/>
    <w:rsid w:val="00D83C19"/>
    <w:rsid w:val="00D83CB1"/>
    <w:rsid w:val="00D83D44"/>
    <w:rsid w:val="00D83D6E"/>
    <w:rsid w:val="00D83E38"/>
    <w:rsid w:val="00D83E94"/>
    <w:rsid w:val="00D83F91"/>
    <w:rsid w:val="00D84022"/>
    <w:rsid w:val="00D84158"/>
    <w:rsid w:val="00D841FD"/>
    <w:rsid w:val="00D842E9"/>
    <w:rsid w:val="00D84363"/>
    <w:rsid w:val="00D8439D"/>
    <w:rsid w:val="00D843D7"/>
    <w:rsid w:val="00D844C6"/>
    <w:rsid w:val="00D8469C"/>
    <w:rsid w:val="00D84816"/>
    <w:rsid w:val="00D848E7"/>
    <w:rsid w:val="00D84BB4"/>
    <w:rsid w:val="00D84BC8"/>
    <w:rsid w:val="00D84BD1"/>
    <w:rsid w:val="00D84BE7"/>
    <w:rsid w:val="00D84C06"/>
    <w:rsid w:val="00D84C0B"/>
    <w:rsid w:val="00D84CAA"/>
    <w:rsid w:val="00D84CC3"/>
    <w:rsid w:val="00D84D0B"/>
    <w:rsid w:val="00D84DC4"/>
    <w:rsid w:val="00D84E4B"/>
    <w:rsid w:val="00D85118"/>
    <w:rsid w:val="00D85119"/>
    <w:rsid w:val="00D8519F"/>
    <w:rsid w:val="00D851F3"/>
    <w:rsid w:val="00D85237"/>
    <w:rsid w:val="00D85327"/>
    <w:rsid w:val="00D8532E"/>
    <w:rsid w:val="00D85399"/>
    <w:rsid w:val="00D854D8"/>
    <w:rsid w:val="00D8552D"/>
    <w:rsid w:val="00D8575F"/>
    <w:rsid w:val="00D85883"/>
    <w:rsid w:val="00D859EF"/>
    <w:rsid w:val="00D85BD7"/>
    <w:rsid w:val="00D85D04"/>
    <w:rsid w:val="00D85D7F"/>
    <w:rsid w:val="00D85DE9"/>
    <w:rsid w:val="00D85DEE"/>
    <w:rsid w:val="00D85E5B"/>
    <w:rsid w:val="00D85EA3"/>
    <w:rsid w:val="00D85ED9"/>
    <w:rsid w:val="00D85F5A"/>
    <w:rsid w:val="00D8608E"/>
    <w:rsid w:val="00D860DE"/>
    <w:rsid w:val="00D8620A"/>
    <w:rsid w:val="00D8627E"/>
    <w:rsid w:val="00D86333"/>
    <w:rsid w:val="00D86378"/>
    <w:rsid w:val="00D863D5"/>
    <w:rsid w:val="00D86417"/>
    <w:rsid w:val="00D865C6"/>
    <w:rsid w:val="00D86631"/>
    <w:rsid w:val="00D866C9"/>
    <w:rsid w:val="00D86706"/>
    <w:rsid w:val="00D86751"/>
    <w:rsid w:val="00D8685D"/>
    <w:rsid w:val="00D868BE"/>
    <w:rsid w:val="00D8697C"/>
    <w:rsid w:val="00D86987"/>
    <w:rsid w:val="00D86AA5"/>
    <w:rsid w:val="00D86AD1"/>
    <w:rsid w:val="00D86B33"/>
    <w:rsid w:val="00D86C2A"/>
    <w:rsid w:val="00D86D07"/>
    <w:rsid w:val="00D86D4E"/>
    <w:rsid w:val="00D86EE9"/>
    <w:rsid w:val="00D86F2A"/>
    <w:rsid w:val="00D86F5B"/>
    <w:rsid w:val="00D86FB3"/>
    <w:rsid w:val="00D8701D"/>
    <w:rsid w:val="00D87024"/>
    <w:rsid w:val="00D87057"/>
    <w:rsid w:val="00D870B5"/>
    <w:rsid w:val="00D8733D"/>
    <w:rsid w:val="00D8739B"/>
    <w:rsid w:val="00D873ED"/>
    <w:rsid w:val="00D873FE"/>
    <w:rsid w:val="00D87404"/>
    <w:rsid w:val="00D87710"/>
    <w:rsid w:val="00D8775A"/>
    <w:rsid w:val="00D87891"/>
    <w:rsid w:val="00D8791A"/>
    <w:rsid w:val="00D87961"/>
    <w:rsid w:val="00D879C4"/>
    <w:rsid w:val="00D87A33"/>
    <w:rsid w:val="00D87B0D"/>
    <w:rsid w:val="00D87B46"/>
    <w:rsid w:val="00D87C50"/>
    <w:rsid w:val="00D87C8B"/>
    <w:rsid w:val="00D87CB3"/>
    <w:rsid w:val="00D87CD9"/>
    <w:rsid w:val="00D87D81"/>
    <w:rsid w:val="00D87D8A"/>
    <w:rsid w:val="00D87E7D"/>
    <w:rsid w:val="00D87EDD"/>
    <w:rsid w:val="00D87F5F"/>
    <w:rsid w:val="00D90096"/>
    <w:rsid w:val="00D900AF"/>
    <w:rsid w:val="00D900BD"/>
    <w:rsid w:val="00D90147"/>
    <w:rsid w:val="00D90176"/>
    <w:rsid w:val="00D902E8"/>
    <w:rsid w:val="00D9030E"/>
    <w:rsid w:val="00D90345"/>
    <w:rsid w:val="00D9034A"/>
    <w:rsid w:val="00D9050C"/>
    <w:rsid w:val="00D9060E"/>
    <w:rsid w:val="00D906AD"/>
    <w:rsid w:val="00D906DA"/>
    <w:rsid w:val="00D90777"/>
    <w:rsid w:val="00D907DA"/>
    <w:rsid w:val="00D9081B"/>
    <w:rsid w:val="00D908A9"/>
    <w:rsid w:val="00D90918"/>
    <w:rsid w:val="00D9093F"/>
    <w:rsid w:val="00D90A0D"/>
    <w:rsid w:val="00D90A1F"/>
    <w:rsid w:val="00D90AB5"/>
    <w:rsid w:val="00D90BEC"/>
    <w:rsid w:val="00D90CFB"/>
    <w:rsid w:val="00D90D45"/>
    <w:rsid w:val="00D90D66"/>
    <w:rsid w:val="00D90D86"/>
    <w:rsid w:val="00D90E33"/>
    <w:rsid w:val="00D91049"/>
    <w:rsid w:val="00D9115F"/>
    <w:rsid w:val="00D911F8"/>
    <w:rsid w:val="00D91204"/>
    <w:rsid w:val="00D9122B"/>
    <w:rsid w:val="00D912F4"/>
    <w:rsid w:val="00D91337"/>
    <w:rsid w:val="00D914C4"/>
    <w:rsid w:val="00D917CB"/>
    <w:rsid w:val="00D9185A"/>
    <w:rsid w:val="00D91934"/>
    <w:rsid w:val="00D91A14"/>
    <w:rsid w:val="00D91BA1"/>
    <w:rsid w:val="00D91C53"/>
    <w:rsid w:val="00D91CB6"/>
    <w:rsid w:val="00D91DDF"/>
    <w:rsid w:val="00D91DF1"/>
    <w:rsid w:val="00D91E32"/>
    <w:rsid w:val="00D9203E"/>
    <w:rsid w:val="00D92150"/>
    <w:rsid w:val="00D9219B"/>
    <w:rsid w:val="00D921D8"/>
    <w:rsid w:val="00D92605"/>
    <w:rsid w:val="00D9266D"/>
    <w:rsid w:val="00D927AF"/>
    <w:rsid w:val="00D927F3"/>
    <w:rsid w:val="00D92801"/>
    <w:rsid w:val="00D928BE"/>
    <w:rsid w:val="00D92A4E"/>
    <w:rsid w:val="00D92B2D"/>
    <w:rsid w:val="00D92B79"/>
    <w:rsid w:val="00D92B83"/>
    <w:rsid w:val="00D92B88"/>
    <w:rsid w:val="00D92C74"/>
    <w:rsid w:val="00D92D2E"/>
    <w:rsid w:val="00D92DB8"/>
    <w:rsid w:val="00D93040"/>
    <w:rsid w:val="00D9304E"/>
    <w:rsid w:val="00D93073"/>
    <w:rsid w:val="00D93088"/>
    <w:rsid w:val="00D930B1"/>
    <w:rsid w:val="00D93117"/>
    <w:rsid w:val="00D9317E"/>
    <w:rsid w:val="00D93340"/>
    <w:rsid w:val="00D9334E"/>
    <w:rsid w:val="00D93514"/>
    <w:rsid w:val="00D93588"/>
    <w:rsid w:val="00D935AB"/>
    <w:rsid w:val="00D9362D"/>
    <w:rsid w:val="00D9368C"/>
    <w:rsid w:val="00D936F0"/>
    <w:rsid w:val="00D93737"/>
    <w:rsid w:val="00D937B3"/>
    <w:rsid w:val="00D93933"/>
    <w:rsid w:val="00D939D4"/>
    <w:rsid w:val="00D939ED"/>
    <w:rsid w:val="00D939EF"/>
    <w:rsid w:val="00D93AB8"/>
    <w:rsid w:val="00D93B17"/>
    <w:rsid w:val="00D93CDA"/>
    <w:rsid w:val="00D93DE2"/>
    <w:rsid w:val="00D93EE1"/>
    <w:rsid w:val="00D94085"/>
    <w:rsid w:val="00D9412B"/>
    <w:rsid w:val="00D941BA"/>
    <w:rsid w:val="00D941E4"/>
    <w:rsid w:val="00D9430A"/>
    <w:rsid w:val="00D94342"/>
    <w:rsid w:val="00D943BC"/>
    <w:rsid w:val="00D944B1"/>
    <w:rsid w:val="00D94517"/>
    <w:rsid w:val="00D94572"/>
    <w:rsid w:val="00D9459F"/>
    <w:rsid w:val="00D9462C"/>
    <w:rsid w:val="00D94695"/>
    <w:rsid w:val="00D946F5"/>
    <w:rsid w:val="00D947B3"/>
    <w:rsid w:val="00D947C0"/>
    <w:rsid w:val="00D94848"/>
    <w:rsid w:val="00D948AF"/>
    <w:rsid w:val="00D94901"/>
    <w:rsid w:val="00D94966"/>
    <w:rsid w:val="00D94A13"/>
    <w:rsid w:val="00D94A16"/>
    <w:rsid w:val="00D94BDA"/>
    <w:rsid w:val="00D94C0F"/>
    <w:rsid w:val="00D94C1B"/>
    <w:rsid w:val="00D94D54"/>
    <w:rsid w:val="00D94D96"/>
    <w:rsid w:val="00D94DB6"/>
    <w:rsid w:val="00D94E35"/>
    <w:rsid w:val="00D94E52"/>
    <w:rsid w:val="00D95002"/>
    <w:rsid w:val="00D95097"/>
    <w:rsid w:val="00D950CD"/>
    <w:rsid w:val="00D950EA"/>
    <w:rsid w:val="00D95123"/>
    <w:rsid w:val="00D95160"/>
    <w:rsid w:val="00D951B6"/>
    <w:rsid w:val="00D951ED"/>
    <w:rsid w:val="00D953AA"/>
    <w:rsid w:val="00D953C0"/>
    <w:rsid w:val="00D9542B"/>
    <w:rsid w:val="00D954D3"/>
    <w:rsid w:val="00D95521"/>
    <w:rsid w:val="00D95557"/>
    <w:rsid w:val="00D95572"/>
    <w:rsid w:val="00D955A6"/>
    <w:rsid w:val="00D956E9"/>
    <w:rsid w:val="00D95904"/>
    <w:rsid w:val="00D95940"/>
    <w:rsid w:val="00D959B5"/>
    <w:rsid w:val="00D959ED"/>
    <w:rsid w:val="00D95A1D"/>
    <w:rsid w:val="00D95A7D"/>
    <w:rsid w:val="00D95B46"/>
    <w:rsid w:val="00D95BB2"/>
    <w:rsid w:val="00D95BCE"/>
    <w:rsid w:val="00D95C76"/>
    <w:rsid w:val="00D95DEC"/>
    <w:rsid w:val="00D95DEE"/>
    <w:rsid w:val="00D95E06"/>
    <w:rsid w:val="00D95E0B"/>
    <w:rsid w:val="00D95E47"/>
    <w:rsid w:val="00D96053"/>
    <w:rsid w:val="00D96147"/>
    <w:rsid w:val="00D9628B"/>
    <w:rsid w:val="00D9633E"/>
    <w:rsid w:val="00D96423"/>
    <w:rsid w:val="00D964AB"/>
    <w:rsid w:val="00D964EC"/>
    <w:rsid w:val="00D965BA"/>
    <w:rsid w:val="00D9674B"/>
    <w:rsid w:val="00D967F7"/>
    <w:rsid w:val="00D968A7"/>
    <w:rsid w:val="00D968B1"/>
    <w:rsid w:val="00D968CB"/>
    <w:rsid w:val="00D96A3F"/>
    <w:rsid w:val="00D96A74"/>
    <w:rsid w:val="00D96B2E"/>
    <w:rsid w:val="00D96BBF"/>
    <w:rsid w:val="00D96C3A"/>
    <w:rsid w:val="00D96C6A"/>
    <w:rsid w:val="00D96D46"/>
    <w:rsid w:val="00D96DAD"/>
    <w:rsid w:val="00D96DD2"/>
    <w:rsid w:val="00D96F79"/>
    <w:rsid w:val="00D96FB2"/>
    <w:rsid w:val="00D96FBB"/>
    <w:rsid w:val="00D97063"/>
    <w:rsid w:val="00D97108"/>
    <w:rsid w:val="00D9723D"/>
    <w:rsid w:val="00D97257"/>
    <w:rsid w:val="00D97339"/>
    <w:rsid w:val="00D97563"/>
    <w:rsid w:val="00D97643"/>
    <w:rsid w:val="00D97708"/>
    <w:rsid w:val="00D979BF"/>
    <w:rsid w:val="00D97A15"/>
    <w:rsid w:val="00D97AEF"/>
    <w:rsid w:val="00D97BA1"/>
    <w:rsid w:val="00D97C0B"/>
    <w:rsid w:val="00D97C57"/>
    <w:rsid w:val="00D97C58"/>
    <w:rsid w:val="00D97CB0"/>
    <w:rsid w:val="00D97D49"/>
    <w:rsid w:val="00D97D5E"/>
    <w:rsid w:val="00D97E1B"/>
    <w:rsid w:val="00D97EEF"/>
    <w:rsid w:val="00D97F2C"/>
    <w:rsid w:val="00D97FDD"/>
    <w:rsid w:val="00DA0059"/>
    <w:rsid w:val="00DA011A"/>
    <w:rsid w:val="00DA0511"/>
    <w:rsid w:val="00DA0A6C"/>
    <w:rsid w:val="00DA0AB5"/>
    <w:rsid w:val="00DA0BA6"/>
    <w:rsid w:val="00DA0E56"/>
    <w:rsid w:val="00DA0ECF"/>
    <w:rsid w:val="00DA0F3D"/>
    <w:rsid w:val="00DA105E"/>
    <w:rsid w:val="00DA1061"/>
    <w:rsid w:val="00DA1068"/>
    <w:rsid w:val="00DA1081"/>
    <w:rsid w:val="00DA10BB"/>
    <w:rsid w:val="00DA1101"/>
    <w:rsid w:val="00DA12CE"/>
    <w:rsid w:val="00DA13D9"/>
    <w:rsid w:val="00DA140F"/>
    <w:rsid w:val="00DA153F"/>
    <w:rsid w:val="00DA15F7"/>
    <w:rsid w:val="00DA1683"/>
    <w:rsid w:val="00DA1708"/>
    <w:rsid w:val="00DA172D"/>
    <w:rsid w:val="00DA177B"/>
    <w:rsid w:val="00DA177F"/>
    <w:rsid w:val="00DA17B4"/>
    <w:rsid w:val="00DA1892"/>
    <w:rsid w:val="00DA18B5"/>
    <w:rsid w:val="00DA194D"/>
    <w:rsid w:val="00DA1994"/>
    <w:rsid w:val="00DA199D"/>
    <w:rsid w:val="00DA1A79"/>
    <w:rsid w:val="00DA1A9F"/>
    <w:rsid w:val="00DA1ABC"/>
    <w:rsid w:val="00DA1ADD"/>
    <w:rsid w:val="00DA1CD0"/>
    <w:rsid w:val="00DA1D6B"/>
    <w:rsid w:val="00DA1D7D"/>
    <w:rsid w:val="00DA1DCE"/>
    <w:rsid w:val="00DA1DDF"/>
    <w:rsid w:val="00DA1E18"/>
    <w:rsid w:val="00DA1EB0"/>
    <w:rsid w:val="00DA20E4"/>
    <w:rsid w:val="00DA2161"/>
    <w:rsid w:val="00DA21AC"/>
    <w:rsid w:val="00DA2356"/>
    <w:rsid w:val="00DA24FA"/>
    <w:rsid w:val="00DA2599"/>
    <w:rsid w:val="00DA264D"/>
    <w:rsid w:val="00DA2897"/>
    <w:rsid w:val="00DA28CA"/>
    <w:rsid w:val="00DA29AA"/>
    <w:rsid w:val="00DA29CB"/>
    <w:rsid w:val="00DA2ADF"/>
    <w:rsid w:val="00DA2B59"/>
    <w:rsid w:val="00DA2C0C"/>
    <w:rsid w:val="00DA2CC8"/>
    <w:rsid w:val="00DA2DAB"/>
    <w:rsid w:val="00DA2EFC"/>
    <w:rsid w:val="00DA2F0E"/>
    <w:rsid w:val="00DA3056"/>
    <w:rsid w:val="00DA32E8"/>
    <w:rsid w:val="00DA3363"/>
    <w:rsid w:val="00DA34AC"/>
    <w:rsid w:val="00DA34C4"/>
    <w:rsid w:val="00DA3523"/>
    <w:rsid w:val="00DA3570"/>
    <w:rsid w:val="00DA3616"/>
    <w:rsid w:val="00DA365A"/>
    <w:rsid w:val="00DA369C"/>
    <w:rsid w:val="00DA378F"/>
    <w:rsid w:val="00DA3953"/>
    <w:rsid w:val="00DA396F"/>
    <w:rsid w:val="00DA3A51"/>
    <w:rsid w:val="00DA3ABA"/>
    <w:rsid w:val="00DA3ADA"/>
    <w:rsid w:val="00DA3B44"/>
    <w:rsid w:val="00DA3CDF"/>
    <w:rsid w:val="00DA3D55"/>
    <w:rsid w:val="00DA4017"/>
    <w:rsid w:val="00DA40BA"/>
    <w:rsid w:val="00DA41ED"/>
    <w:rsid w:val="00DA420C"/>
    <w:rsid w:val="00DA420F"/>
    <w:rsid w:val="00DA42F0"/>
    <w:rsid w:val="00DA431C"/>
    <w:rsid w:val="00DA442A"/>
    <w:rsid w:val="00DA4489"/>
    <w:rsid w:val="00DA44F4"/>
    <w:rsid w:val="00DA4568"/>
    <w:rsid w:val="00DA464A"/>
    <w:rsid w:val="00DA466B"/>
    <w:rsid w:val="00DA46AF"/>
    <w:rsid w:val="00DA46D5"/>
    <w:rsid w:val="00DA4783"/>
    <w:rsid w:val="00DA47E2"/>
    <w:rsid w:val="00DA4864"/>
    <w:rsid w:val="00DA4A63"/>
    <w:rsid w:val="00DA4BB2"/>
    <w:rsid w:val="00DA4BCB"/>
    <w:rsid w:val="00DA4BF5"/>
    <w:rsid w:val="00DA4C2C"/>
    <w:rsid w:val="00DA4D70"/>
    <w:rsid w:val="00DA4EAC"/>
    <w:rsid w:val="00DA4FBC"/>
    <w:rsid w:val="00DA4FF3"/>
    <w:rsid w:val="00DA508B"/>
    <w:rsid w:val="00DA51A0"/>
    <w:rsid w:val="00DA523A"/>
    <w:rsid w:val="00DA530F"/>
    <w:rsid w:val="00DA5332"/>
    <w:rsid w:val="00DA5339"/>
    <w:rsid w:val="00DA5378"/>
    <w:rsid w:val="00DA5405"/>
    <w:rsid w:val="00DA5621"/>
    <w:rsid w:val="00DA56A1"/>
    <w:rsid w:val="00DA56B0"/>
    <w:rsid w:val="00DA56B4"/>
    <w:rsid w:val="00DA57CE"/>
    <w:rsid w:val="00DA585D"/>
    <w:rsid w:val="00DA59AC"/>
    <w:rsid w:val="00DA59B9"/>
    <w:rsid w:val="00DA5ADA"/>
    <w:rsid w:val="00DA5B7C"/>
    <w:rsid w:val="00DA5B94"/>
    <w:rsid w:val="00DA5C36"/>
    <w:rsid w:val="00DA5F5B"/>
    <w:rsid w:val="00DA5FBF"/>
    <w:rsid w:val="00DA5FDF"/>
    <w:rsid w:val="00DA60A6"/>
    <w:rsid w:val="00DA62D4"/>
    <w:rsid w:val="00DA6323"/>
    <w:rsid w:val="00DA641C"/>
    <w:rsid w:val="00DA645A"/>
    <w:rsid w:val="00DA6559"/>
    <w:rsid w:val="00DA658D"/>
    <w:rsid w:val="00DA6639"/>
    <w:rsid w:val="00DA667D"/>
    <w:rsid w:val="00DA6786"/>
    <w:rsid w:val="00DA67F6"/>
    <w:rsid w:val="00DA681E"/>
    <w:rsid w:val="00DA69C4"/>
    <w:rsid w:val="00DA6A16"/>
    <w:rsid w:val="00DA6A97"/>
    <w:rsid w:val="00DA6B14"/>
    <w:rsid w:val="00DA6B25"/>
    <w:rsid w:val="00DA6B61"/>
    <w:rsid w:val="00DA6BBE"/>
    <w:rsid w:val="00DA6BF0"/>
    <w:rsid w:val="00DA6DF9"/>
    <w:rsid w:val="00DA6E63"/>
    <w:rsid w:val="00DA6E6D"/>
    <w:rsid w:val="00DA6E78"/>
    <w:rsid w:val="00DA6F70"/>
    <w:rsid w:val="00DA6FDF"/>
    <w:rsid w:val="00DA71B8"/>
    <w:rsid w:val="00DA72DC"/>
    <w:rsid w:val="00DA7346"/>
    <w:rsid w:val="00DA7390"/>
    <w:rsid w:val="00DA75C4"/>
    <w:rsid w:val="00DA75C5"/>
    <w:rsid w:val="00DA7622"/>
    <w:rsid w:val="00DA772B"/>
    <w:rsid w:val="00DA779D"/>
    <w:rsid w:val="00DA7810"/>
    <w:rsid w:val="00DA7813"/>
    <w:rsid w:val="00DA7D9E"/>
    <w:rsid w:val="00DA7E16"/>
    <w:rsid w:val="00DA7F3E"/>
    <w:rsid w:val="00DA7F41"/>
    <w:rsid w:val="00DB0019"/>
    <w:rsid w:val="00DB011F"/>
    <w:rsid w:val="00DB01E4"/>
    <w:rsid w:val="00DB0306"/>
    <w:rsid w:val="00DB030A"/>
    <w:rsid w:val="00DB031E"/>
    <w:rsid w:val="00DB0358"/>
    <w:rsid w:val="00DB03D1"/>
    <w:rsid w:val="00DB0511"/>
    <w:rsid w:val="00DB0559"/>
    <w:rsid w:val="00DB05B7"/>
    <w:rsid w:val="00DB070F"/>
    <w:rsid w:val="00DB0985"/>
    <w:rsid w:val="00DB09AB"/>
    <w:rsid w:val="00DB0A19"/>
    <w:rsid w:val="00DB0A3B"/>
    <w:rsid w:val="00DB0AE7"/>
    <w:rsid w:val="00DB0B8C"/>
    <w:rsid w:val="00DB0BCB"/>
    <w:rsid w:val="00DB0BD6"/>
    <w:rsid w:val="00DB0C96"/>
    <w:rsid w:val="00DB0D27"/>
    <w:rsid w:val="00DB0D48"/>
    <w:rsid w:val="00DB0F31"/>
    <w:rsid w:val="00DB0F79"/>
    <w:rsid w:val="00DB0FCD"/>
    <w:rsid w:val="00DB1007"/>
    <w:rsid w:val="00DB1022"/>
    <w:rsid w:val="00DB1142"/>
    <w:rsid w:val="00DB1172"/>
    <w:rsid w:val="00DB132E"/>
    <w:rsid w:val="00DB135C"/>
    <w:rsid w:val="00DB13CA"/>
    <w:rsid w:val="00DB1409"/>
    <w:rsid w:val="00DB1411"/>
    <w:rsid w:val="00DB143F"/>
    <w:rsid w:val="00DB1448"/>
    <w:rsid w:val="00DB15A7"/>
    <w:rsid w:val="00DB16C5"/>
    <w:rsid w:val="00DB16ED"/>
    <w:rsid w:val="00DB17A1"/>
    <w:rsid w:val="00DB17EB"/>
    <w:rsid w:val="00DB1857"/>
    <w:rsid w:val="00DB187B"/>
    <w:rsid w:val="00DB1ABA"/>
    <w:rsid w:val="00DB1B09"/>
    <w:rsid w:val="00DB1C57"/>
    <w:rsid w:val="00DB1E84"/>
    <w:rsid w:val="00DB1F03"/>
    <w:rsid w:val="00DB1F0D"/>
    <w:rsid w:val="00DB205E"/>
    <w:rsid w:val="00DB20B3"/>
    <w:rsid w:val="00DB2135"/>
    <w:rsid w:val="00DB2276"/>
    <w:rsid w:val="00DB22C9"/>
    <w:rsid w:val="00DB2304"/>
    <w:rsid w:val="00DB2305"/>
    <w:rsid w:val="00DB2381"/>
    <w:rsid w:val="00DB23CF"/>
    <w:rsid w:val="00DB23E6"/>
    <w:rsid w:val="00DB253D"/>
    <w:rsid w:val="00DB255C"/>
    <w:rsid w:val="00DB26C1"/>
    <w:rsid w:val="00DB2755"/>
    <w:rsid w:val="00DB2793"/>
    <w:rsid w:val="00DB28B2"/>
    <w:rsid w:val="00DB28B3"/>
    <w:rsid w:val="00DB2939"/>
    <w:rsid w:val="00DB29C1"/>
    <w:rsid w:val="00DB2ACD"/>
    <w:rsid w:val="00DB2B17"/>
    <w:rsid w:val="00DB2BC7"/>
    <w:rsid w:val="00DB2D59"/>
    <w:rsid w:val="00DB2DC9"/>
    <w:rsid w:val="00DB2EF6"/>
    <w:rsid w:val="00DB2F6C"/>
    <w:rsid w:val="00DB2FF1"/>
    <w:rsid w:val="00DB306E"/>
    <w:rsid w:val="00DB30CE"/>
    <w:rsid w:val="00DB31E3"/>
    <w:rsid w:val="00DB32A4"/>
    <w:rsid w:val="00DB3314"/>
    <w:rsid w:val="00DB33AE"/>
    <w:rsid w:val="00DB33D5"/>
    <w:rsid w:val="00DB360E"/>
    <w:rsid w:val="00DB3658"/>
    <w:rsid w:val="00DB376F"/>
    <w:rsid w:val="00DB3954"/>
    <w:rsid w:val="00DB3B54"/>
    <w:rsid w:val="00DB3B6C"/>
    <w:rsid w:val="00DB3C29"/>
    <w:rsid w:val="00DB3DE3"/>
    <w:rsid w:val="00DB3DFF"/>
    <w:rsid w:val="00DB3E70"/>
    <w:rsid w:val="00DB3EFB"/>
    <w:rsid w:val="00DB3EFE"/>
    <w:rsid w:val="00DB3F08"/>
    <w:rsid w:val="00DB3F1F"/>
    <w:rsid w:val="00DB3FD5"/>
    <w:rsid w:val="00DB41BC"/>
    <w:rsid w:val="00DB42E7"/>
    <w:rsid w:val="00DB42F7"/>
    <w:rsid w:val="00DB431A"/>
    <w:rsid w:val="00DB4376"/>
    <w:rsid w:val="00DB44E7"/>
    <w:rsid w:val="00DB456A"/>
    <w:rsid w:val="00DB47B9"/>
    <w:rsid w:val="00DB483B"/>
    <w:rsid w:val="00DB487A"/>
    <w:rsid w:val="00DB494B"/>
    <w:rsid w:val="00DB499D"/>
    <w:rsid w:val="00DB49B3"/>
    <w:rsid w:val="00DB4AFB"/>
    <w:rsid w:val="00DB4B25"/>
    <w:rsid w:val="00DB4BED"/>
    <w:rsid w:val="00DB4C07"/>
    <w:rsid w:val="00DB4C24"/>
    <w:rsid w:val="00DB4C4C"/>
    <w:rsid w:val="00DB4C85"/>
    <w:rsid w:val="00DB4CF4"/>
    <w:rsid w:val="00DB4E43"/>
    <w:rsid w:val="00DB4F90"/>
    <w:rsid w:val="00DB4FD2"/>
    <w:rsid w:val="00DB5018"/>
    <w:rsid w:val="00DB506C"/>
    <w:rsid w:val="00DB50DE"/>
    <w:rsid w:val="00DB5125"/>
    <w:rsid w:val="00DB51A0"/>
    <w:rsid w:val="00DB51E0"/>
    <w:rsid w:val="00DB5239"/>
    <w:rsid w:val="00DB5296"/>
    <w:rsid w:val="00DB52F8"/>
    <w:rsid w:val="00DB53B8"/>
    <w:rsid w:val="00DB53BF"/>
    <w:rsid w:val="00DB5459"/>
    <w:rsid w:val="00DB554B"/>
    <w:rsid w:val="00DB5661"/>
    <w:rsid w:val="00DB56C6"/>
    <w:rsid w:val="00DB5778"/>
    <w:rsid w:val="00DB58BB"/>
    <w:rsid w:val="00DB5972"/>
    <w:rsid w:val="00DB5A7E"/>
    <w:rsid w:val="00DB5AE5"/>
    <w:rsid w:val="00DB5B48"/>
    <w:rsid w:val="00DB5BA6"/>
    <w:rsid w:val="00DB5C76"/>
    <w:rsid w:val="00DB5D88"/>
    <w:rsid w:val="00DB5E20"/>
    <w:rsid w:val="00DB5E59"/>
    <w:rsid w:val="00DB5EC9"/>
    <w:rsid w:val="00DB5F08"/>
    <w:rsid w:val="00DB6028"/>
    <w:rsid w:val="00DB6056"/>
    <w:rsid w:val="00DB60E6"/>
    <w:rsid w:val="00DB61A3"/>
    <w:rsid w:val="00DB6253"/>
    <w:rsid w:val="00DB6330"/>
    <w:rsid w:val="00DB6492"/>
    <w:rsid w:val="00DB663F"/>
    <w:rsid w:val="00DB67F6"/>
    <w:rsid w:val="00DB6926"/>
    <w:rsid w:val="00DB6A10"/>
    <w:rsid w:val="00DB6BBB"/>
    <w:rsid w:val="00DB6C26"/>
    <w:rsid w:val="00DB6D8B"/>
    <w:rsid w:val="00DB6EF0"/>
    <w:rsid w:val="00DB6F0C"/>
    <w:rsid w:val="00DB6FA2"/>
    <w:rsid w:val="00DB701F"/>
    <w:rsid w:val="00DB70FD"/>
    <w:rsid w:val="00DB7215"/>
    <w:rsid w:val="00DB723E"/>
    <w:rsid w:val="00DB724F"/>
    <w:rsid w:val="00DB7329"/>
    <w:rsid w:val="00DB7332"/>
    <w:rsid w:val="00DB737F"/>
    <w:rsid w:val="00DB73F0"/>
    <w:rsid w:val="00DB7521"/>
    <w:rsid w:val="00DB7535"/>
    <w:rsid w:val="00DB7563"/>
    <w:rsid w:val="00DB75F9"/>
    <w:rsid w:val="00DB789D"/>
    <w:rsid w:val="00DB78A8"/>
    <w:rsid w:val="00DB7908"/>
    <w:rsid w:val="00DB796F"/>
    <w:rsid w:val="00DB798C"/>
    <w:rsid w:val="00DB7992"/>
    <w:rsid w:val="00DB7A8E"/>
    <w:rsid w:val="00DB7B1D"/>
    <w:rsid w:val="00DB7B64"/>
    <w:rsid w:val="00DB7C65"/>
    <w:rsid w:val="00DB7DC5"/>
    <w:rsid w:val="00DB7DCD"/>
    <w:rsid w:val="00DB7E8D"/>
    <w:rsid w:val="00DB7FFA"/>
    <w:rsid w:val="00DC0084"/>
    <w:rsid w:val="00DC0159"/>
    <w:rsid w:val="00DC0177"/>
    <w:rsid w:val="00DC01BA"/>
    <w:rsid w:val="00DC01D0"/>
    <w:rsid w:val="00DC0308"/>
    <w:rsid w:val="00DC03E2"/>
    <w:rsid w:val="00DC03EF"/>
    <w:rsid w:val="00DC0408"/>
    <w:rsid w:val="00DC0451"/>
    <w:rsid w:val="00DC0500"/>
    <w:rsid w:val="00DC0535"/>
    <w:rsid w:val="00DC05F3"/>
    <w:rsid w:val="00DC0761"/>
    <w:rsid w:val="00DC0831"/>
    <w:rsid w:val="00DC088C"/>
    <w:rsid w:val="00DC09C6"/>
    <w:rsid w:val="00DC0AB5"/>
    <w:rsid w:val="00DC0B76"/>
    <w:rsid w:val="00DC0C8F"/>
    <w:rsid w:val="00DC0D5E"/>
    <w:rsid w:val="00DC0D80"/>
    <w:rsid w:val="00DC0EE3"/>
    <w:rsid w:val="00DC0F19"/>
    <w:rsid w:val="00DC10D8"/>
    <w:rsid w:val="00DC1113"/>
    <w:rsid w:val="00DC115A"/>
    <w:rsid w:val="00DC122B"/>
    <w:rsid w:val="00DC12DB"/>
    <w:rsid w:val="00DC1389"/>
    <w:rsid w:val="00DC141F"/>
    <w:rsid w:val="00DC1508"/>
    <w:rsid w:val="00DC163C"/>
    <w:rsid w:val="00DC1666"/>
    <w:rsid w:val="00DC173D"/>
    <w:rsid w:val="00DC1764"/>
    <w:rsid w:val="00DC1859"/>
    <w:rsid w:val="00DC1899"/>
    <w:rsid w:val="00DC18EF"/>
    <w:rsid w:val="00DC1986"/>
    <w:rsid w:val="00DC19DE"/>
    <w:rsid w:val="00DC1A42"/>
    <w:rsid w:val="00DC1E98"/>
    <w:rsid w:val="00DC1F78"/>
    <w:rsid w:val="00DC206E"/>
    <w:rsid w:val="00DC20D5"/>
    <w:rsid w:val="00DC2470"/>
    <w:rsid w:val="00DC24EC"/>
    <w:rsid w:val="00DC24F5"/>
    <w:rsid w:val="00DC2519"/>
    <w:rsid w:val="00DC2566"/>
    <w:rsid w:val="00DC2575"/>
    <w:rsid w:val="00DC25A9"/>
    <w:rsid w:val="00DC25B4"/>
    <w:rsid w:val="00DC25CA"/>
    <w:rsid w:val="00DC25F5"/>
    <w:rsid w:val="00DC25F9"/>
    <w:rsid w:val="00DC263B"/>
    <w:rsid w:val="00DC26A6"/>
    <w:rsid w:val="00DC26C6"/>
    <w:rsid w:val="00DC27FD"/>
    <w:rsid w:val="00DC2920"/>
    <w:rsid w:val="00DC2960"/>
    <w:rsid w:val="00DC2AA3"/>
    <w:rsid w:val="00DC2AFE"/>
    <w:rsid w:val="00DC2BA9"/>
    <w:rsid w:val="00DC2CE1"/>
    <w:rsid w:val="00DC2D1E"/>
    <w:rsid w:val="00DC2DAD"/>
    <w:rsid w:val="00DC2E68"/>
    <w:rsid w:val="00DC2E81"/>
    <w:rsid w:val="00DC2E92"/>
    <w:rsid w:val="00DC2EC5"/>
    <w:rsid w:val="00DC2F0B"/>
    <w:rsid w:val="00DC2F7A"/>
    <w:rsid w:val="00DC31BC"/>
    <w:rsid w:val="00DC3339"/>
    <w:rsid w:val="00DC3366"/>
    <w:rsid w:val="00DC3375"/>
    <w:rsid w:val="00DC33FA"/>
    <w:rsid w:val="00DC34FD"/>
    <w:rsid w:val="00DC3590"/>
    <w:rsid w:val="00DC35AB"/>
    <w:rsid w:val="00DC360A"/>
    <w:rsid w:val="00DC3653"/>
    <w:rsid w:val="00DC367E"/>
    <w:rsid w:val="00DC36B9"/>
    <w:rsid w:val="00DC3705"/>
    <w:rsid w:val="00DC375A"/>
    <w:rsid w:val="00DC3792"/>
    <w:rsid w:val="00DC37EB"/>
    <w:rsid w:val="00DC38E1"/>
    <w:rsid w:val="00DC3900"/>
    <w:rsid w:val="00DC3988"/>
    <w:rsid w:val="00DC398F"/>
    <w:rsid w:val="00DC3A22"/>
    <w:rsid w:val="00DC3A48"/>
    <w:rsid w:val="00DC3A82"/>
    <w:rsid w:val="00DC3BBA"/>
    <w:rsid w:val="00DC3E88"/>
    <w:rsid w:val="00DC3ED2"/>
    <w:rsid w:val="00DC3F3A"/>
    <w:rsid w:val="00DC3F91"/>
    <w:rsid w:val="00DC4052"/>
    <w:rsid w:val="00DC4083"/>
    <w:rsid w:val="00DC40B2"/>
    <w:rsid w:val="00DC40CB"/>
    <w:rsid w:val="00DC41CE"/>
    <w:rsid w:val="00DC42BF"/>
    <w:rsid w:val="00DC4351"/>
    <w:rsid w:val="00DC4361"/>
    <w:rsid w:val="00DC44E7"/>
    <w:rsid w:val="00DC44FE"/>
    <w:rsid w:val="00DC4503"/>
    <w:rsid w:val="00DC45EA"/>
    <w:rsid w:val="00DC465E"/>
    <w:rsid w:val="00DC4843"/>
    <w:rsid w:val="00DC4854"/>
    <w:rsid w:val="00DC4934"/>
    <w:rsid w:val="00DC493A"/>
    <w:rsid w:val="00DC49E8"/>
    <w:rsid w:val="00DC4B53"/>
    <w:rsid w:val="00DC4C6E"/>
    <w:rsid w:val="00DC4D0F"/>
    <w:rsid w:val="00DC4D8A"/>
    <w:rsid w:val="00DC4E13"/>
    <w:rsid w:val="00DC4FD7"/>
    <w:rsid w:val="00DC500C"/>
    <w:rsid w:val="00DC5023"/>
    <w:rsid w:val="00DC5090"/>
    <w:rsid w:val="00DC509F"/>
    <w:rsid w:val="00DC51A9"/>
    <w:rsid w:val="00DC5225"/>
    <w:rsid w:val="00DC52AC"/>
    <w:rsid w:val="00DC531F"/>
    <w:rsid w:val="00DC5354"/>
    <w:rsid w:val="00DC5356"/>
    <w:rsid w:val="00DC536C"/>
    <w:rsid w:val="00DC53A0"/>
    <w:rsid w:val="00DC5546"/>
    <w:rsid w:val="00DC554B"/>
    <w:rsid w:val="00DC55BF"/>
    <w:rsid w:val="00DC55D3"/>
    <w:rsid w:val="00DC5629"/>
    <w:rsid w:val="00DC5666"/>
    <w:rsid w:val="00DC56B7"/>
    <w:rsid w:val="00DC56C5"/>
    <w:rsid w:val="00DC56CB"/>
    <w:rsid w:val="00DC56F1"/>
    <w:rsid w:val="00DC57CC"/>
    <w:rsid w:val="00DC58D4"/>
    <w:rsid w:val="00DC58D6"/>
    <w:rsid w:val="00DC5928"/>
    <w:rsid w:val="00DC5B82"/>
    <w:rsid w:val="00DC5C61"/>
    <w:rsid w:val="00DC5D01"/>
    <w:rsid w:val="00DC5EF6"/>
    <w:rsid w:val="00DC610A"/>
    <w:rsid w:val="00DC622A"/>
    <w:rsid w:val="00DC62CB"/>
    <w:rsid w:val="00DC633E"/>
    <w:rsid w:val="00DC6453"/>
    <w:rsid w:val="00DC66AA"/>
    <w:rsid w:val="00DC67AF"/>
    <w:rsid w:val="00DC68D0"/>
    <w:rsid w:val="00DC6965"/>
    <w:rsid w:val="00DC69C6"/>
    <w:rsid w:val="00DC6A43"/>
    <w:rsid w:val="00DC6ABE"/>
    <w:rsid w:val="00DC6BDA"/>
    <w:rsid w:val="00DC6D09"/>
    <w:rsid w:val="00DC6D52"/>
    <w:rsid w:val="00DC6DAC"/>
    <w:rsid w:val="00DC6E1E"/>
    <w:rsid w:val="00DC6E3B"/>
    <w:rsid w:val="00DC6EFB"/>
    <w:rsid w:val="00DC70C7"/>
    <w:rsid w:val="00DC71C4"/>
    <w:rsid w:val="00DC71C8"/>
    <w:rsid w:val="00DC7234"/>
    <w:rsid w:val="00DC7353"/>
    <w:rsid w:val="00DC73DA"/>
    <w:rsid w:val="00DC75DC"/>
    <w:rsid w:val="00DC761D"/>
    <w:rsid w:val="00DC7785"/>
    <w:rsid w:val="00DC7A34"/>
    <w:rsid w:val="00DC7A47"/>
    <w:rsid w:val="00DC7A97"/>
    <w:rsid w:val="00DC7B19"/>
    <w:rsid w:val="00DC7C93"/>
    <w:rsid w:val="00DC7DCC"/>
    <w:rsid w:val="00DC7DD3"/>
    <w:rsid w:val="00DC7E15"/>
    <w:rsid w:val="00DC7E76"/>
    <w:rsid w:val="00DC7F00"/>
    <w:rsid w:val="00DD0103"/>
    <w:rsid w:val="00DD014D"/>
    <w:rsid w:val="00DD0203"/>
    <w:rsid w:val="00DD02C5"/>
    <w:rsid w:val="00DD030D"/>
    <w:rsid w:val="00DD043C"/>
    <w:rsid w:val="00DD0536"/>
    <w:rsid w:val="00DD0539"/>
    <w:rsid w:val="00DD05F9"/>
    <w:rsid w:val="00DD0746"/>
    <w:rsid w:val="00DD07B8"/>
    <w:rsid w:val="00DD07ED"/>
    <w:rsid w:val="00DD0804"/>
    <w:rsid w:val="00DD0855"/>
    <w:rsid w:val="00DD093F"/>
    <w:rsid w:val="00DD0958"/>
    <w:rsid w:val="00DD096B"/>
    <w:rsid w:val="00DD0A1F"/>
    <w:rsid w:val="00DD0A3A"/>
    <w:rsid w:val="00DD0A44"/>
    <w:rsid w:val="00DD0ACD"/>
    <w:rsid w:val="00DD0CA1"/>
    <w:rsid w:val="00DD0D24"/>
    <w:rsid w:val="00DD0D3B"/>
    <w:rsid w:val="00DD0D5B"/>
    <w:rsid w:val="00DD0D64"/>
    <w:rsid w:val="00DD0ED0"/>
    <w:rsid w:val="00DD0F37"/>
    <w:rsid w:val="00DD0FEB"/>
    <w:rsid w:val="00DD103E"/>
    <w:rsid w:val="00DD105B"/>
    <w:rsid w:val="00DD1067"/>
    <w:rsid w:val="00DD106B"/>
    <w:rsid w:val="00DD10F7"/>
    <w:rsid w:val="00DD1145"/>
    <w:rsid w:val="00DD1180"/>
    <w:rsid w:val="00DD1193"/>
    <w:rsid w:val="00DD11D2"/>
    <w:rsid w:val="00DD1269"/>
    <w:rsid w:val="00DD12F9"/>
    <w:rsid w:val="00DD135A"/>
    <w:rsid w:val="00DD1381"/>
    <w:rsid w:val="00DD145F"/>
    <w:rsid w:val="00DD1628"/>
    <w:rsid w:val="00DD1675"/>
    <w:rsid w:val="00DD16BE"/>
    <w:rsid w:val="00DD177B"/>
    <w:rsid w:val="00DD1854"/>
    <w:rsid w:val="00DD1859"/>
    <w:rsid w:val="00DD18C8"/>
    <w:rsid w:val="00DD196A"/>
    <w:rsid w:val="00DD19F7"/>
    <w:rsid w:val="00DD1B0A"/>
    <w:rsid w:val="00DD1B86"/>
    <w:rsid w:val="00DD1C7E"/>
    <w:rsid w:val="00DD1D0B"/>
    <w:rsid w:val="00DD1D39"/>
    <w:rsid w:val="00DD1DE2"/>
    <w:rsid w:val="00DD1F17"/>
    <w:rsid w:val="00DD20AA"/>
    <w:rsid w:val="00DD20B0"/>
    <w:rsid w:val="00DD20EC"/>
    <w:rsid w:val="00DD20F9"/>
    <w:rsid w:val="00DD2124"/>
    <w:rsid w:val="00DD2127"/>
    <w:rsid w:val="00DD21C3"/>
    <w:rsid w:val="00DD21EE"/>
    <w:rsid w:val="00DD23BD"/>
    <w:rsid w:val="00DD25A5"/>
    <w:rsid w:val="00DD25BA"/>
    <w:rsid w:val="00DD2659"/>
    <w:rsid w:val="00DD26D8"/>
    <w:rsid w:val="00DD271D"/>
    <w:rsid w:val="00DD2771"/>
    <w:rsid w:val="00DD279C"/>
    <w:rsid w:val="00DD27FC"/>
    <w:rsid w:val="00DD281A"/>
    <w:rsid w:val="00DD29AC"/>
    <w:rsid w:val="00DD29AE"/>
    <w:rsid w:val="00DD2A24"/>
    <w:rsid w:val="00DD2A85"/>
    <w:rsid w:val="00DD2AEC"/>
    <w:rsid w:val="00DD2B27"/>
    <w:rsid w:val="00DD2B90"/>
    <w:rsid w:val="00DD2BDA"/>
    <w:rsid w:val="00DD2D7A"/>
    <w:rsid w:val="00DD2D96"/>
    <w:rsid w:val="00DD2DE3"/>
    <w:rsid w:val="00DD2DFD"/>
    <w:rsid w:val="00DD2E2D"/>
    <w:rsid w:val="00DD2F32"/>
    <w:rsid w:val="00DD2F5C"/>
    <w:rsid w:val="00DD2F9A"/>
    <w:rsid w:val="00DD3029"/>
    <w:rsid w:val="00DD3117"/>
    <w:rsid w:val="00DD31B6"/>
    <w:rsid w:val="00DD31BC"/>
    <w:rsid w:val="00DD3295"/>
    <w:rsid w:val="00DD32B4"/>
    <w:rsid w:val="00DD336C"/>
    <w:rsid w:val="00DD3452"/>
    <w:rsid w:val="00DD3542"/>
    <w:rsid w:val="00DD3543"/>
    <w:rsid w:val="00DD37CC"/>
    <w:rsid w:val="00DD37F5"/>
    <w:rsid w:val="00DD385C"/>
    <w:rsid w:val="00DD3938"/>
    <w:rsid w:val="00DD3D04"/>
    <w:rsid w:val="00DD3D21"/>
    <w:rsid w:val="00DD3DA8"/>
    <w:rsid w:val="00DD41CB"/>
    <w:rsid w:val="00DD42BF"/>
    <w:rsid w:val="00DD433D"/>
    <w:rsid w:val="00DD434E"/>
    <w:rsid w:val="00DD43EA"/>
    <w:rsid w:val="00DD4437"/>
    <w:rsid w:val="00DD4478"/>
    <w:rsid w:val="00DD4496"/>
    <w:rsid w:val="00DD4539"/>
    <w:rsid w:val="00DD456B"/>
    <w:rsid w:val="00DD45D9"/>
    <w:rsid w:val="00DD4659"/>
    <w:rsid w:val="00DD46A7"/>
    <w:rsid w:val="00DD46C4"/>
    <w:rsid w:val="00DD46CC"/>
    <w:rsid w:val="00DD46E8"/>
    <w:rsid w:val="00DD46EB"/>
    <w:rsid w:val="00DD471F"/>
    <w:rsid w:val="00DD480C"/>
    <w:rsid w:val="00DD48B5"/>
    <w:rsid w:val="00DD4916"/>
    <w:rsid w:val="00DD49AA"/>
    <w:rsid w:val="00DD4AE3"/>
    <w:rsid w:val="00DD4C27"/>
    <w:rsid w:val="00DD4C3D"/>
    <w:rsid w:val="00DD4D03"/>
    <w:rsid w:val="00DD4D67"/>
    <w:rsid w:val="00DD4D9C"/>
    <w:rsid w:val="00DD4E80"/>
    <w:rsid w:val="00DD4EB3"/>
    <w:rsid w:val="00DD4EE2"/>
    <w:rsid w:val="00DD5092"/>
    <w:rsid w:val="00DD511C"/>
    <w:rsid w:val="00DD515F"/>
    <w:rsid w:val="00DD523B"/>
    <w:rsid w:val="00DD53EF"/>
    <w:rsid w:val="00DD540B"/>
    <w:rsid w:val="00DD5474"/>
    <w:rsid w:val="00DD5570"/>
    <w:rsid w:val="00DD569E"/>
    <w:rsid w:val="00DD5710"/>
    <w:rsid w:val="00DD5756"/>
    <w:rsid w:val="00DD57A2"/>
    <w:rsid w:val="00DD57DE"/>
    <w:rsid w:val="00DD589E"/>
    <w:rsid w:val="00DD58A2"/>
    <w:rsid w:val="00DD5D4A"/>
    <w:rsid w:val="00DD5EC0"/>
    <w:rsid w:val="00DD5EC6"/>
    <w:rsid w:val="00DD5EF8"/>
    <w:rsid w:val="00DD5F4D"/>
    <w:rsid w:val="00DD5FED"/>
    <w:rsid w:val="00DD6083"/>
    <w:rsid w:val="00DD6136"/>
    <w:rsid w:val="00DD6182"/>
    <w:rsid w:val="00DD61C7"/>
    <w:rsid w:val="00DD6287"/>
    <w:rsid w:val="00DD62F5"/>
    <w:rsid w:val="00DD631D"/>
    <w:rsid w:val="00DD6365"/>
    <w:rsid w:val="00DD66A9"/>
    <w:rsid w:val="00DD66AF"/>
    <w:rsid w:val="00DD6849"/>
    <w:rsid w:val="00DD6870"/>
    <w:rsid w:val="00DD69DD"/>
    <w:rsid w:val="00DD6A8C"/>
    <w:rsid w:val="00DD6AB6"/>
    <w:rsid w:val="00DD6C28"/>
    <w:rsid w:val="00DD6D63"/>
    <w:rsid w:val="00DD6D90"/>
    <w:rsid w:val="00DD6EF8"/>
    <w:rsid w:val="00DD6F57"/>
    <w:rsid w:val="00DD705B"/>
    <w:rsid w:val="00DD70C7"/>
    <w:rsid w:val="00DD70FA"/>
    <w:rsid w:val="00DD7146"/>
    <w:rsid w:val="00DD71C4"/>
    <w:rsid w:val="00DD722D"/>
    <w:rsid w:val="00DD7285"/>
    <w:rsid w:val="00DD73CD"/>
    <w:rsid w:val="00DD7430"/>
    <w:rsid w:val="00DD776A"/>
    <w:rsid w:val="00DD788E"/>
    <w:rsid w:val="00DD7935"/>
    <w:rsid w:val="00DD7942"/>
    <w:rsid w:val="00DD7962"/>
    <w:rsid w:val="00DD7AE9"/>
    <w:rsid w:val="00DD7C31"/>
    <w:rsid w:val="00DD7C3C"/>
    <w:rsid w:val="00DD7CCC"/>
    <w:rsid w:val="00DD7D11"/>
    <w:rsid w:val="00DD7E14"/>
    <w:rsid w:val="00DD7E86"/>
    <w:rsid w:val="00DD7FF6"/>
    <w:rsid w:val="00DE00AA"/>
    <w:rsid w:val="00DE01E0"/>
    <w:rsid w:val="00DE023E"/>
    <w:rsid w:val="00DE03EA"/>
    <w:rsid w:val="00DE04FB"/>
    <w:rsid w:val="00DE0758"/>
    <w:rsid w:val="00DE079E"/>
    <w:rsid w:val="00DE07A0"/>
    <w:rsid w:val="00DE07B7"/>
    <w:rsid w:val="00DE0860"/>
    <w:rsid w:val="00DE08BF"/>
    <w:rsid w:val="00DE09A1"/>
    <w:rsid w:val="00DE09A5"/>
    <w:rsid w:val="00DE09D6"/>
    <w:rsid w:val="00DE0A3F"/>
    <w:rsid w:val="00DE0B68"/>
    <w:rsid w:val="00DE0BFE"/>
    <w:rsid w:val="00DE0D15"/>
    <w:rsid w:val="00DE0D16"/>
    <w:rsid w:val="00DE0DB8"/>
    <w:rsid w:val="00DE0EF6"/>
    <w:rsid w:val="00DE105D"/>
    <w:rsid w:val="00DE109A"/>
    <w:rsid w:val="00DE11BA"/>
    <w:rsid w:val="00DE11DB"/>
    <w:rsid w:val="00DE122C"/>
    <w:rsid w:val="00DE1330"/>
    <w:rsid w:val="00DE137F"/>
    <w:rsid w:val="00DE14D0"/>
    <w:rsid w:val="00DE1519"/>
    <w:rsid w:val="00DE15E5"/>
    <w:rsid w:val="00DE15FB"/>
    <w:rsid w:val="00DE16AE"/>
    <w:rsid w:val="00DE16F7"/>
    <w:rsid w:val="00DE1727"/>
    <w:rsid w:val="00DE1807"/>
    <w:rsid w:val="00DE19CE"/>
    <w:rsid w:val="00DE1A51"/>
    <w:rsid w:val="00DE1A5D"/>
    <w:rsid w:val="00DE1B23"/>
    <w:rsid w:val="00DE1B55"/>
    <w:rsid w:val="00DE1B80"/>
    <w:rsid w:val="00DE1C40"/>
    <w:rsid w:val="00DE1D09"/>
    <w:rsid w:val="00DE1D0B"/>
    <w:rsid w:val="00DE1D9D"/>
    <w:rsid w:val="00DE1DB1"/>
    <w:rsid w:val="00DE1E0C"/>
    <w:rsid w:val="00DE20DD"/>
    <w:rsid w:val="00DE2244"/>
    <w:rsid w:val="00DE2255"/>
    <w:rsid w:val="00DE238F"/>
    <w:rsid w:val="00DE2397"/>
    <w:rsid w:val="00DE2403"/>
    <w:rsid w:val="00DE24A3"/>
    <w:rsid w:val="00DE25B1"/>
    <w:rsid w:val="00DE25B4"/>
    <w:rsid w:val="00DE261E"/>
    <w:rsid w:val="00DE2757"/>
    <w:rsid w:val="00DE27B2"/>
    <w:rsid w:val="00DE27E7"/>
    <w:rsid w:val="00DE2A9E"/>
    <w:rsid w:val="00DE2BB7"/>
    <w:rsid w:val="00DE2BFB"/>
    <w:rsid w:val="00DE2C2E"/>
    <w:rsid w:val="00DE2CE7"/>
    <w:rsid w:val="00DE2D58"/>
    <w:rsid w:val="00DE2DED"/>
    <w:rsid w:val="00DE2DFE"/>
    <w:rsid w:val="00DE2E87"/>
    <w:rsid w:val="00DE2EC3"/>
    <w:rsid w:val="00DE2EE5"/>
    <w:rsid w:val="00DE303B"/>
    <w:rsid w:val="00DE30B5"/>
    <w:rsid w:val="00DE30C7"/>
    <w:rsid w:val="00DE311C"/>
    <w:rsid w:val="00DE327A"/>
    <w:rsid w:val="00DE33D5"/>
    <w:rsid w:val="00DE34A4"/>
    <w:rsid w:val="00DE3571"/>
    <w:rsid w:val="00DE35DB"/>
    <w:rsid w:val="00DE3748"/>
    <w:rsid w:val="00DE3797"/>
    <w:rsid w:val="00DE3880"/>
    <w:rsid w:val="00DE38BF"/>
    <w:rsid w:val="00DE38C1"/>
    <w:rsid w:val="00DE38CE"/>
    <w:rsid w:val="00DE390F"/>
    <w:rsid w:val="00DE3B53"/>
    <w:rsid w:val="00DE3B54"/>
    <w:rsid w:val="00DE3B59"/>
    <w:rsid w:val="00DE3BA3"/>
    <w:rsid w:val="00DE3C45"/>
    <w:rsid w:val="00DE3C52"/>
    <w:rsid w:val="00DE3CD6"/>
    <w:rsid w:val="00DE3D65"/>
    <w:rsid w:val="00DE3FDA"/>
    <w:rsid w:val="00DE4049"/>
    <w:rsid w:val="00DE409C"/>
    <w:rsid w:val="00DE40FD"/>
    <w:rsid w:val="00DE4265"/>
    <w:rsid w:val="00DE448E"/>
    <w:rsid w:val="00DE44C7"/>
    <w:rsid w:val="00DE450A"/>
    <w:rsid w:val="00DE451A"/>
    <w:rsid w:val="00DE4612"/>
    <w:rsid w:val="00DE465D"/>
    <w:rsid w:val="00DE474F"/>
    <w:rsid w:val="00DE4799"/>
    <w:rsid w:val="00DE47CC"/>
    <w:rsid w:val="00DE4846"/>
    <w:rsid w:val="00DE4864"/>
    <w:rsid w:val="00DE49DD"/>
    <w:rsid w:val="00DE4A27"/>
    <w:rsid w:val="00DE4AFA"/>
    <w:rsid w:val="00DE4B5C"/>
    <w:rsid w:val="00DE4B5E"/>
    <w:rsid w:val="00DE4C1F"/>
    <w:rsid w:val="00DE4D91"/>
    <w:rsid w:val="00DE4E2B"/>
    <w:rsid w:val="00DE4E65"/>
    <w:rsid w:val="00DE4E8E"/>
    <w:rsid w:val="00DE509F"/>
    <w:rsid w:val="00DE50CF"/>
    <w:rsid w:val="00DE5234"/>
    <w:rsid w:val="00DE537D"/>
    <w:rsid w:val="00DE5444"/>
    <w:rsid w:val="00DE5655"/>
    <w:rsid w:val="00DE566B"/>
    <w:rsid w:val="00DE57D6"/>
    <w:rsid w:val="00DE57D9"/>
    <w:rsid w:val="00DE586A"/>
    <w:rsid w:val="00DE5883"/>
    <w:rsid w:val="00DE5958"/>
    <w:rsid w:val="00DE5A52"/>
    <w:rsid w:val="00DE5AA7"/>
    <w:rsid w:val="00DE5B20"/>
    <w:rsid w:val="00DE5C1D"/>
    <w:rsid w:val="00DE5C5A"/>
    <w:rsid w:val="00DE5CDE"/>
    <w:rsid w:val="00DE5CFC"/>
    <w:rsid w:val="00DE5D55"/>
    <w:rsid w:val="00DE5D7F"/>
    <w:rsid w:val="00DE5E2D"/>
    <w:rsid w:val="00DE5E37"/>
    <w:rsid w:val="00DE5F42"/>
    <w:rsid w:val="00DE5F5F"/>
    <w:rsid w:val="00DE5F91"/>
    <w:rsid w:val="00DE6054"/>
    <w:rsid w:val="00DE6115"/>
    <w:rsid w:val="00DE6140"/>
    <w:rsid w:val="00DE61EB"/>
    <w:rsid w:val="00DE635B"/>
    <w:rsid w:val="00DE6458"/>
    <w:rsid w:val="00DE64A5"/>
    <w:rsid w:val="00DE65F7"/>
    <w:rsid w:val="00DE67D1"/>
    <w:rsid w:val="00DE6985"/>
    <w:rsid w:val="00DE6A33"/>
    <w:rsid w:val="00DE6A43"/>
    <w:rsid w:val="00DE6A44"/>
    <w:rsid w:val="00DE6A96"/>
    <w:rsid w:val="00DE6AFA"/>
    <w:rsid w:val="00DE6B42"/>
    <w:rsid w:val="00DE6B7B"/>
    <w:rsid w:val="00DE6C96"/>
    <w:rsid w:val="00DE6C9A"/>
    <w:rsid w:val="00DE6DF6"/>
    <w:rsid w:val="00DE6F81"/>
    <w:rsid w:val="00DE7067"/>
    <w:rsid w:val="00DE707F"/>
    <w:rsid w:val="00DE70DF"/>
    <w:rsid w:val="00DE7117"/>
    <w:rsid w:val="00DE7144"/>
    <w:rsid w:val="00DE7208"/>
    <w:rsid w:val="00DE720B"/>
    <w:rsid w:val="00DE7279"/>
    <w:rsid w:val="00DE72AC"/>
    <w:rsid w:val="00DE73FB"/>
    <w:rsid w:val="00DE7489"/>
    <w:rsid w:val="00DE74D6"/>
    <w:rsid w:val="00DE763D"/>
    <w:rsid w:val="00DE7704"/>
    <w:rsid w:val="00DE771D"/>
    <w:rsid w:val="00DE787B"/>
    <w:rsid w:val="00DE787C"/>
    <w:rsid w:val="00DE7A0C"/>
    <w:rsid w:val="00DE7A12"/>
    <w:rsid w:val="00DE7B4B"/>
    <w:rsid w:val="00DE7BF0"/>
    <w:rsid w:val="00DE7CA0"/>
    <w:rsid w:val="00DE7D24"/>
    <w:rsid w:val="00DE7D8C"/>
    <w:rsid w:val="00DE7DA8"/>
    <w:rsid w:val="00DE7E12"/>
    <w:rsid w:val="00DE7EC1"/>
    <w:rsid w:val="00DE7F6F"/>
    <w:rsid w:val="00DF0090"/>
    <w:rsid w:val="00DF01B4"/>
    <w:rsid w:val="00DF01E7"/>
    <w:rsid w:val="00DF027F"/>
    <w:rsid w:val="00DF0419"/>
    <w:rsid w:val="00DF049F"/>
    <w:rsid w:val="00DF04AB"/>
    <w:rsid w:val="00DF04D5"/>
    <w:rsid w:val="00DF04E8"/>
    <w:rsid w:val="00DF0569"/>
    <w:rsid w:val="00DF05C9"/>
    <w:rsid w:val="00DF069F"/>
    <w:rsid w:val="00DF06AE"/>
    <w:rsid w:val="00DF074F"/>
    <w:rsid w:val="00DF0770"/>
    <w:rsid w:val="00DF098F"/>
    <w:rsid w:val="00DF09B6"/>
    <w:rsid w:val="00DF0A9E"/>
    <w:rsid w:val="00DF0B38"/>
    <w:rsid w:val="00DF0B53"/>
    <w:rsid w:val="00DF0BFE"/>
    <w:rsid w:val="00DF0C03"/>
    <w:rsid w:val="00DF0CA7"/>
    <w:rsid w:val="00DF0CB3"/>
    <w:rsid w:val="00DF0EAD"/>
    <w:rsid w:val="00DF0FBA"/>
    <w:rsid w:val="00DF103F"/>
    <w:rsid w:val="00DF1145"/>
    <w:rsid w:val="00DF1294"/>
    <w:rsid w:val="00DF1341"/>
    <w:rsid w:val="00DF13C8"/>
    <w:rsid w:val="00DF13D7"/>
    <w:rsid w:val="00DF14FF"/>
    <w:rsid w:val="00DF1537"/>
    <w:rsid w:val="00DF1568"/>
    <w:rsid w:val="00DF1581"/>
    <w:rsid w:val="00DF15B7"/>
    <w:rsid w:val="00DF1694"/>
    <w:rsid w:val="00DF1743"/>
    <w:rsid w:val="00DF17B9"/>
    <w:rsid w:val="00DF1819"/>
    <w:rsid w:val="00DF1932"/>
    <w:rsid w:val="00DF195D"/>
    <w:rsid w:val="00DF1B75"/>
    <w:rsid w:val="00DF1B78"/>
    <w:rsid w:val="00DF1BBF"/>
    <w:rsid w:val="00DF1D11"/>
    <w:rsid w:val="00DF1D33"/>
    <w:rsid w:val="00DF1DE2"/>
    <w:rsid w:val="00DF1E1A"/>
    <w:rsid w:val="00DF1E2D"/>
    <w:rsid w:val="00DF1F88"/>
    <w:rsid w:val="00DF1FA1"/>
    <w:rsid w:val="00DF1FBB"/>
    <w:rsid w:val="00DF201F"/>
    <w:rsid w:val="00DF21B8"/>
    <w:rsid w:val="00DF21ED"/>
    <w:rsid w:val="00DF228C"/>
    <w:rsid w:val="00DF22B9"/>
    <w:rsid w:val="00DF2305"/>
    <w:rsid w:val="00DF2472"/>
    <w:rsid w:val="00DF252C"/>
    <w:rsid w:val="00DF25B2"/>
    <w:rsid w:val="00DF2670"/>
    <w:rsid w:val="00DF26D2"/>
    <w:rsid w:val="00DF2705"/>
    <w:rsid w:val="00DF28F5"/>
    <w:rsid w:val="00DF2A4F"/>
    <w:rsid w:val="00DF2A90"/>
    <w:rsid w:val="00DF2B54"/>
    <w:rsid w:val="00DF2BB9"/>
    <w:rsid w:val="00DF2C9B"/>
    <w:rsid w:val="00DF2CB1"/>
    <w:rsid w:val="00DF2CF6"/>
    <w:rsid w:val="00DF2D7C"/>
    <w:rsid w:val="00DF2EA1"/>
    <w:rsid w:val="00DF2F63"/>
    <w:rsid w:val="00DF2F9A"/>
    <w:rsid w:val="00DF3012"/>
    <w:rsid w:val="00DF313E"/>
    <w:rsid w:val="00DF31C8"/>
    <w:rsid w:val="00DF3232"/>
    <w:rsid w:val="00DF32E7"/>
    <w:rsid w:val="00DF33AE"/>
    <w:rsid w:val="00DF3478"/>
    <w:rsid w:val="00DF3490"/>
    <w:rsid w:val="00DF352B"/>
    <w:rsid w:val="00DF3569"/>
    <w:rsid w:val="00DF3580"/>
    <w:rsid w:val="00DF35AF"/>
    <w:rsid w:val="00DF35FE"/>
    <w:rsid w:val="00DF3637"/>
    <w:rsid w:val="00DF37E6"/>
    <w:rsid w:val="00DF38D7"/>
    <w:rsid w:val="00DF3ADF"/>
    <w:rsid w:val="00DF3C2E"/>
    <w:rsid w:val="00DF3CBC"/>
    <w:rsid w:val="00DF3E96"/>
    <w:rsid w:val="00DF4022"/>
    <w:rsid w:val="00DF4119"/>
    <w:rsid w:val="00DF4275"/>
    <w:rsid w:val="00DF42C0"/>
    <w:rsid w:val="00DF4341"/>
    <w:rsid w:val="00DF43EF"/>
    <w:rsid w:val="00DF4408"/>
    <w:rsid w:val="00DF44F2"/>
    <w:rsid w:val="00DF45F5"/>
    <w:rsid w:val="00DF478B"/>
    <w:rsid w:val="00DF4884"/>
    <w:rsid w:val="00DF491F"/>
    <w:rsid w:val="00DF494E"/>
    <w:rsid w:val="00DF4AA3"/>
    <w:rsid w:val="00DF4B64"/>
    <w:rsid w:val="00DF4CA4"/>
    <w:rsid w:val="00DF4CC4"/>
    <w:rsid w:val="00DF4CFD"/>
    <w:rsid w:val="00DF4D24"/>
    <w:rsid w:val="00DF4E41"/>
    <w:rsid w:val="00DF4E5D"/>
    <w:rsid w:val="00DF4EAF"/>
    <w:rsid w:val="00DF4ED8"/>
    <w:rsid w:val="00DF4F32"/>
    <w:rsid w:val="00DF4FDC"/>
    <w:rsid w:val="00DF4FDE"/>
    <w:rsid w:val="00DF4FFF"/>
    <w:rsid w:val="00DF50FF"/>
    <w:rsid w:val="00DF52E0"/>
    <w:rsid w:val="00DF5311"/>
    <w:rsid w:val="00DF5455"/>
    <w:rsid w:val="00DF54D0"/>
    <w:rsid w:val="00DF57A5"/>
    <w:rsid w:val="00DF5895"/>
    <w:rsid w:val="00DF58E9"/>
    <w:rsid w:val="00DF5988"/>
    <w:rsid w:val="00DF5A27"/>
    <w:rsid w:val="00DF5A40"/>
    <w:rsid w:val="00DF5A63"/>
    <w:rsid w:val="00DF5AB7"/>
    <w:rsid w:val="00DF5BC8"/>
    <w:rsid w:val="00DF5CA9"/>
    <w:rsid w:val="00DF5DB3"/>
    <w:rsid w:val="00DF5E8D"/>
    <w:rsid w:val="00DF5ED8"/>
    <w:rsid w:val="00DF5EF8"/>
    <w:rsid w:val="00DF5F2B"/>
    <w:rsid w:val="00DF6070"/>
    <w:rsid w:val="00DF6154"/>
    <w:rsid w:val="00DF6178"/>
    <w:rsid w:val="00DF61E8"/>
    <w:rsid w:val="00DF6227"/>
    <w:rsid w:val="00DF636D"/>
    <w:rsid w:val="00DF6380"/>
    <w:rsid w:val="00DF63AC"/>
    <w:rsid w:val="00DF63B4"/>
    <w:rsid w:val="00DF649E"/>
    <w:rsid w:val="00DF64AA"/>
    <w:rsid w:val="00DF64C3"/>
    <w:rsid w:val="00DF64C8"/>
    <w:rsid w:val="00DF6655"/>
    <w:rsid w:val="00DF6663"/>
    <w:rsid w:val="00DF6681"/>
    <w:rsid w:val="00DF67E9"/>
    <w:rsid w:val="00DF6831"/>
    <w:rsid w:val="00DF6864"/>
    <w:rsid w:val="00DF691A"/>
    <w:rsid w:val="00DF69BB"/>
    <w:rsid w:val="00DF69F5"/>
    <w:rsid w:val="00DF69FE"/>
    <w:rsid w:val="00DF6AA5"/>
    <w:rsid w:val="00DF6B32"/>
    <w:rsid w:val="00DF6B71"/>
    <w:rsid w:val="00DF6EFC"/>
    <w:rsid w:val="00DF6F1C"/>
    <w:rsid w:val="00DF7001"/>
    <w:rsid w:val="00DF71AD"/>
    <w:rsid w:val="00DF7263"/>
    <w:rsid w:val="00DF727F"/>
    <w:rsid w:val="00DF72FE"/>
    <w:rsid w:val="00DF74BA"/>
    <w:rsid w:val="00DF74FB"/>
    <w:rsid w:val="00DF7565"/>
    <w:rsid w:val="00DF756A"/>
    <w:rsid w:val="00DF756C"/>
    <w:rsid w:val="00DF7574"/>
    <w:rsid w:val="00DF762C"/>
    <w:rsid w:val="00DF7637"/>
    <w:rsid w:val="00DF765B"/>
    <w:rsid w:val="00DF76FF"/>
    <w:rsid w:val="00DF783B"/>
    <w:rsid w:val="00DF79AE"/>
    <w:rsid w:val="00DF7A27"/>
    <w:rsid w:val="00DF7A97"/>
    <w:rsid w:val="00DF7A9B"/>
    <w:rsid w:val="00DF7AD3"/>
    <w:rsid w:val="00DF7B06"/>
    <w:rsid w:val="00DF7B31"/>
    <w:rsid w:val="00DF7B42"/>
    <w:rsid w:val="00DF7C73"/>
    <w:rsid w:val="00DF7D1B"/>
    <w:rsid w:val="00DF7D9D"/>
    <w:rsid w:val="00DF7D9F"/>
    <w:rsid w:val="00DF7EEB"/>
    <w:rsid w:val="00DF7F06"/>
    <w:rsid w:val="00DF7F48"/>
    <w:rsid w:val="00DF7F83"/>
    <w:rsid w:val="00DF7FF9"/>
    <w:rsid w:val="00E000BC"/>
    <w:rsid w:val="00E0010E"/>
    <w:rsid w:val="00E0013E"/>
    <w:rsid w:val="00E001A7"/>
    <w:rsid w:val="00E00312"/>
    <w:rsid w:val="00E004E3"/>
    <w:rsid w:val="00E004FC"/>
    <w:rsid w:val="00E005D4"/>
    <w:rsid w:val="00E00607"/>
    <w:rsid w:val="00E0063F"/>
    <w:rsid w:val="00E0069A"/>
    <w:rsid w:val="00E006FB"/>
    <w:rsid w:val="00E00740"/>
    <w:rsid w:val="00E00818"/>
    <w:rsid w:val="00E00886"/>
    <w:rsid w:val="00E008F0"/>
    <w:rsid w:val="00E00938"/>
    <w:rsid w:val="00E009AD"/>
    <w:rsid w:val="00E00A63"/>
    <w:rsid w:val="00E00B6B"/>
    <w:rsid w:val="00E00BA7"/>
    <w:rsid w:val="00E00C45"/>
    <w:rsid w:val="00E00CC8"/>
    <w:rsid w:val="00E00D8B"/>
    <w:rsid w:val="00E00D8C"/>
    <w:rsid w:val="00E00D9F"/>
    <w:rsid w:val="00E00DC9"/>
    <w:rsid w:val="00E00E99"/>
    <w:rsid w:val="00E00F3E"/>
    <w:rsid w:val="00E010EA"/>
    <w:rsid w:val="00E011F2"/>
    <w:rsid w:val="00E0127A"/>
    <w:rsid w:val="00E013DE"/>
    <w:rsid w:val="00E01440"/>
    <w:rsid w:val="00E0158B"/>
    <w:rsid w:val="00E015AD"/>
    <w:rsid w:val="00E015E1"/>
    <w:rsid w:val="00E015EB"/>
    <w:rsid w:val="00E016C8"/>
    <w:rsid w:val="00E01750"/>
    <w:rsid w:val="00E01764"/>
    <w:rsid w:val="00E017EF"/>
    <w:rsid w:val="00E01807"/>
    <w:rsid w:val="00E01833"/>
    <w:rsid w:val="00E0183F"/>
    <w:rsid w:val="00E01904"/>
    <w:rsid w:val="00E01947"/>
    <w:rsid w:val="00E01960"/>
    <w:rsid w:val="00E0199E"/>
    <w:rsid w:val="00E01B0A"/>
    <w:rsid w:val="00E01BB4"/>
    <w:rsid w:val="00E01C91"/>
    <w:rsid w:val="00E01D70"/>
    <w:rsid w:val="00E01DF1"/>
    <w:rsid w:val="00E01DF9"/>
    <w:rsid w:val="00E01E94"/>
    <w:rsid w:val="00E02023"/>
    <w:rsid w:val="00E02065"/>
    <w:rsid w:val="00E02084"/>
    <w:rsid w:val="00E021E1"/>
    <w:rsid w:val="00E02224"/>
    <w:rsid w:val="00E02284"/>
    <w:rsid w:val="00E02290"/>
    <w:rsid w:val="00E022A3"/>
    <w:rsid w:val="00E022A4"/>
    <w:rsid w:val="00E022EC"/>
    <w:rsid w:val="00E02305"/>
    <w:rsid w:val="00E02430"/>
    <w:rsid w:val="00E0244B"/>
    <w:rsid w:val="00E024F0"/>
    <w:rsid w:val="00E025A2"/>
    <w:rsid w:val="00E025ED"/>
    <w:rsid w:val="00E0261E"/>
    <w:rsid w:val="00E026A7"/>
    <w:rsid w:val="00E026BF"/>
    <w:rsid w:val="00E0286B"/>
    <w:rsid w:val="00E02975"/>
    <w:rsid w:val="00E02A17"/>
    <w:rsid w:val="00E02AD2"/>
    <w:rsid w:val="00E02C22"/>
    <w:rsid w:val="00E02C3E"/>
    <w:rsid w:val="00E02D1C"/>
    <w:rsid w:val="00E02D28"/>
    <w:rsid w:val="00E02D44"/>
    <w:rsid w:val="00E02E23"/>
    <w:rsid w:val="00E02E26"/>
    <w:rsid w:val="00E02E27"/>
    <w:rsid w:val="00E02FE3"/>
    <w:rsid w:val="00E02FF9"/>
    <w:rsid w:val="00E03110"/>
    <w:rsid w:val="00E03290"/>
    <w:rsid w:val="00E0344D"/>
    <w:rsid w:val="00E03462"/>
    <w:rsid w:val="00E0346C"/>
    <w:rsid w:val="00E03486"/>
    <w:rsid w:val="00E034FE"/>
    <w:rsid w:val="00E0352E"/>
    <w:rsid w:val="00E03570"/>
    <w:rsid w:val="00E035E4"/>
    <w:rsid w:val="00E03642"/>
    <w:rsid w:val="00E03649"/>
    <w:rsid w:val="00E03680"/>
    <w:rsid w:val="00E036D5"/>
    <w:rsid w:val="00E038B8"/>
    <w:rsid w:val="00E038E5"/>
    <w:rsid w:val="00E03A2C"/>
    <w:rsid w:val="00E03ADE"/>
    <w:rsid w:val="00E03C9C"/>
    <w:rsid w:val="00E03D15"/>
    <w:rsid w:val="00E03D3A"/>
    <w:rsid w:val="00E03E03"/>
    <w:rsid w:val="00E03E0F"/>
    <w:rsid w:val="00E03E3D"/>
    <w:rsid w:val="00E03E8B"/>
    <w:rsid w:val="00E03EDE"/>
    <w:rsid w:val="00E03EED"/>
    <w:rsid w:val="00E03F1F"/>
    <w:rsid w:val="00E03F3A"/>
    <w:rsid w:val="00E04053"/>
    <w:rsid w:val="00E04070"/>
    <w:rsid w:val="00E040C9"/>
    <w:rsid w:val="00E04118"/>
    <w:rsid w:val="00E0417D"/>
    <w:rsid w:val="00E041CD"/>
    <w:rsid w:val="00E0420F"/>
    <w:rsid w:val="00E04264"/>
    <w:rsid w:val="00E042FC"/>
    <w:rsid w:val="00E0444A"/>
    <w:rsid w:val="00E04475"/>
    <w:rsid w:val="00E0448F"/>
    <w:rsid w:val="00E045E7"/>
    <w:rsid w:val="00E04655"/>
    <w:rsid w:val="00E046C3"/>
    <w:rsid w:val="00E046CA"/>
    <w:rsid w:val="00E047A0"/>
    <w:rsid w:val="00E048A3"/>
    <w:rsid w:val="00E0497B"/>
    <w:rsid w:val="00E049FE"/>
    <w:rsid w:val="00E04ADA"/>
    <w:rsid w:val="00E04B1C"/>
    <w:rsid w:val="00E04B8D"/>
    <w:rsid w:val="00E04CC3"/>
    <w:rsid w:val="00E04D8E"/>
    <w:rsid w:val="00E04E89"/>
    <w:rsid w:val="00E050CF"/>
    <w:rsid w:val="00E053FF"/>
    <w:rsid w:val="00E055C7"/>
    <w:rsid w:val="00E056D1"/>
    <w:rsid w:val="00E056EF"/>
    <w:rsid w:val="00E0583B"/>
    <w:rsid w:val="00E0595C"/>
    <w:rsid w:val="00E05A2A"/>
    <w:rsid w:val="00E05B61"/>
    <w:rsid w:val="00E05BBE"/>
    <w:rsid w:val="00E05C6A"/>
    <w:rsid w:val="00E05CF0"/>
    <w:rsid w:val="00E05DFA"/>
    <w:rsid w:val="00E05EC5"/>
    <w:rsid w:val="00E05F33"/>
    <w:rsid w:val="00E05F45"/>
    <w:rsid w:val="00E05F74"/>
    <w:rsid w:val="00E05FCB"/>
    <w:rsid w:val="00E0609B"/>
    <w:rsid w:val="00E060C7"/>
    <w:rsid w:val="00E06146"/>
    <w:rsid w:val="00E061A2"/>
    <w:rsid w:val="00E06377"/>
    <w:rsid w:val="00E0638B"/>
    <w:rsid w:val="00E063F3"/>
    <w:rsid w:val="00E06575"/>
    <w:rsid w:val="00E065D8"/>
    <w:rsid w:val="00E0663A"/>
    <w:rsid w:val="00E066AE"/>
    <w:rsid w:val="00E06739"/>
    <w:rsid w:val="00E06751"/>
    <w:rsid w:val="00E06765"/>
    <w:rsid w:val="00E0677E"/>
    <w:rsid w:val="00E067F2"/>
    <w:rsid w:val="00E06BC9"/>
    <w:rsid w:val="00E06CF0"/>
    <w:rsid w:val="00E06D3F"/>
    <w:rsid w:val="00E06D8F"/>
    <w:rsid w:val="00E06E19"/>
    <w:rsid w:val="00E06E1B"/>
    <w:rsid w:val="00E06E88"/>
    <w:rsid w:val="00E06F2C"/>
    <w:rsid w:val="00E06F99"/>
    <w:rsid w:val="00E071EF"/>
    <w:rsid w:val="00E071F2"/>
    <w:rsid w:val="00E07207"/>
    <w:rsid w:val="00E0730E"/>
    <w:rsid w:val="00E07391"/>
    <w:rsid w:val="00E0746F"/>
    <w:rsid w:val="00E07511"/>
    <w:rsid w:val="00E075ED"/>
    <w:rsid w:val="00E0762D"/>
    <w:rsid w:val="00E0775B"/>
    <w:rsid w:val="00E077AC"/>
    <w:rsid w:val="00E07869"/>
    <w:rsid w:val="00E078A1"/>
    <w:rsid w:val="00E078CA"/>
    <w:rsid w:val="00E07995"/>
    <w:rsid w:val="00E079F6"/>
    <w:rsid w:val="00E07A41"/>
    <w:rsid w:val="00E07A51"/>
    <w:rsid w:val="00E07C1A"/>
    <w:rsid w:val="00E07C52"/>
    <w:rsid w:val="00E07CC8"/>
    <w:rsid w:val="00E07E10"/>
    <w:rsid w:val="00E10187"/>
    <w:rsid w:val="00E103C3"/>
    <w:rsid w:val="00E1045B"/>
    <w:rsid w:val="00E104B2"/>
    <w:rsid w:val="00E104D2"/>
    <w:rsid w:val="00E104DE"/>
    <w:rsid w:val="00E105D8"/>
    <w:rsid w:val="00E10625"/>
    <w:rsid w:val="00E107BC"/>
    <w:rsid w:val="00E1087E"/>
    <w:rsid w:val="00E108C5"/>
    <w:rsid w:val="00E1095B"/>
    <w:rsid w:val="00E10960"/>
    <w:rsid w:val="00E10978"/>
    <w:rsid w:val="00E10A12"/>
    <w:rsid w:val="00E10A71"/>
    <w:rsid w:val="00E10AAA"/>
    <w:rsid w:val="00E10AE0"/>
    <w:rsid w:val="00E10BE5"/>
    <w:rsid w:val="00E10C83"/>
    <w:rsid w:val="00E10CF2"/>
    <w:rsid w:val="00E10D7C"/>
    <w:rsid w:val="00E10D98"/>
    <w:rsid w:val="00E10DFA"/>
    <w:rsid w:val="00E10FAC"/>
    <w:rsid w:val="00E1113E"/>
    <w:rsid w:val="00E11305"/>
    <w:rsid w:val="00E1132A"/>
    <w:rsid w:val="00E11356"/>
    <w:rsid w:val="00E1145E"/>
    <w:rsid w:val="00E114AB"/>
    <w:rsid w:val="00E114CD"/>
    <w:rsid w:val="00E11573"/>
    <w:rsid w:val="00E11604"/>
    <w:rsid w:val="00E11635"/>
    <w:rsid w:val="00E11680"/>
    <w:rsid w:val="00E1196E"/>
    <w:rsid w:val="00E11A30"/>
    <w:rsid w:val="00E11A49"/>
    <w:rsid w:val="00E11A98"/>
    <w:rsid w:val="00E11B2C"/>
    <w:rsid w:val="00E11B64"/>
    <w:rsid w:val="00E11B7C"/>
    <w:rsid w:val="00E11BC4"/>
    <w:rsid w:val="00E11CE2"/>
    <w:rsid w:val="00E11DF5"/>
    <w:rsid w:val="00E11FFA"/>
    <w:rsid w:val="00E1209B"/>
    <w:rsid w:val="00E121EA"/>
    <w:rsid w:val="00E12305"/>
    <w:rsid w:val="00E1233B"/>
    <w:rsid w:val="00E12374"/>
    <w:rsid w:val="00E12388"/>
    <w:rsid w:val="00E123B3"/>
    <w:rsid w:val="00E1253D"/>
    <w:rsid w:val="00E12616"/>
    <w:rsid w:val="00E12646"/>
    <w:rsid w:val="00E1265D"/>
    <w:rsid w:val="00E12692"/>
    <w:rsid w:val="00E12866"/>
    <w:rsid w:val="00E12A42"/>
    <w:rsid w:val="00E12B13"/>
    <w:rsid w:val="00E12C3B"/>
    <w:rsid w:val="00E12CBA"/>
    <w:rsid w:val="00E12DF1"/>
    <w:rsid w:val="00E12E94"/>
    <w:rsid w:val="00E12EB5"/>
    <w:rsid w:val="00E12FB1"/>
    <w:rsid w:val="00E12FBF"/>
    <w:rsid w:val="00E12FDA"/>
    <w:rsid w:val="00E130E2"/>
    <w:rsid w:val="00E13273"/>
    <w:rsid w:val="00E13289"/>
    <w:rsid w:val="00E13331"/>
    <w:rsid w:val="00E1348D"/>
    <w:rsid w:val="00E1362B"/>
    <w:rsid w:val="00E1366B"/>
    <w:rsid w:val="00E136B8"/>
    <w:rsid w:val="00E137D6"/>
    <w:rsid w:val="00E13867"/>
    <w:rsid w:val="00E139C3"/>
    <w:rsid w:val="00E13A0E"/>
    <w:rsid w:val="00E13BA1"/>
    <w:rsid w:val="00E13C86"/>
    <w:rsid w:val="00E13CD4"/>
    <w:rsid w:val="00E13CFA"/>
    <w:rsid w:val="00E13D8A"/>
    <w:rsid w:val="00E13D93"/>
    <w:rsid w:val="00E13E88"/>
    <w:rsid w:val="00E13FBD"/>
    <w:rsid w:val="00E13FF1"/>
    <w:rsid w:val="00E140BF"/>
    <w:rsid w:val="00E140C7"/>
    <w:rsid w:val="00E1421D"/>
    <w:rsid w:val="00E14273"/>
    <w:rsid w:val="00E14310"/>
    <w:rsid w:val="00E14344"/>
    <w:rsid w:val="00E1436A"/>
    <w:rsid w:val="00E1440C"/>
    <w:rsid w:val="00E144B8"/>
    <w:rsid w:val="00E14650"/>
    <w:rsid w:val="00E1479D"/>
    <w:rsid w:val="00E147AD"/>
    <w:rsid w:val="00E147D6"/>
    <w:rsid w:val="00E148FA"/>
    <w:rsid w:val="00E14917"/>
    <w:rsid w:val="00E14944"/>
    <w:rsid w:val="00E149FF"/>
    <w:rsid w:val="00E14AF6"/>
    <w:rsid w:val="00E14B45"/>
    <w:rsid w:val="00E14B61"/>
    <w:rsid w:val="00E14B71"/>
    <w:rsid w:val="00E14B97"/>
    <w:rsid w:val="00E14BC5"/>
    <w:rsid w:val="00E14CAF"/>
    <w:rsid w:val="00E14DB8"/>
    <w:rsid w:val="00E14E50"/>
    <w:rsid w:val="00E14FA5"/>
    <w:rsid w:val="00E150FD"/>
    <w:rsid w:val="00E15112"/>
    <w:rsid w:val="00E151CF"/>
    <w:rsid w:val="00E15258"/>
    <w:rsid w:val="00E152D2"/>
    <w:rsid w:val="00E152D4"/>
    <w:rsid w:val="00E153C3"/>
    <w:rsid w:val="00E1566D"/>
    <w:rsid w:val="00E15A37"/>
    <w:rsid w:val="00E15A56"/>
    <w:rsid w:val="00E15B1B"/>
    <w:rsid w:val="00E15DE4"/>
    <w:rsid w:val="00E15F65"/>
    <w:rsid w:val="00E16069"/>
    <w:rsid w:val="00E160A9"/>
    <w:rsid w:val="00E160CD"/>
    <w:rsid w:val="00E1614A"/>
    <w:rsid w:val="00E161DE"/>
    <w:rsid w:val="00E16233"/>
    <w:rsid w:val="00E162AB"/>
    <w:rsid w:val="00E162AE"/>
    <w:rsid w:val="00E164D3"/>
    <w:rsid w:val="00E164E1"/>
    <w:rsid w:val="00E16529"/>
    <w:rsid w:val="00E1655A"/>
    <w:rsid w:val="00E165BC"/>
    <w:rsid w:val="00E16737"/>
    <w:rsid w:val="00E16887"/>
    <w:rsid w:val="00E169B8"/>
    <w:rsid w:val="00E169EB"/>
    <w:rsid w:val="00E16A6B"/>
    <w:rsid w:val="00E16AB6"/>
    <w:rsid w:val="00E16AB8"/>
    <w:rsid w:val="00E16BC8"/>
    <w:rsid w:val="00E16BE8"/>
    <w:rsid w:val="00E16BEB"/>
    <w:rsid w:val="00E16C34"/>
    <w:rsid w:val="00E16C82"/>
    <w:rsid w:val="00E16DCC"/>
    <w:rsid w:val="00E16EC1"/>
    <w:rsid w:val="00E16EC6"/>
    <w:rsid w:val="00E16EF7"/>
    <w:rsid w:val="00E16F4F"/>
    <w:rsid w:val="00E16FBF"/>
    <w:rsid w:val="00E16FE8"/>
    <w:rsid w:val="00E17009"/>
    <w:rsid w:val="00E17139"/>
    <w:rsid w:val="00E17194"/>
    <w:rsid w:val="00E1724F"/>
    <w:rsid w:val="00E17353"/>
    <w:rsid w:val="00E173B6"/>
    <w:rsid w:val="00E17441"/>
    <w:rsid w:val="00E175AA"/>
    <w:rsid w:val="00E175CF"/>
    <w:rsid w:val="00E177F8"/>
    <w:rsid w:val="00E17811"/>
    <w:rsid w:val="00E1787F"/>
    <w:rsid w:val="00E1788F"/>
    <w:rsid w:val="00E17A69"/>
    <w:rsid w:val="00E17A74"/>
    <w:rsid w:val="00E17A82"/>
    <w:rsid w:val="00E17AA5"/>
    <w:rsid w:val="00E17AFF"/>
    <w:rsid w:val="00E17B13"/>
    <w:rsid w:val="00E17BAB"/>
    <w:rsid w:val="00E17C3F"/>
    <w:rsid w:val="00E17C6B"/>
    <w:rsid w:val="00E17C7D"/>
    <w:rsid w:val="00E17D49"/>
    <w:rsid w:val="00E17D57"/>
    <w:rsid w:val="00E17D62"/>
    <w:rsid w:val="00E17DED"/>
    <w:rsid w:val="00E17E73"/>
    <w:rsid w:val="00E17EA1"/>
    <w:rsid w:val="00E17F1E"/>
    <w:rsid w:val="00E17FD0"/>
    <w:rsid w:val="00E17FE2"/>
    <w:rsid w:val="00E17FF0"/>
    <w:rsid w:val="00E2008F"/>
    <w:rsid w:val="00E20139"/>
    <w:rsid w:val="00E201A4"/>
    <w:rsid w:val="00E20209"/>
    <w:rsid w:val="00E20361"/>
    <w:rsid w:val="00E20370"/>
    <w:rsid w:val="00E2042C"/>
    <w:rsid w:val="00E2048B"/>
    <w:rsid w:val="00E2052B"/>
    <w:rsid w:val="00E2053F"/>
    <w:rsid w:val="00E20670"/>
    <w:rsid w:val="00E20681"/>
    <w:rsid w:val="00E206C2"/>
    <w:rsid w:val="00E2071F"/>
    <w:rsid w:val="00E20732"/>
    <w:rsid w:val="00E20883"/>
    <w:rsid w:val="00E208C1"/>
    <w:rsid w:val="00E20A0D"/>
    <w:rsid w:val="00E20A23"/>
    <w:rsid w:val="00E20A8F"/>
    <w:rsid w:val="00E20BFE"/>
    <w:rsid w:val="00E20CF1"/>
    <w:rsid w:val="00E20DE9"/>
    <w:rsid w:val="00E20E1D"/>
    <w:rsid w:val="00E20EDA"/>
    <w:rsid w:val="00E20FAD"/>
    <w:rsid w:val="00E20FCD"/>
    <w:rsid w:val="00E20FD0"/>
    <w:rsid w:val="00E20FD6"/>
    <w:rsid w:val="00E21146"/>
    <w:rsid w:val="00E211F3"/>
    <w:rsid w:val="00E212B6"/>
    <w:rsid w:val="00E2132C"/>
    <w:rsid w:val="00E2139A"/>
    <w:rsid w:val="00E213EC"/>
    <w:rsid w:val="00E2140D"/>
    <w:rsid w:val="00E2154B"/>
    <w:rsid w:val="00E2157F"/>
    <w:rsid w:val="00E216A6"/>
    <w:rsid w:val="00E2174D"/>
    <w:rsid w:val="00E2178D"/>
    <w:rsid w:val="00E2180C"/>
    <w:rsid w:val="00E21886"/>
    <w:rsid w:val="00E218A2"/>
    <w:rsid w:val="00E218B1"/>
    <w:rsid w:val="00E21916"/>
    <w:rsid w:val="00E219F6"/>
    <w:rsid w:val="00E21A8D"/>
    <w:rsid w:val="00E21AC7"/>
    <w:rsid w:val="00E21B5B"/>
    <w:rsid w:val="00E21BDB"/>
    <w:rsid w:val="00E21C67"/>
    <w:rsid w:val="00E21CAB"/>
    <w:rsid w:val="00E21DAB"/>
    <w:rsid w:val="00E21DAD"/>
    <w:rsid w:val="00E21E6F"/>
    <w:rsid w:val="00E21F0C"/>
    <w:rsid w:val="00E21F86"/>
    <w:rsid w:val="00E221DB"/>
    <w:rsid w:val="00E222CC"/>
    <w:rsid w:val="00E2233D"/>
    <w:rsid w:val="00E22384"/>
    <w:rsid w:val="00E223D6"/>
    <w:rsid w:val="00E22536"/>
    <w:rsid w:val="00E225C0"/>
    <w:rsid w:val="00E22738"/>
    <w:rsid w:val="00E2282F"/>
    <w:rsid w:val="00E228D1"/>
    <w:rsid w:val="00E228ED"/>
    <w:rsid w:val="00E22C5B"/>
    <w:rsid w:val="00E22D10"/>
    <w:rsid w:val="00E22DDB"/>
    <w:rsid w:val="00E22E7B"/>
    <w:rsid w:val="00E22F34"/>
    <w:rsid w:val="00E22FBC"/>
    <w:rsid w:val="00E23075"/>
    <w:rsid w:val="00E2308E"/>
    <w:rsid w:val="00E230A5"/>
    <w:rsid w:val="00E23170"/>
    <w:rsid w:val="00E2331D"/>
    <w:rsid w:val="00E2335D"/>
    <w:rsid w:val="00E23373"/>
    <w:rsid w:val="00E2339C"/>
    <w:rsid w:val="00E233DC"/>
    <w:rsid w:val="00E23456"/>
    <w:rsid w:val="00E23484"/>
    <w:rsid w:val="00E23487"/>
    <w:rsid w:val="00E23592"/>
    <w:rsid w:val="00E236AB"/>
    <w:rsid w:val="00E236BB"/>
    <w:rsid w:val="00E23714"/>
    <w:rsid w:val="00E2371C"/>
    <w:rsid w:val="00E23831"/>
    <w:rsid w:val="00E23860"/>
    <w:rsid w:val="00E23939"/>
    <w:rsid w:val="00E23B43"/>
    <w:rsid w:val="00E23B4B"/>
    <w:rsid w:val="00E23BED"/>
    <w:rsid w:val="00E23C3B"/>
    <w:rsid w:val="00E23E0A"/>
    <w:rsid w:val="00E23EA1"/>
    <w:rsid w:val="00E24092"/>
    <w:rsid w:val="00E240CD"/>
    <w:rsid w:val="00E24171"/>
    <w:rsid w:val="00E241FE"/>
    <w:rsid w:val="00E24270"/>
    <w:rsid w:val="00E24287"/>
    <w:rsid w:val="00E24393"/>
    <w:rsid w:val="00E24401"/>
    <w:rsid w:val="00E24466"/>
    <w:rsid w:val="00E24544"/>
    <w:rsid w:val="00E24631"/>
    <w:rsid w:val="00E246D0"/>
    <w:rsid w:val="00E2486E"/>
    <w:rsid w:val="00E248A7"/>
    <w:rsid w:val="00E248C0"/>
    <w:rsid w:val="00E2494A"/>
    <w:rsid w:val="00E24B40"/>
    <w:rsid w:val="00E24CC7"/>
    <w:rsid w:val="00E24CF8"/>
    <w:rsid w:val="00E24D24"/>
    <w:rsid w:val="00E24D6C"/>
    <w:rsid w:val="00E24DAD"/>
    <w:rsid w:val="00E24F1B"/>
    <w:rsid w:val="00E24F9A"/>
    <w:rsid w:val="00E24FFA"/>
    <w:rsid w:val="00E2501C"/>
    <w:rsid w:val="00E25147"/>
    <w:rsid w:val="00E2523F"/>
    <w:rsid w:val="00E252AF"/>
    <w:rsid w:val="00E25363"/>
    <w:rsid w:val="00E253BE"/>
    <w:rsid w:val="00E255E9"/>
    <w:rsid w:val="00E255EC"/>
    <w:rsid w:val="00E25675"/>
    <w:rsid w:val="00E25797"/>
    <w:rsid w:val="00E25839"/>
    <w:rsid w:val="00E259F3"/>
    <w:rsid w:val="00E25A59"/>
    <w:rsid w:val="00E25BA5"/>
    <w:rsid w:val="00E25CED"/>
    <w:rsid w:val="00E25F6A"/>
    <w:rsid w:val="00E260D0"/>
    <w:rsid w:val="00E26122"/>
    <w:rsid w:val="00E26149"/>
    <w:rsid w:val="00E262AB"/>
    <w:rsid w:val="00E26359"/>
    <w:rsid w:val="00E263B2"/>
    <w:rsid w:val="00E263E8"/>
    <w:rsid w:val="00E2653A"/>
    <w:rsid w:val="00E2661B"/>
    <w:rsid w:val="00E266E4"/>
    <w:rsid w:val="00E2684A"/>
    <w:rsid w:val="00E2687A"/>
    <w:rsid w:val="00E26909"/>
    <w:rsid w:val="00E26937"/>
    <w:rsid w:val="00E26956"/>
    <w:rsid w:val="00E26B27"/>
    <w:rsid w:val="00E26B37"/>
    <w:rsid w:val="00E26B43"/>
    <w:rsid w:val="00E26C28"/>
    <w:rsid w:val="00E26C60"/>
    <w:rsid w:val="00E26CB5"/>
    <w:rsid w:val="00E26CEA"/>
    <w:rsid w:val="00E26D2B"/>
    <w:rsid w:val="00E26EED"/>
    <w:rsid w:val="00E26F93"/>
    <w:rsid w:val="00E26FC6"/>
    <w:rsid w:val="00E27012"/>
    <w:rsid w:val="00E27065"/>
    <w:rsid w:val="00E271AB"/>
    <w:rsid w:val="00E27295"/>
    <w:rsid w:val="00E27308"/>
    <w:rsid w:val="00E2735F"/>
    <w:rsid w:val="00E2737C"/>
    <w:rsid w:val="00E2740B"/>
    <w:rsid w:val="00E2749E"/>
    <w:rsid w:val="00E27523"/>
    <w:rsid w:val="00E27638"/>
    <w:rsid w:val="00E27643"/>
    <w:rsid w:val="00E2766B"/>
    <w:rsid w:val="00E27698"/>
    <w:rsid w:val="00E2769A"/>
    <w:rsid w:val="00E2772B"/>
    <w:rsid w:val="00E277D2"/>
    <w:rsid w:val="00E277D8"/>
    <w:rsid w:val="00E27867"/>
    <w:rsid w:val="00E2787E"/>
    <w:rsid w:val="00E2795E"/>
    <w:rsid w:val="00E27970"/>
    <w:rsid w:val="00E279CB"/>
    <w:rsid w:val="00E279D9"/>
    <w:rsid w:val="00E27AFA"/>
    <w:rsid w:val="00E27B39"/>
    <w:rsid w:val="00E27C5A"/>
    <w:rsid w:val="00E27E1E"/>
    <w:rsid w:val="00E27E44"/>
    <w:rsid w:val="00E27E9D"/>
    <w:rsid w:val="00E27FA6"/>
    <w:rsid w:val="00E30088"/>
    <w:rsid w:val="00E30212"/>
    <w:rsid w:val="00E3025E"/>
    <w:rsid w:val="00E302F1"/>
    <w:rsid w:val="00E30415"/>
    <w:rsid w:val="00E30448"/>
    <w:rsid w:val="00E3075E"/>
    <w:rsid w:val="00E3082A"/>
    <w:rsid w:val="00E30994"/>
    <w:rsid w:val="00E30C21"/>
    <w:rsid w:val="00E30CAB"/>
    <w:rsid w:val="00E30CFF"/>
    <w:rsid w:val="00E30DF0"/>
    <w:rsid w:val="00E30EFC"/>
    <w:rsid w:val="00E30F32"/>
    <w:rsid w:val="00E30FA3"/>
    <w:rsid w:val="00E31062"/>
    <w:rsid w:val="00E3107B"/>
    <w:rsid w:val="00E31168"/>
    <w:rsid w:val="00E31291"/>
    <w:rsid w:val="00E312F8"/>
    <w:rsid w:val="00E31385"/>
    <w:rsid w:val="00E315CC"/>
    <w:rsid w:val="00E315D0"/>
    <w:rsid w:val="00E3161C"/>
    <w:rsid w:val="00E31620"/>
    <w:rsid w:val="00E31642"/>
    <w:rsid w:val="00E316B2"/>
    <w:rsid w:val="00E317B3"/>
    <w:rsid w:val="00E31981"/>
    <w:rsid w:val="00E31A0A"/>
    <w:rsid w:val="00E31A1E"/>
    <w:rsid w:val="00E31B0C"/>
    <w:rsid w:val="00E31B29"/>
    <w:rsid w:val="00E31B5A"/>
    <w:rsid w:val="00E31C00"/>
    <w:rsid w:val="00E31C22"/>
    <w:rsid w:val="00E31C99"/>
    <w:rsid w:val="00E31D64"/>
    <w:rsid w:val="00E31D99"/>
    <w:rsid w:val="00E31FAD"/>
    <w:rsid w:val="00E3206E"/>
    <w:rsid w:val="00E320B5"/>
    <w:rsid w:val="00E32109"/>
    <w:rsid w:val="00E3217C"/>
    <w:rsid w:val="00E321D7"/>
    <w:rsid w:val="00E32412"/>
    <w:rsid w:val="00E324C3"/>
    <w:rsid w:val="00E32629"/>
    <w:rsid w:val="00E3269F"/>
    <w:rsid w:val="00E32984"/>
    <w:rsid w:val="00E3299D"/>
    <w:rsid w:val="00E329A4"/>
    <w:rsid w:val="00E32A89"/>
    <w:rsid w:val="00E32C07"/>
    <w:rsid w:val="00E32F59"/>
    <w:rsid w:val="00E32F9B"/>
    <w:rsid w:val="00E3300A"/>
    <w:rsid w:val="00E3304E"/>
    <w:rsid w:val="00E3306C"/>
    <w:rsid w:val="00E330CC"/>
    <w:rsid w:val="00E330CF"/>
    <w:rsid w:val="00E330DB"/>
    <w:rsid w:val="00E330E9"/>
    <w:rsid w:val="00E33101"/>
    <w:rsid w:val="00E332F7"/>
    <w:rsid w:val="00E333BE"/>
    <w:rsid w:val="00E334E7"/>
    <w:rsid w:val="00E334EC"/>
    <w:rsid w:val="00E335AE"/>
    <w:rsid w:val="00E33612"/>
    <w:rsid w:val="00E33613"/>
    <w:rsid w:val="00E33630"/>
    <w:rsid w:val="00E336E0"/>
    <w:rsid w:val="00E3371B"/>
    <w:rsid w:val="00E33755"/>
    <w:rsid w:val="00E337EC"/>
    <w:rsid w:val="00E33879"/>
    <w:rsid w:val="00E338E7"/>
    <w:rsid w:val="00E33B0B"/>
    <w:rsid w:val="00E33B60"/>
    <w:rsid w:val="00E33B74"/>
    <w:rsid w:val="00E33D05"/>
    <w:rsid w:val="00E33E7E"/>
    <w:rsid w:val="00E33EFF"/>
    <w:rsid w:val="00E33F41"/>
    <w:rsid w:val="00E33F46"/>
    <w:rsid w:val="00E33F64"/>
    <w:rsid w:val="00E3402B"/>
    <w:rsid w:val="00E3408D"/>
    <w:rsid w:val="00E3417B"/>
    <w:rsid w:val="00E3433E"/>
    <w:rsid w:val="00E3449E"/>
    <w:rsid w:val="00E34577"/>
    <w:rsid w:val="00E345C7"/>
    <w:rsid w:val="00E3460A"/>
    <w:rsid w:val="00E3460E"/>
    <w:rsid w:val="00E3468A"/>
    <w:rsid w:val="00E348B9"/>
    <w:rsid w:val="00E348C7"/>
    <w:rsid w:val="00E34E02"/>
    <w:rsid w:val="00E34E88"/>
    <w:rsid w:val="00E350C9"/>
    <w:rsid w:val="00E350F7"/>
    <w:rsid w:val="00E351DB"/>
    <w:rsid w:val="00E3520B"/>
    <w:rsid w:val="00E3523D"/>
    <w:rsid w:val="00E35243"/>
    <w:rsid w:val="00E352A1"/>
    <w:rsid w:val="00E352B0"/>
    <w:rsid w:val="00E352FC"/>
    <w:rsid w:val="00E35372"/>
    <w:rsid w:val="00E35391"/>
    <w:rsid w:val="00E353A2"/>
    <w:rsid w:val="00E35529"/>
    <w:rsid w:val="00E35585"/>
    <w:rsid w:val="00E355D1"/>
    <w:rsid w:val="00E356AC"/>
    <w:rsid w:val="00E35768"/>
    <w:rsid w:val="00E3590C"/>
    <w:rsid w:val="00E3591A"/>
    <w:rsid w:val="00E359DE"/>
    <w:rsid w:val="00E35A6C"/>
    <w:rsid w:val="00E35B18"/>
    <w:rsid w:val="00E35B51"/>
    <w:rsid w:val="00E35C81"/>
    <w:rsid w:val="00E35EA0"/>
    <w:rsid w:val="00E35FD5"/>
    <w:rsid w:val="00E35FF7"/>
    <w:rsid w:val="00E36048"/>
    <w:rsid w:val="00E360C7"/>
    <w:rsid w:val="00E361A9"/>
    <w:rsid w:val="00E362A5"/>
    <w:rsid w:val="00E363A1"/>
    <w:rsid w:val="00E36468"/>
    <w:rsid w:val="00E36469"/>
    <w:rsid w:val="00E364A7"/>
    <w:rsid w:val="00E364FC"/>
    <w:rsid w:val="00E3675E"/>
    <w:rsid w:val="00E3676D"/>
    <w:rsid w:val="00E3684D"/>
    <w:rsid w:val="00E368AD"/>
    <w:rsid w:val="00E36969"/>
    <w:rsid w:val="00E369D0"/>
    <w:rsid w:val="00E369DF"/>
    <w:rsid w:val="00E36AB0"/>
    <w:rsid w:val="00E36AD7"/>
    <w:rsid w:val="00E36AEC"/>
    <w:rsid w:val="00E36B4B"/>
    <w:rsid w:val="00E36B83"/>
    <w:rsid w:val="00E36C6C"/>
    <w:rsid w:val="00E36CB1"/>
    <w:rsid w:val="00E36CB6"/>
    <w:rsid w:val="00E36DBD"/>
    <w:rsid w:val="00E36E05"/>
    <w:rsid w:val="00E36E65"/>
    <w:rsid w:val="00E36E8C"/>
    <w:rsid w:val="00E36F79"/>
    <w:rsid w:val="00E3708C"/>
    <w:rsid w:val="00E3708F"/>
    <w:rsid w:val="00E37179"/>
    <w:rsid w:val="00E37182"/>
    <w:rsid w:val="00E37234"/>
    <w:rsid w:val="00E372E9"/>
    <w:rsid w:val="00E37422"/>
    <w:rsid w:val="00E37432"/>
    <w:rsid w:val="00E3743E"/>
    <w:rsid w:val="00E374E0"/>
    <w:rsid w:val="00E3762D"/>
    <w:rsid w:val="00E3768C"/>
    <w:rsid w:val="00E3770B"/>
    <w:rsid w:val="00E37719"/>
    <w:rsid w:val="00E3774B"/>
    <w:rsid w:val="00E3774F"/>
    <w:rsid w:val="00E377AF"/>
    <w:rsid w:val="00E37822"/>
    <w:rsid w:val="00E378D3"/>
    <w:rsid w:val="00E378F5"/>
    <w:rsid w:val="00E37AA1"/>
    <w:rsid w:val="00E37AA3"/>
    <w:rsid w:val="00E37AD6"/>
    <w:rsid w:val="00E37B03"/>
    <w:rsid w:val="00E37C06"/>
    <w:rsid w:val="00E37C51"/>
    <w:rsid w:val="00E37DE0"/>
    <w:rsid w:val="00E37E5C"/>
    <w:rsid w:val="00E37EB7"/>
    <w:rsid w:val="00E37EBD"/>
    <w:rsid w:val="00E37FAA"/>
    <w:rsid w:val="00E37FF5"/>
    <w:rsid w:val="00E4008B"/>
    <w:rsid w:val="00E400E9"/>
    <w:rsid w:val="00E40189"/>
    <w:rsid w:val="00E401BC"/>
    <w:rsid w:val="00E401CF"/>
    <w:rsid w:val="00E401E3"/>
    <w:rsid w:val="00E40231"/>
    <w:rsid w:val="00E40265"/>
    <w:rsid w:val="00E4026C"/>
    <w:rsid w:val="00E40407"/>
    <w:rsid w:val="00E404E5"/>
    <w:rsid w:val="00E40551"/>
    <w:rsid w:val="00E4069A"/>
    <w:rsid w:val="00E406BC"/>
    <w:rsid w:val="00E40807"/>
    <w:rsid w:val="00E40968"/>
    <w:rsid w:val="00E40A1E"/>
    <w:rsid w:val="00E40A59"/>
    <w:rsid w:val="00E40A6F"/>
    <w:rsid w:val="00E40BAC"/>
    <w:rsid w:val="00E40BD6"/>
    <w:rsid w:val="00E40CA7"/>
    <w:rsid w:val="00E40DA5"/>
    <w:rsid w:val="00E40E14"/>
    <w:rsid w:val="00E40EE7"/>
    <w:rsid w:val="00E40FCD"/>
    <w:rsid w:val="00E40FE7"/>
    <w:rsid w:val="00E4100D"/>
    <w:rsid w:val="00E4106C"/>
    <w:rsid w:val="00E410D8"/>
    <w:rsid w:val="00E41188"/>
    <w:rsid w:val="00E4119F"/>
    <w:rsid w:val="00E411C2"/>
    <w:rsid w:val="00E411FE"/>
    <w:rsid w:val="00E412CB"/>
    <w:rsid w:val="00E412DF"/>
    <w:rsid w:val="00E413B0"/>
    <w:rsid w:val="00E413B6"/>
    <w:rsid w:val="00E4156E"/>
    <w:rsid w:val="00E41626"/>
    <w:rsid w:val="00E41692"/>
    <w:rsid w:val="00E416A1"/>
    <w:rsid w:val="00E416F4"/>
    <w:rsid w:val="00E41773"/>
    <w:rsid w:val="00E41849"/>
    <w:rsid w:val="00E4193F"/>
    <w:rsid w:val="00E419AB"/>
    <w:rsid w:val="00E41A50"/>
    <w:rsid w:val="00E41A7C"/>
    <w:rsid w:val="00E41B2A"/>
    <w:rsid w:val="00E41C0F"/>
    <w:rsid w:val="00E41CE7"/>
    <w:rsid w:val="00E41D42"/>
    <w:rsid w:val="00E41E2F"/>
    <w:rsid w:val="00E41E63"/>
    <w:rsid w:val="00E41FF5"/>
    <w:rsid w:val="00E42289"/>
    <w:rsid w:val="00E423E5"/>
    <w:rsid w:val="00E42495"/>
    <w:rsid w:val="00E424B9"/>
    <w:rsid w:val="00E42536"/>
    <w:rsid w:val="00E4254A"/>
    <w:rsid w:val="00E42556"/>
    <w:rsid w:val="00E42726"/>
    <w:rsid w:val="00E4278D"/>
    <w:rsid w:val="00E427F2"/>
    <w:rsid w:val="00E4284F"/>
    <w:rsid w:val="00E42876"/>
    <w:rsid w:val="00E42890"/>
    <w:rsid w:val="00E429C5"/>
    <w:rsid w:val="00E42AF1"/>
    <w:rsid w:val="00E42B34"/>
    <w:rsid w:val="00E42BC4"/>
    <w:rsid w:val="00E42CB0"/>
    <w:rsid w:val="00E42D12"/>
    <w:rsid w:val="00E42D6A"/>
    <w:rsid w:val="00E42DDA"/>
    <w:rsid w:val="00E42EFF"/>
    <w:rsid w:val="00E42FC2"/>
    <w:rsid w:val="00E4316E"/>
    <w:rsid w:val="00E4321B"/>
    <w:rsid w:val="00E43222"/>
    <w:rsid w:val="00E43374"/>
    <w:rsid w:val="00E43448"/>
    <w:rsid w:val="00E43540"/>
    <w:rsid w:val="00E43564"/>
    <w:rsid w:val="00E4356C"/>
    <w:rsid w:val="00E4357F"/>
    <w:rsid w:val="00E435C3"/>
    <w:rsid w:val="00E435D4"/>
    <w:rsid w:val="00E436A7"/>
    <w:rsid w:val="00E437CE"/>
    <w:rsid w:val="00E437EC"/>
    <w:rsid w:val="00E43810"/>
    <w:rsid w:val="00E4386B"/>
    <w:rsid w:val="00E438A3"/>
    <w:rsid w:val="00E43932"/>
    <w:rsid w:val="00E4394C"/>
    <w:rsid w:val="00E43959"/>
    <w:rsid w:val="00E43A42"/>
    <w:rsid w:val="00E43B28"/>
    <w:rsid w:val="00E43D6A"/>
    <w:rsid w:val="00E43E66"/>
    <w:rsid w:val="00E43FB4"/>
    <w:rsid w:val="00E4405D"/>
    <w:rsid w:val="00E440B6"/>
    <w:rsid w:val="00E44183"/>
    <w:rsid w:val="00E441F4"/>
    <w:rsid w:val="00E44206"/>
    <w:rsid w:val="00E44264"/>
    <w:rsid w:val="00E4439D"/>
    <w:rsid w:val="00E4440E"/>
    <w:rsid w:val="00E4456B"/>
    <w:rsid w:val="00E4456F"/>
    <w:rsid w:val="00E44720"/>
    <w:rsid w:val="00E447A6"/>
    <w:rsid w:val="00E44856"/>
    <w:rsid w:val="00E4486B"/>
    <w:rsid w:val="00E44939"/>
    <w:rsid w:val="00E44991"/>
    <w:rsid w:val="00E44B61"/>
    <w:rsid w:val="00E44B9B"/>
    <w:rsid w:val="00E44C9B"/>
    <w:rsid w:val="00E44CC2"/>
    <w:rsid w:val="00E44D09"/>
    <w:rsid w:val="00E44D41"/>
    <w:rsid w:val="00E44DE8"/>
    <w:rsid w:val="00E44F3A"/>
    <w:rsid w:val="00E44F8E"/>
    <w:rsid w:val="00E44FD8"/>
    <w:rsid w:val="00E450D8"/>
    <w:rsid w:val="00E450DD"/>
    <w:rsid w:val="00E45150"/>
    <w:rsid w:val="00E45208"/>
    <w:rsid w:val="00E45486"/>
    <w:rsid w:val="00E4556C"/>
    <w:rsid w:val="00E45580"/>
    <w:rsid w:val="00E455D7"/>
    <w:rsid w:val="00E4572E"/>
    <w:rsid w:val="00E45829"/>
    <w:rsid w:val="00E4586D"/>
    <w:rsid w:val="00E4596E"/>
    <w:rsid w:val="00E459D7"/>
    <w:rsid w:val="00E459EF"/>
    <w:rsid w:val="00E45A15"/>
    <w:rsid w:val="00E45A1D"/>
    <w:rsid w:val="00E45B30"/>
    <w:rsid w:val="00E45B79"/>
    <w:rsid w:val="00E45B81"/>
    <w:rsid w:val="00E45B9D"/>
    <w:rsid w:val="00E45C90"/>
    <w:rsid w:val="00E45E17"/>
    <w:rsid w:val="00E45E64"/>
    <w:rsid w:val="00E45EFE"/>
    <w:rsid w:val="00E4601D"/>
    <w:rsid w:val="00E46124"/>
    <w:rsid w:val="00E4616F"/>
    <w:rsid w:val="00E462A6"/>
    <w:rsid w:val="00E462DD"/>
    <w:rsid w:val="00E46352"/>
    <w:rsid w:val="00E46353"/>
    <w:rsid w:val="00E463A9"/>
    <w:rsid w:val="00E463AE"/>
    <w:rsid w:val="00E464A7"/>
    <w:rsid w:val="00E4662C"/>
    <w:rsid w:val="00E46686"/>
    <w:rsid w:val="00E466D0"/>
    <w:rsid w:val="00E466D3"/>
    <w:rsid w:val="00E46836"/>
    <w:rsid w:val="00E46862"/>
    <w:rsid w:val="00E46878"/>
    <w:rsid w:val="00E46AED"/>
    <w:rsid w:val="00E46C12"/>
    <w:rsid w:val="00E46CF4"/>
    <w:rsid w:val="00E46E25"/>
    <w:rsid w:val="00E46EEE"/>
    <w:rsid w:val="00E46F26"/>
    <w:rsid w:val="00E46FD7"/>
    <w:rsid w:val="00E47081"/>
    <w:rsid w:val="00E47093"/>
    <w:rsid w:val="00E470DC"/>
    <w:rsid w:val="00E472BB"/>
    <w:rsid w:val="00E4739B"/>
    <w:rsid w:val="00E47430"/>
    <w:rsid w:val="00E47517"/>
    <w:rsid w:val="00E47568"/>
    <w:rsid w:val="00E475D2"/>
    <w:rsid w:val="00E4762B"/>
    <w:rsid w:val="00E4775F"/>
    <w:rsid w:val="00E4776C"/>
    <w:rsid w:val="00E47797"/>
    <w:rsid w:val="00E477A6"/>
    <w:rsid w:val="00E478F4"/>
    <w:rsid w:val="00E47A01"/>
    <w:rsid w:val="00E47A37"/>
    <w:rsid w:val="00E47A73"/>
    <w:rsid w:val="00E47B17"/>
    <w:rsid w:val="00E47B4D"/>
    <w:rsid w:val="00E47BA1"/>
    <w:rsid w:val="00E47DA5"/>
    <w:rsid w:val="00E47E16"/>
    <w:rsid w:val="00E47E77"/>
    <w:rsid w:val="00E47F2A"/>
    <w:rsid w:val="00E47F43"/>
    <w:rsid w:val="00E47F97"/>
    <w:rsid w:val="00E47FA7"/>
    <w:rsid w:val="00E47FDE"/>
    <w:rsid w:val="00E500A3"/>
    <w:rsid w:val="00E500A6"/>
    <w:rsid w:val="00E500B2"/>
    <w:rsid w:val="00E501C0"/>
    <w:rsid w:val="00E50244"/>
    <w:rsid w:val="00E50255"/>
    <w:rsid w:val="00E50277"/>
    <w:rsid w:val="00E50284"/>
    <w:rsid w:val="00E50301"/>
    <w:rsid w:val="00E503CF"/>
    <w:rsid w:val="00E50484"/>
    <w:rsid w:val="00E5055C"/>
    <w:rsid w:val="00E505A2"/>
    <w:rsid w:val="00E505C5"/>
    <w:rsid w:val="00E5060A"/>
    <w:rsid w:val="00E50703"/>
    <w:rsid w:val="00E5072B"/>
    <w:rsid w:val="00E50801"/>
    <w:rsid w:val="00E5080D"/>
    <w:rsid w:val="00E508E4"/>
    <w:rsid w:val="00E50929"/>
    <w:rsid w:val="00E509FA"/>
    <w:rsid w:val="00E50AC7"/>
    <w:rsid w:val="00E50B05"/>
    <w:rsid w:val="00E50CB6"/>
    <w:rsid w:val="00E50E77"/>
    <w:rsid w:val="00E50FF3"/>
    <w:rsid w:val="00E510C5"/>
    <w:rsid w:val="00E511C3"/>
    <w:rsid w:val="00E512C6"/>
    <w:rsid w:val="00E512D5"/>
    <w:rsid w:val="00E514AD"/>
    <w:rsid w:val="00E5150C"/>
    <w:rsid w:val="00E51579"/>
    <w:rsid w:val="00E515E9"/>
    <w:rsid w:val="00E51712"/>
    <w:rsid w:val="00E51789"/>
    <w:rsid w:val="00E51799"/>
    <w:rsid w:val="00E51873"/>
    <w:rsid w:val="00E51902"/>
    <w:rsid w:val="00E51974"/>
    <w:rsid w:val="00E519AC"/>
    <w:rsid w:val="00E519B6"/>
    <w:rsid w:val="00E51A1B"/>
    <w:rsid w:val="00E51A1C"/>
    <w:rsid w:val="00E51A8C"/>
    <w:rsid w:val="00E51AB8"/>
    <w:rsid w:val="00E51B0B"/>
    <w:rsid w:val="00E51B49"/>
    <w:rsid w:val="00E51B67"/>
    <w:rsid w:val="00E51B9E"/>
    <w:rsid w:val="00E51BA2"/>
    <w:rsid w:val="00E51BAE"/>
    <w:rsid w:val="00E51C16"/>
    <w:rsid w:val="00E51D8C"/>
    <w:rsid w:val="00E51DD6"/>
    <w:rsid w:val="00E51E3A"/>
    <w:rsid w:val="00E51F00"/>
    <w:rsid w:val="00E51F6D"/>
    <w:rsid w:val="00E5210F"/>
    <w:rsid w:val="00E52197"/>
    <w:rsid w:val="00E521BF"/>
    <w:rsid w:val="00E52284"/>
    <w:rsid w:val="00E523EA"/>
    <w:rsid w:val="00E523F8"/>
    <w:rsid w:val="00E5243B"/>
    <w:rsid w:val="00E526B3"/>
    <w:rsid w:val="00E5270C"/>
    <w:rsid w:val="00E5275F"/>
    <w:rsid w:val="00E52789"/>
    <w:rsid w:val="00E52804"/>
    <w:rsid w:val="00E528A4"/>
    <w:rsid w:val="00E529AE"/>
    <w:rsid w:val="00E529BF"/>
    <w:rsid w:val="00E52AB0"/>
    <w:rsid w:val="00E52B1E"/>
    <w:rsid w:val="00E52BF2"/>
    <w:rsid w:val="00E52EB6"/>
    <w:rsid w:val="00E52FC1"/>
    <w:rsid w:val="00E5307D"/>
    <w:rsid w:val="00E53236"/>
    <w:rsid w:val="00E53278"/>
    <w:rsid w:val="00E532EF"/>
    <w:rsid w:val="00E5367D"/>
    <w:rsid w:val="00E536CF"/>
    <w:rsid w:val="00E5374A"/>
    <w:rsid w:val="00E53821"/>
    <w:rsid w:val="00E53A6F"/>
    <w:rsid w:val="00E53AB9"/>
    <w:rsid w:val="00E53B0E"/>
    <w:rsid w:val="00E53C28"/>
    <w:rsid w:val="00E53C67"/>
    <w:rsid w:val="00E53D35"/>
    <w:rsid w:val="00E53D63"/>
    <w:rsid w:val="00E53DD3"/>
    <w:rsid w:val="00E53DDD"/>
    <w:rsid w:val="00E53E0E"/>
    <w:rsid w:val="00E53F10"/>
    <w:rsid w:val="00E542B1"/>
    <w:rsid w:val="00E544FB"/>
    <w:rsid w:val="00E545A7"/>
    <w:rsid w:val="00E545C2"/>
    <w:rsid w:val="00E5466A"/>
    <w:rsid w:val="00E5488F"/>
    <w:rsid w:val="00E5495E"/>
    <w:rsid w:val="00E549A5"/>
    <w:rsid w:val="00E549FC"/>
    <w:rsid w:val="00E54AA8"/>
    <w:rsid w:val="00E54C97"/>
    <w:rsid w:val="00E54D4F"/>
    <w:rsid w:val="00E54DD1"/>
    <w:rsid w:val="00E54ECD"/>
    <w:rsid w:val="00E54EF6"/>
    <w:rsid w:val="00E54F2A"/>
    <w:rsid w:val="00E5505E"/>
    <w:rsid w:val="00E551A7"/>
    <w:rsid w:val="00E5523E"/>
    <w:rsid w:val="00E5525B"/>
    <w:rsid w:val="00E55263"/>
    <w:rsid w:val="00E55270"/>
    <w:rsid w:val="00E5528A"/>
    <w:rsid w:val="00E5530B"/>
    <w:rsid w:val="00E553C5"/>
    <w:rsid w:val="00E554C4"/>
    <w:rsid w:val="00E554FB"/>
    <w:rsid w:val="00E55573"/>
    <w:rsid w:val="00E55600"/>
    <w:rsid w:val="00E55736"/>
    <w:rsid w:val="00E557AB"/>
    <w:rsid w:val="00E55808"/>
    <w:rsid w:val="00E5581C"/>
    <w:rsid w:val="00E5581F"/>
    <w:rsid w:val="00E55848"/>
    <w:rsid w:val="00E5588C"/>
    <w:rsid w:val="00E55955"/>
    <w:rsid w:val="00E5595A"/>
    <w:rsid w:val="00E55962"/>
    <w:rsid w:val="00E55B43"/>
    <w:rsid w:val="00E55BCA"/>
    <w:rsid w:val="00E55D1E"/>
    <w:rsid w:val="00E55EE4"/>
    <w:rsid w:val="00E55F09"/>
    <w:rsid w:val="00E5602F"/>
    <w:rsid w:val="00E561D5"/>
    <w:rsid w:val="00E561E4"/>
    <w:rsid w:val="00E56231"/>
    <w:rsid w:val="00E562B3"/>
    <w:rsid w:val="00E56366"/>
    <w:rsid w:val="00E56371"/>
    <w:rsid w:val="00E563A0"/>
    <w:rsid w:val="00E5646F"/>
    <w:rsid w:val="00E564E1"/>
    <w:rsid w:val="00E564FB"/>
    <w:rsid w:val="00E5660C"/>
    <w:rsid w:val="00E568DC"/>
    <w:rsid w:val="00E56A15"/>
    <w:rsid w:val="00E56AD4"/>
    <w:rsid w:val="00E56B49"/>
    <w:rsid w:val="00E56BB6"/>
    <w:rsid w:val="00E56BDB"/>
    <w:rsid w:val="00E56D8A"/>
    <w:rsid w:val="00E56DB2"/>
    <w:rsid w:val="00E56DB8"/>
    <w:rsid w:val="00E56E96"/>
    <w:rsid w:val="00E56F89"/>
    <w:rsid w:val="00E57019"/>
    <w:rsid w:val="00E57187"/>
    <w:rsid w:val="00E572CA"/>
    <w:rsid w:val="00E5730C"/>
    <w:rsid w:val="00E57313"/>
    <w:rsid w:val="00E573EC"/>
    <w:rsid w:val="00E5745F"/>
    <w:rsid w:val="00E574A9"/>
    <w:rsid w:val="00E57548"/>
    <w:rsid w:val="00E57550"/>
    <w:rsid w:val="00E5768E"/>
    <w:rsid w:val="00E576DF"/>
    <w:rsid w:val="00E577BB"/>
    <w:rsid w:val="00E578C9"/>
    <w:rsid w:val="00E579D0"/>
    <w:rsid w:val="00E579E4"/>
    <w:rsid w:val="00E57A30"/>
    <w:rsid w:val="00E57A59"/>
    <w:rsid w:val="00E57AAD"/>
    <w:rsid w:val="00E57ACF"/>
    <w:rsid w:val="00E57C01"/>
    <w:rsid w:val="00E57C92"/>
    <w:rsid w:val="00E57E44"/>
    <w:rsid w:val="00E57E54"/>
    <w:rsid w:val="00E57EEA"/>
    <w:rsid w:val="00E57EF5"/>
    <w:rsid w:val="00E60064"/>
    <w:rsid w:val="00E600D4"/>
    <w:rsid w:val="00E6012E"/>
    <w:rsid w:val="00E60178"/>
    <w:rsid w:val="00E60220"/>
    <w:rsid w:val="00E602B0"/>
    <w:rsid w:val="00E60327"/>
    <w:rsid w:val="00E60354"/>
    <w:rsid w:val="00E6042C"/>
    <w:rsid w:val="00E60504"/>
    <w:rsid w:val="00E60653"/>
    <w:rsid w:val="00E608AB"/>
    <w:rsid w:val="00E608C9"/>
    <w:rsid w:val="00E6090F"/>
    <w:rsid w:val="00E60920"/>
    <w:rsid w:val="00E60979"/>
    <w:rsid w:val="00E60A77"/>
    <w:rsid w:val="00E60AC2"/>
    <w:rsid w:val="00E60B3C"/>
    <w:rsid w:val="00E60B55"/>
    <w:rsid w:val="00E60B86"/>
    <w:rsid w:val="00E60C6A"/>
    <w:rsid w:val="00E60EB2"/>
    <w:rsid w:val="00E60EB3"/>
    <w:rsid w:val="00E60ED3"/>
    <w:rsid w:val="00E61083"/>
    <w:rsid w:val="00E6109A"/>
    <w:rsid w:val="00E6110A"/>
    <w:rsid w:val="00E61133"/>
    <w:rsid w:val="00E61152"/>
    <w:rsid w:val="00E611B6"/>
    <w:rsid w:val="00E611BD"/>
    <w:rsid w:val="00E611DA"/>
    <w:rsid w:val="00E6121B"/>
    <w:rsid w:val="00E6124F"/>
    <w:rsid w:val="00E6128A"/>
    <w:rsid w:val="00E61391"/>
    <w:rsid w:val="00E61429"/>
    <w:rsid w:val="00E61459"/>
    <w:rsid w:val="00E61597"/>
    <w:rsid w:val="00E616A3"/>
    <w:rsid w:val="00E616CC"/>
    <w:rsid w:val="00E616D2"/>
    <w:rsid w:val="00E61706"/>
    <w:rsid w:val="00E61710"/>
    <w:rsid w:val="00E6183B"/>
    <w:rsid w:val="00E618EF"/>
    <w:rsid w:val="00E61A62"/>
    <w:rsid w:val="00E61BDC"/>
    <w:rsid w:val="00E61C54"/>
    <w:rsid w:val="00E61CE3"/>
    <w:rsid w:val="00E61D3E"/>
    <w:rsid w:val="00E61D44"/>
    <w:rsid w:val="00E61DED"/>
    <w:rsid w:val="00E61E8D"/>
    <w:rsid w:val="00E61EEC"/>
    <w:rsid w:val="00E61F4C"/>
    <w:rsid w:val="00E62019"/>
    <w:rsid w:val="00E6208E"/>
    <w:rsid w:val="00E6215D"/>
    <w:rsid w:val="00E62175"/>
    <w:rsid w:val="00E621A4"/>
    <w:rsid w:val="00E62244"/>
    <w:rsid w:val="00E62286"/>
    <w:rsid w:val="00E6233B"/>
    <w:rsid w:val="00E62373"/>
    <w:rsid w:val="00E62381"/>
    <w:rsid w:val="00E623CF"/>
    <w:rsid w:val="00E6244D"/>
    <w:rsid w:val="00E6246C"/>
    <w:rsid w:val="00E6247D"/>
    <w:rsid w:val="00E62529"/>
    <w:rsid w:val="00E6266F"/>
    <w:rsid w:val="00E626A3"/>
    <w:rsid w:val="00E627D3"/>
    <w:rsid w:val="00E627D7"/>
    <w:rsid w:val="00E628E0"/>
    <w:rsid w:val="00E62908"/>
    <w:rsid w:val="00E629F1"/>
    <w:rsid w:val="00E62ADC"/>
    <w:rsid w:val="00E62AED"/>
    <w:rsid w:val="00E62AF0"/>
    <w:rsid w:val="00E62B43"/>
    <w:rsid w:val="00E62C02"/>
    <w:rsid w:val="00E62C1F"/>
    <w:rsid w:val="00E62C9E"/>
    <w:rsid w:val="00E62CDD"/>
    <w:rsid w:val="00E62D57"/>
    <w:rsid w:val="00E62D9E"/>
    <w:rsid w:val="00E62E71"/>
    <w:rsid w:val="00E62E8F"/>
    <w:rsid w:val="00E62F85"/>
    <w:rsid w:val="00E631E0"/>
    <w:rsid w:val="00E632DE"/>
    <w:rsid w:val="00E6348B"/>
    <w:rsid w:val="00E634E1"/>
    <w:rsid w:val="00E63508"/>
    <w:rsid w:val="00E6366D"/>
    <w:rsid w:val="00E63689"/>
    <w:rsid w:val="00E636E4"/>
    <w:rsid w:val="00E63781"/>
    <w:rsid w:val="00E637C2"/>
    <w:rsid w:val="00E6381A"/>
    <w:rsid w:val="00E6385D"/>
    <w:rsid w:val="00E6394C"/>
    <w:rsid w:val="00E639C1"/>
    <w:rsid w:val="00E639E9"/>
    <w:rsid w:val="00E63BCC"/>
    <w:rsid w:val="00E63BDE"/>
    <w:rsid w:val="00E63BE1"/>
    <w:rsid w:val="00E63D00"/>
    <w:rsid w:val="00E63E21"/>
    <w:rsid w:val="00E63EF1"/>
    <w:rsid w:val="00E63FF7"/>
    <w:rsid w:val="00E6400C"/>
    <w:rsid w:val="00E6401B"/>
    <w:rsid w:val="00E6413C"/>
    <w:rsid w:val="00E6413E"/>
    <w:rsid w:val="00E641B8"/>
    <w:rsid w:val="00E64202"/>
    <w:rsid w:val="00E64272"/>
    <w:rsid w:val="00E642F8"/>
    <w:rsid w:val="00E6432D"/>
    <w:rsid w:val="00E64385"/>
    <w:rsid w:val="00E64427"/>
    <w:rsid w:val="00E644E4"/>
    <w:rsid w:val="00E644E5"/>
    <w:rsid w:val="00E64512"/>
    <w:rsid w:val="00E645AD"/>
    <w:rsid w:val="00E647B5"/>
    <w:rsid w:val="00E64859"/>
    <w:rsid w:val="00E6491F"/>
    <w:rsid w:val="00E6492E"/>
    <w:rsid w:val="00E649AA"/>
    <w:rsid w:val="00E64B33"/>
    <w:rsid w:val="00E64BE5"/>
    <w:rsid w:val="00E64C14"/>
    <w:rsid w:val="00E64D96"/>
    <w:rsid w:val="00E64E6D"/>
    <w:rsid w:val="00E64F15"/>
    <w:rsid w:val="00E65011"/>
    <w:rsid w:val="00E65040"/>
    <w:rsid w:val="00E6508C"/>
    <w:rsid w:val="00E650B0"/>
    <w:rsid w:val="00E650F2"/>
    <w:rsid w:val="00E65177"/>
    <w:rsid w:val="00E651FF"/>
    <w:rsid w:val="00E652CE"/>
    <w:rsid w:val="00E656AC"/>
    <w:rsid w:val="00E657AF"/>
    <w:rsid w:val="00E657EC"/>
    <w:rsid w:val="00E658A5"/>
    <w:rsid w:val="00E658CE"/>
    <w:rsid w:val="00E658E2"/>
    <w:rsid w:val="00E6599C"/>
    <w:rsid w:val="00E65A77"/>
    <w:rsid w:val="00E65DB7"/>
    <w:rsid w:val="00E65DD1"/>
    <w:rsid w:val="00E65E0C"/>
    <w:rsid w:val="00E65E23"/>
    <w:rsid w:val="00E65E56"/>
    <w:rsid w:val="00E65E83"/>
    <w:rsid w:val="00E65FD0"/>
    <w:rsid w:val="00E660D6"/>
    <w:rsid w:val="00E6638C"/>
    <w:rsid w:val="00E66487"/>
    <w:rsid w:val="00E6650F"/>
    <w:rsid w:val="00E6652F"/>
    <w:rsid w:val="00E666D3"/>
    <w:rsid w:val="00E66745"/>
    <w:rsid w:val="00E66A0C"/>
    <w:rsid w:val="00E66AB1"/>
    <w:rsid w:val="00E66ABC"/>
    <w:rsid w:val="00E66ABE"/>
    <w:rsid w:val="00E66B70"/>
    <w:rsid w:val="00E66C5D"/>
    <w:rsid w:val="00E66C9C"/>
    <w:rsid w:val="00E66CB4"/>
    <w:rsid w:val="00E66D33"/>
    <w:rsid w:val="00E66DA1"/>
    <w:rsid w:val="00E66E06"/>
    <w:rsid w:val="00E66E4C"/>
    <w:rsid w:val="00E66E74"/>
    <w:rsid w:val="00E66E85"/>
    <w:rsid w:val="00E66F8D"/>
    <w:rsid w:val="00E6706E"/>
    <w:rsid w:val="00E671CF"/>
    <w:rsid w:val="00E671D9"/>
    <w:rsid w:val="00E6726C"/>
    <w:rsid w:val="00E672C2"/>
    <w:rsid w:val="00E672CE"/>
    <w:rsid w:val="00E672F7"/>
    <w:rsid w:val="00E67340"/>
    <w:rsid w:val="00E675FA"/>
    <w:rsid w:val="00E67601"/>
    <w:rsid w:val="00E67747"/>
    <w:rsid w:val="00E677C5"/>
    <w:rsid w:val="00E679A6"/>
    <w:rsid w:val="00E67A69"/>
    <w:rsid w:val="00E67D1B"/>
    <w:rsid w:val="00E67D6C"/>
    <w:rsid w:val="00E67DA3"/>
    <w:rsid w:val="00E701C0"/>
    <w:rsid w:val="00E70255"/>
    <w:rsid w:val="00E702AE"/>
    <w:rsid w:val="00E7047D"/>
    <w:rsid w:val="00E70524"/>
    <w:rsid w:val="00E705D0"/>
    <w:rsid w:val="00E7067C"/>
    <w:rsid w:val="00E706A4"/>
    <w:rsid w:val="00E706DE"/>
    <w:rsid w:val="00E706F8"/>
    <w:rsid w:val="00E70738"/>
    <w:rsid w:val="00E70767"/>
    <w:rsid w:val="00E7085F"/>
    <w:rsid w:val="00E708F0"/>
    <w:rsid w:val="00E7097F"/>
    <w:rsid w:val="00E70985"/>
    <w:rsid w:val="00E70AE0"/>
    <w:rsid w:val="00E70B47"/>
    <w:rsid w:val="00E70BBE"/>
    <w:rsid w:val="00E70C2A"/>
    <w:rsid w:val="00E70CC0"/>
    <w:rsid w:val="00E70F67"/>
    <w:rsid w:val="00E70FDD"/>
    <w:rsid w:val="00E7103D"/>
    <w:rsid w:val="00E71075"/>
    <w:rsid w:val="00E7108F"/>
    <w:rsid w:val="00E7124C"/>
    <w:rsid w:val="00E7125E"/>
    <w:rsid w:val="00E712B9"/>
    <w:rsid w:val="00E712CD"/>
    <w:rsid w:val="00E712DE"/>
    <w:rsid w:val="00E71349"/>
    <w:rsid w:val="00E7138F"/>
    <w:rsid w:val="00E71467"/>
    <w:rsid w:val="00E714D7"/>
    <w:rsid w:val="00E71536"/>
    <w:rsid w:val="00E7174F"/>
    <w:rsid w:val="00E717AA"/>
    <w:rsid w:val="00E71919"/>
    <w:rsid w:val="00E71A39"/>
    <w:rsid w:val="00E71A69"/>
    <w:rsid w:val="00E71A90"/>
    <w:rsid w:val="00E71B01"/>
    <w:rsid w:val="00E71B48"/>
    <w:rsid w:val="00E71BCC"/>
    <w:rsid w:val="00E71C7D"/>
    <w:rsid w:val="00E71D1B"/>
    <w:rsid w:val="00E71D5B"/>
    <w:rsid w:val="00E71DBC"/>
    <w:rsid w:val="00E71FCF"/>
    <w:rsid w:val="00E71FE2"/>
    <w:rsid w:val="00E7207F"/>
    <w:rsid w:val="00E721F2"/>
    <w:rsid w:val="00E72210"/>
    <w:rsid w:val="00E7224F"/>
    <w:rsid w:val="00E72291"/>
    <w:rsid w:val="00E7237D"/>
    <w:rsid w:val="00E723EC"/>
    <w:rsid w:val="00E7241D"/>
    <w:rsid w:val="00E7248E"/>
    <w:rsid w:val="00E724BF"/>
    <w:rsid w:val="00E726F1"/>
    <w:rsid w:val="00E72739"/>
    <w:rsid w:val="00E727E1"/>
    <w:rsid w:val="00E727FB"/>
    <w:rsid w:val="00E728BF"/>
    <w:rsid w:val="00E728EF"/>
    <w:rsid w:val="00E729C5"/>
    <w:rsid w:val="00E72ADC"/>
    <w:rsid w:val="00E72B3C"/>
    <w:rsid w:val="00E72C4A"/>
    <w:rsid w:val="00E72DAC"/>
    <w:rsid w:val="00E72E39"/>
    <w:rsid w:val="00E72EEC"/>
    <w:rsid w:val="00E72F24"/>
    <w:rsid w:val="00E72F35"/>
    <w:rsid w:val="00E72F7E"/>
    <w:rsid w:val="00E72F9F"/>
    <w:rsid w:val="00E73064"/>
    <w:rsid w:val="00E7307D"/>
    <w:rsid w:val="00E73091"/>
    <w:rsid w:val="00E73166"/>
    <w:rsid w:val="00E7316D"/>
    <w:rsid w:val="00E731B4"/>
    <w:rsid w:val="00E731CC"/>
    <w:rsid w:val="00E732B9"/>
    <w:rsid w:val="00E7340D"/>
    <w:rsid w:val="00E73418"/>
    <w:rsid w:val="00E734D7"/>
    <w:rsid w:val="00E73544"/>
    <w:rsid w:val="00E73674"/>
    <w:rsid w:val="00E737D4"/>
    <w:rsid w:val="00E73949"/>
    <w:rsid w:val="00E739D6"/>
    <w:rsid w:val="00E739DF"/>
    <w:rsid w:val="00E73A22"/>
    <w:rsid w:val="00E73AFF"/>
    <w:rsid w:val="00E73B75"/>
    <w:rsid w:val="00E73CD1"/>
    <w:rsid w:val="00E73D30"/>
    <w:rsid w:val="00E73E5C"/>
    <w:rsid w:val="00E7401C"/>
    <w:rsid w:val="00E740E2"/>
    <w:rsid w:val="00E74253"/>
    <w:rsid w:val="00E742DD"/>
    <w:rsid w:val="00E742EA"/>
    <w:rsid w:val="00E74340"/>
    <w:rsid w:val="00E74378"/>
    <w:rsid w:val="00E7440B"/>
    <w:rsid w:val="00E744FB"/>
    <w:rsid w:val="00E74621"/>
    <w:rsid w:val="00E7468C"/>
    <w:rsid w:val="00E746D8"/>
    <w:rsid w:val="00E746E9"/>
    <w:rsid w:val="00E74736"/>
    <w:rsid w:val="00E74758"/>
    <w:rsid w:val="00E7475C"/>
    <w:rsid w:val="00E747AD"/>
    <w:rsid w:val="00E74886"/>
    <w:rsid w:val="00E748E6"/>
    <w:rsid w:val="00E7495F"/>
    <w:rsid w:val="00E7497E"/>
    <w:rsid w:val="00E749A8"/>
    <w:rsid w:val="00E749D7"/>
    <w:rsid w:val="00E74A6A"/>
    <w:rsid w:val="00E74AE9"/>
    <w:rsid w:val="00E74B02"/>
    <w:rsid w:val="00E74B6C"/>
    <w:rsid w:val="00E74C07"/>
    <w:rsid w:val="00E74CA3"/>
    <w:rsid w:val="00E74CE1"/>
    <w:rsid w:val="00E74D2C"/>
    <w:rsid w:val="00E74D5E"/>
    <w:rsid w:val="00E74EC4"/>
    <w:rsid w:val="00E74FB2"/>
    <w:rsid w:val="00E750A6"/>
    <w:rsid w:val="00E7528D"/>
    <w:rsid w:val="00E75296"/>
    <w:rsid w:val="00E7532A"/>
    <w:rsid w:val="00E7535A"/>
    <w:rsid w:val="00E75370"/>
    <w:rsid w:val="00E753BC"/>
    <w:rsid w:val="00E75439"/>
    <w:rsid w:val="00E754E3"/>
    <w:rsid w:val="00E7551A"/>
    <w:rsid w:val="00E755BC"/>
    <w:rsid w:val="00E7560C"/>
    <w:rsid w:val="00E7560F"/>
    <w:rsid w:val="00E75653"/>
    <w:rsid w:val="00E75843"/>
    <w:rsid w:val="00E7591B"/>
    <w:rsid w:val="00E7599A"/>
    <w:rsid w:val="00E75B33"/>
    <w:rsid w:val="00E75BCA"/>
    <w:rsid w:val="00E75BFD"/>
    <w:rsid w:val="00E75D6C"/>
    <w:rsid w:val="00E75F66"/>
    <w:rsid w:val="00E75F87"/>
    <w:rsid w:val="00E760A8"/>
    <w:rsid w:val="00E76136"/>
    <w:rsid w:val="00E76189"/>
    <w:rsid w:val="00E761D7"/>
    <w:rsid w:val="00E761E5"/>
    <w:rsid w:val="00E76215"/>
    <w:rsid w:val="00E763BC"/>
    <w:rsid w:val="00E7643C"/>
    <w:rsid w:val="00E76482"/>
    <w:rsid w:val="00E764A5"/>
    <w:rsid w:val="00E76682"/>
    <w:rsid w:val="00E7671E"/>
    <w:rsid w:val="00E768DE"/>
    <w:rsid w:val="00E7698B"/>
    <w:rsid w:val="00E7698D"/>
    <w:rsid w:val="00E76A76"/>
    <w:rsid w:val="00E76A93"/>
    <w:rsid w:val="00E76B3B"/>
    <w:rsid w:val="00E76CEA"/>
    <w:rsid w:val="00E76D58"/>
    <w:rsid w:val="00E76F1D"/>
    <w:rsid w:val="00E76F54"/>
    <w:rsid w:val="00E76FA0"/>
    <w:rsid w:val="00E77203"/>
    <w:rsid w:val="00E77219"/>
    <w:rsid w:val="00E772D1"/>
    <w:rsid w:val="00E772FA"/>
    <w:rsid w:val="00E7730B"/>
    <w:rsid w:val="00E7736A"/>
    <w:rsid w:val="00E773DD"/>
    <w:rsid w:val="00E774F5"/>
    <w:rsid w:val="00E774FC"/>
    <w:rsid w:val="00E77552"/>
    <w:rsid w:val="00E775FA"/>
    <w:rsid w:val="00E77648"/>
    <w:rsid w:val="00E776F8"/>
    <w:rsid w:val="00E77726"/>
    <w:rsid w:val="00E77767"/>
    <w:rsid w:val="00E7778D"/>
    <w:rsid w:val="00E77877"/>
    <w:rsid w:val="00E77935"/>
    <w:rsid w:val="00E779B8"/>
    <w:rsid w:val="00E779FD"/>
    <w:rsid w:val="00E77B2B"/>
    <w:rsid w:val="00E77B34"/>
    <w:rsid w:val="00E77B57"/>
    <w:rsid w:val="00E77C26"/>
    <w:rsid w:val="00E77D08"/>
    <w:rsid w:val="00E77E71"/>
    <w:rsid w:val="00E77E7A"/>
    <w:rsid w:val="00E77F28"/>
    <w:rsid w:val="00E77F55"/>
    <w:rsid w:val="00E77FF0"/>
    <w:rsid w:val="00E800C1"/>
    <w:rsid w:val="00E80175"/>
    <w:rsid w:val="00E801EE"/>
    <w:rsid w:val="00E802B5"/>
    <w:rsid w:val="00E802DF"/>
    <w:rsid w:val="00E8041D"/>
    <w:rsid w:val="00E80440"/>
    <w:rsid w:val="00E80452"/>
    <w:rsid w:val="00E804E4"/>
    <w:rsid w:val="00E8054D"/>
    <w:rsid w:val="00E805F2"/>
    <w:rsid w:val="00E807D5"/>
    <w:rsid w:val="00E80913"/>
    <w:rsid w:val="00E80988"/>
    <w:rsid w:val="00E80A28"/>
    <w:rsid w:val="00E80BB1"/>
    <w:rsid w:val="00E80BD1"/>
    <w:rsid w:val="00E80C15"/>
    <w:rsid w:val="00E80C40"/>
    <w:rsid w:val="00E80C5A"/>
    <w:rsid w:val="00E80CAA"/>
    <w:rsid w:val="00E80E15"/>
    <w:rsid w:val="00E80EEA"/>
    <w:rsid w:val="00E80F7F"/>
    <w:rsid w:val="00E80F86"/>
    <w:rsid w:val="00E80F91"/>
    <w:rsid w:val="00E80F95"/>
    <w:rsid w:val="00E8104E"/>
    <w:rsid w:val="00E81269"/>
    <w:rsid w:val="00E81289"/>
    <w:rsid w:val="00E81325"/>
    <w:rsid w:val="00E813FA"/>
    <w:rsid w:val="00E814AC"/>
    <w:rsid w:val="00E81522"/>
    <w:rsid w:val="00E815A3"/>
    <w:rsid w:val="00E815F6"/>
    <w:rsid w:val="00E81663"/>
    <w:rsid w:val="00E81724"/>
    <w:rsid w:val="00E817AF"/>
    <w:rsid w:val="00E817B5"/>
    <w:rsid w:val="00E817D1"/>
    <w:rsid w:val="00E81841"/>
    <w:rsid w:val="00E8184B"/>
    <w:rsid w:val="00E819CB"/>
    <w:rsid w:val="00E81AA3"/>
    <w:rsid w:val="00E81AAC"/>
    <w:rsid w:val="00E81B5E"/>
    <w:rsid w:val="00E81BBC"/>
    <w:rsid w:val="00E81BE3"/>
    <w:rsid w:val="00E81C1B"/>
    <w:rsid w:val="00E81C52"/>
    <w:rsid w:val="00E81C65"/>
    <w:rsid w:val="00E81D10"/>
    <w:rsid w:val="00E81EBA"/>
    <w:rsid w:val="00E81ED1"/>
    <w:rsid w:val="00E81FB0"/>
    <w:rsid w:val="00E82023"/>
    <w:rsid w:val="00E8204F"/>
    <w:rsid w:val="00E820F3"/>
    <w:rsid w:val="00E8233B"/>
    <w:rsid w:val="00E8235D"/>
    <w:rsid w:val="00E82378"/>
    <w:rsid w:val="00E82384"/>
    <w:rsid w:val="00E823A3"/>
    <w:rsid w:val="00E824DA"/>
    <w:rsid w:val="00E82535"/>
    <w:rsid w:val="00E826C1"/>
    <w:rsid w:val="00E8275E"/>
    <w:rsid w:val="00E828BE"/>
    <w:rsid w:val="00E8291F"/>
    <w:rsid w:val="00E82A19"/>
    <w:rsid w:val="00E82A42"/>
    <w:rsid w:val="00E82A7A"/>
    <w:rsid w:val="00E82A8D"/>
    <w:rsid w:val="00E82AF2"/>
    <w:rsid w:val="00E82B26"/>
    <w:rsid w:val="00E82BA5"/>
    <w:rsid w:val="00E82C0F"/>
    <w:rsid w:val="00E82C31"/>
    <w:rsid w:val="00E82CAC"/>
    <w:rsid w:val="00E82D59"/>
    <w:rsid w:val="00E82EDB"/>
    <w:rsid w:val="00E82EF8"/>
    <w:rsid w:val="00E82F15"/>
    <w:rsid w:val="00E82F37"/>
    <w:rsid w:val="00E83094"/>
    <w:rsid w:val="00E83136"/>
    <w:rsid w:val="00E83152"/>
    <w:rsid w:val="00E831B7"/>
    <w:rsid w:val="00E831BC"/>
    <w:rsid w:val="00E832EC"/>
    <w:rsid w:val="00E8334A"/>
    <w:rsid w:val="00E83404"/>
    <w:rsid w:val="00E83446"/>
    <w:rsid w:val="00E83509"/>
    <w:rsid w:val="00E8357C"/>
    <w:rsid w:val="00E8375F"/>
    <w:rsid w:val="00E83766"/>
    <w:rsid w:val="00E8377A"/>
    <w:rsid w:val="00E8381C"/>
    <w:rsid w:val="00E83838"/>
    <w:rsid w:val="00E839E8"/>
    <w:rsid w:val="00E839EF"/>
    <w:rsid w:val="00E83A78"/>
    <w:rsid w:val="00E83A8C"/>
    <w:rsid w:val="00E83A98"/>
    <w:rsid w:val="00E83B82"/>
    <w:rsid w:val="00E83BD1"/>
    <w:rsid w:val="00E83C26"/>
    <w:rsid w:val="00E83D76"/>
    <w:rsid w:val="00E83DEA"/>
    <w:rsid w:val="00E83E28"/>
    <w:rsid w:val="00E83E2F"/>
    <w:rsid w:val="00E83FC4"/>
    <w:rsid w:val="00E83FF6"/>
    <w:rsid w:val="00E84041"/>
    <w:rsid w:val="00E84215"/>
    <w:rsid w:val="00E842A0"/>
    <w:rsid w:val="00E842A1"/>
    <w:rsid w:val="00E84321"/>
    <w:rsid w:val="00E844AB"/>
    <w:rsid w:val="00E84530"/>
    <w:rsid w:val="00E846C4"/>
    <w:rsid w:val="00E847EE"/>
    <w:rsid w:val="00E84823"/>
    <w:rsid w:val="00E84842"/>
    <w:rsid w:val="00E848AE"/>
    <w:rsid w:val="00E848E2"/>
    <w:rsid w:val="00E84A4F"/>
    <w:rsid w:val="00E84A71"/>
    <w:rsid w:val="00E84B21"/>
    <w:rsid w:val="00E84C37"/>
    <w:rsid w:val="00E84C63"/>
    <w:rsid w:val="00E84D82"/>
    <w:rsid w:val="00E84D8A"/>
    <w:rsid w:val="00E84F93"/>
    <w:rsid w:val="00E84FD5"/>
    <w:rsid w:val="00E85066"/>
    <w:rsid w:val="00E8512C"/>
    <w:rsid w:val="00E85198"/>
    <w:rsid w:val="00E851D1"/>
    <w:rsid w:val="00E85272"/>
    <w:rsid w:val="00E852CE"/>
    <w:rsid w:val="00E85313"/>
    <w:rsid w:val="00E854F3"/>
    <w:rsid w:val="00E8553B"/>
    <w:rsid w:val="00E8587B"/>
    <w:rsid w:val="00E85919"/>
    <w:rsid w:val="00E85921"/>
    <w:rsid w:val="00E8596B"/>
    <w:rsid w:val="00E859EB"/>
    <w:rsid w:val="00E85AC3"/>
    <w:rsid w:val="00E85BE7"/>
    <w:rsid w:val="00E85CC1"/>
    <w:rsid w:val="00E85DDF"/>
    <w:rsid w:val="00E85EDE"/>
    <w:rsid w:val="00E85F1C"/>
    <w:rsid w:val="00E85F2D"/>
    <w:rsid w:val="00E85F52"/>
    <w:rsid w:val="00E85FF8"/>
    <w:rsid w:val="00E86208"/>
    <w:rsid w:val="00E862F2"/>
    <w:rsid w:val="00E8632D"/>
    <w:rsid w:val="00E86337"/>
    <w:rsid w:val="00E86360"/>
    <w:rsid w:val="00E86369"/>
    <w:rsid w:val="00E863A7"/>
    <w:rsid w:val="00E86428"/>
    <w:rsid w:val="00E864C8"/>
    <w:rsid w:val="00E8659A"/>
    <w:rsid w:val="00E867B4"/>
    <w:rsid w:val="00E86807"/>
    <w:rsid w:val="00E86936"/>
    <w:rsid w:val="00E869B3"/>
    <w:rsid w:val="00E869E5"/>
    <w:rsid w:val="00E86A52"/>
    <w:rsid w:val="00E86B05"/>
    <w:rsid w:val="00E86B3F"/>
    <w:rsid w:val="00E86C10"/>
    <w:rsid w:val="00E86C55"/>
    <w:rsid w:val="00E86C60"/>
    <w:rsid w:val="00E86C97"/>
    <w:rsid w:val="00E86CCF"/>
    <w:rsid w:val="00E86D6B"/>
    <w:rsid w:val="00E86D8B"/>
    <w:rsid w:val="00E86DD8"/>
    <w:rsid w:val="00E86E5F"/>
    <w:rsid w:val="00E86EED"/>
    <w:rsid w:val="00E86FF8"/>
    <w:rsid w:val="00E87090"/>
    <w:rsid w:val="00E87219"/>
    <w:rsid w:val="00E872FE"/>
    <w:rsid w:val="00E87338"/>
    <w:rsid w:val="00E873A1"/>
    <w:rsid w:val="00E8741D"/>
    <w:rsid w:val="00E8764C"/>
    <w:rsid w:val="00E876AA"/>
    <w:rsid w:val="00E876C0"/>
    <w:rsid w:val="00E876CB"/>
    <w:rsid w:val="00E87703"/>
    <w:rsid w:val="00E87809"/>
    <w:rsid w:val="00E878E6"/>
    <w:rsid w:val="00E8795D"/>
    <w:rsid w:val="00E8797D"/>
    <w:rsid w:val="00E879A9"/>
    <w:rsid w:val="00E879B2"/>
    <w:rsid w:val="00E87AA8"/>
    <w:rsid w:val="00E87B0F"/>
    <w:rsid w:val="00E87B33"/>
    <w:rsid w:val="00E87BC6"/>
    <w:rsid w:val="00E87D43"/>
    <w:rsid w:val="00E87D67"/>
    <w:rsid w:val="00E87EAA"/>
    <w:rsid w:val="00E87F29"/>
    <w:rsid w:val="00E87F40"/>
    <w:rsid w:val="00E900E8"/>
    <w:rsid w:val="00E90264"/>
    <w:rsid w:val="00E902C2"/>
    <w:rsid w:val="00E9037B"/>
    <w:rsid w:val="00E904EA"/>
    <w:rsid w:val="00E9056E"/>
    <w:rsid w:val="00E905B3"/>
    <w:rsid w:val="00E905FC"/>
    <w:rsid w:val="00E9063D"/>
    <w:rsid w:val="00E90648"/>
    <w:rsid w:val="00E907B8"/>
    <w:rsid w:val="00E90827"/>
    <w:rsid w:val="00E9090B"/>
    <w:rsid w:val="00E909B8"/>
    <w:rsid w:val="00E90AC2"/>
    <w:rsid w:val="00E90B46"/>
    <w:rsid w:val="00E90E1A"/>
    <w:rsid w:val="00E90E42"/>
    <w:rsid w:val="00E90EEB"/>
    <w:rsid w:val="00E90F72"/>
    <w:rsid w:val="00E91012"/>
    <w:rsid w:val="00E9101B"/>
    <w:rsid w:val="00E9109F"/>
    <w:rsid w:val="00E91167"/>
    <w:rsid w:val="00E91180"/>
    <w:rsid w:val="00E91250"/>
    <w:rsid w:val="00E91262"/>
    <w:rsid w:val="00E9129D"/>
    <w:rsid w:val="00E91325"/>
    <w:rsid w:val="00E91443"/>
    <w:rsid w:val="00E9144C"/>
    <w:rsid w:val="00E9145C"/>
    <w:rsid w:val="00E91478"/>
    <w:rsid w:val="00E91513"/>
    <w:rsid w:val="00E91541"/>
    <w:rsid w:val="00E9167F"/>
    <w:rsid w:val="00E916F8"/>
    <w:rsid w:val="00E917CB"/>
    <w:rsid w:val="00E917E1"/>
    <w:rsid w:val="00E9187A"/>
    <w:rsid w:val="00E918D2"/>
    <w:rsid w:val="00E9191D"/>
    <w:rsid w:val="00E91945"/>
    <w:rsid w:val="00E919E9"/>
    <w:rsid w:val="00E919F4"/>
    <w:rsid w:val="00E91B15"/>
    <w:rsid w:val="00E91C05"/>
    <w:rsid w:val="00E91C70"/>
    <w:rsid w:val="00E91DDC"/>
    <w:rsid w:val="00E91E33"/>
    <w:rsid w:val="00E91ED8"/>
    <w:rsid w:val="00E91F3A"/>
    <w:rsid w:val="00E91F52"/>
    <w:rsid w:val="00E9213B"/>
    <w:rsid w:val="00E9224F"/>
    <w:rsid w:val="00E922B9"/>
    <w:rsid w:val="00E922E1"/>
    <w:rsid w:val="00E9238E"/>
    <w:rsid w:val="00E923B2"/>
    <w:rsid w:val="00E924B7"/>
    <w:rsid w:val="00E92524"/>
    <w:rsid w:val="00E9253B"/>
    <w:rsid w:val="00E925BD"/>
    <w:rsid w:val="00E9273F"/>
    <w:rsid w:val="00E929C5"/>
    <w:rsid w:val="00E92A6B"/>
    <w:rsid w:val="00E92B02"/>
    <w:rsid w:val="00E92BD6"/>
    <w:rsid w:val="00E92C22"/>
    <w:rsid w:val="00E92CFC"/>
    <w:rsid w:val="00E92E0B"/>
    <w:rsid w:val="00E92E7E"/>
    <w:rsid w:val="00E92EDE"/>
    <w:rsid w:val="00E92F00"/>
    <w:rsid w:val="00E92F06"/>
    <w:rsid w:val="00E92F0C"/>
    <w:rsid w:val="00E930D7"/>
    <w:rsid w:val="00E9313D"/>
    <w:rsid w:val="00E931D4"/>
    <w:rsid w:val="00E93213"/>
    <w:rsid w:val="00E93252"/>
    <w:rsid w:val="00E9349C"/>
    <w:rsid w:val="00E9364F"/>
    <w:rsid w:val="00E93680"/>
    <w:rsid w:val="00E937AC"/>
    <w:rsid w:val="00E937B3"/>
    <w:rsid w:val="00E937D8"/>
    <w:rsid w:val="00E9380F"/>
    <w:rsid w:val="00E93831"/>
    <w:rsid w:val="00E93967"/>
    <w:rsid w:val="00E9399F"/>
    <w:rsid w:val="00E939FB"/>
    <w:rsid w:val="00E93A3F"/>
    <w:rsid w:val="00E93A65"/>
    <w:rsid w:val="00E93AD9"/>
    <w:rsid w:val="00E93C22"/>
    <w:rsid w:val="00E93C6D"/>
    <w:rsid w:val="00E93E87"/>
    <w:rsid w:val="00E93EAE"/>
    <w:rsid w:val="00E93F15"/>
    <w:rsid w:val="00E93F6B"/>
    <w:rsid w:val="00E940C7"/>
    <w:rsid w:val="00E9410A"/>
    <w:rsid w:val="00E941CD"/>
    <w:rsid w:val="00E9420D"/>
    <w:rsid w:val="00E94268"/>
    <w:rsid w:val="00E94282"/>
    <w:rsid w:val="00E9428B"/>
    <w:rsid w:val="00E94305"/>
    <w:rsid w:val="00E9434A"/>
    <w:rsid w:val="00E9441E"/>
    <w:rsid w:val="00E94440"/>
    <w:rsid w:val="00E944F1"/>
    <w:rsid w:val="00E9451B"/>
    <w:rsid w:val="00E94559"/>
    <w:rsid w:val="00E94647"/>
    <w:rsid w:val="00E94661"/>
    <w:rsid w:val="00E9467F"/>
    <w:rsid w:val="00E9470F"/>
    <w:rsid w:val="00E94936"/>
    <w:rsid w:val="00E94940"/>
    <w:rsid w:val="00E949D6"/>
    <w:rsid w:val="00E949EC"/>
    <w:rsid w:val="00E94B5E"/>
    <w:rsid w:val="00E94D84"/>
    <w:rsid w:val="00E94DB7"/>
    <w:rsid w:val="00E94DCC"/>
    <w:rsid w:val="00E94DE7"/>
    <w:rsid w:val="00E94E39"/>
    <w:rsid w:val="00E94F09"/>
    <w:rsid w:val="00E94FC9"/>
    <w:rsid w:val="00E94FE1"/>
    <w:rsid w:val="00E94FEF"/>
    <w:rsid w:val="00E950E7"/>
    <w:rsid w:val="00E95114"/>
    <w:rsid w:val="00E95152"/>
    <w:rsid w:val="00E951B9"/>
    <w:rsid w:val="00E95322"/>
    <w:rsid w:val="00E953F6"/>
    <w:rsid w:val="00E95476"/>
    <w:rsid w:val="00E954B3"/>
    <w:rsid w:val="00E955EE"/>
    <w:rsid w:val="00E95613"/>
    <w:rsid w:val="00E95627"/>
    <w:rsid w:val="00E956C0"/>
    <w:rsid w:val="00E957A7"/>
    <w:rsid w:val="00E95813"/>
    <w:rsid w:val="00E959D1"/>
    <w:rsid w:val="00E959E5"/>
    <w:rsid w:val="00E95A48"/>
    <w:rsid w:val="00E95A93"/>
    <w:rsid w:val="00E95AC8"/>
    <w:rsid w:val="00E95B42"/>
    <w:rsid w:val="00E95BC7"/>
    <w:rsid w:val="00E95C04"/>
    <w:rsid w:val="00E95C64"/>
    <w:rsid w:val="00E95D07"/>
    <w:rsid w:val="00E95E94"/>
    <w:rsid w:val="00E95EA9"/>
    <w:rsid w:val="00E95F3F"/>
    <w:rsid w:val="00E95FF8"/>
    <w:rsid w:val="00E9607B"/>
    <w:rsid w:val="00E9607D"/>
    <w:rsid w:val="00E96086"/>
    <w:rsid w:val="00E960DB"/>
    <w:rsid w:val="00E96191"/>
    <w:rsid w:val="00E961A8"/>
    <w:rsid w:val="00E961EB"/>
    <w:rsid w:val="00E961F1"/>
    <w:rsid w:val="00E96471"/>
    <w:rsid w:val="00E96582"/>
    <w:rsid w:val="00E965D0"/>
    <w:rsid w:val="00E965D2"/>
    <w:rsid w:val="00E965F5"/>
    <w:rsid w:val="00E9675C"/>
    <w:rsid w:val="00E9679E"/>
    <w:rsid w:val="00E96822"/>
    <w:rsid w:val="00E9685C"/>
    <w:rsid w:val="00E968F9"/>
    <w:rsid w:val="00E969CD"/>
    <w:rsid w:val="00E969FA"/>
    <w:rsid w:val="00E96A24"/>
    <w:rsid w:val="00E96A49"/>
    <w:rsid w:val="00E96A50"/>
    <w:rsid w:val="00E96B4B"/>
    <w:rsid w:val="00E96C42"/>
    <w:rsid w:val="00E96E5B"/>
    <w:rsid w:val="00E96E7B"/>
    <w:rsid w:val="00E96E86"/>
    <w:rsid w:val="00E96EB9"/>
    <w:rsid w:val="00E96F11"/>
    <w:rsid w:val="00E9700D"/>
    <w:rsid w:val="00E97063"/>
    <w:rsid w:val="00E9718D"/>
    <w:rsid w:val="00E9724E"/>
    <w:rsid w:val="00E9732C"/>
    <w:rsid w:val="00E9732D"/>
    <w:rsid w:val="00E9733C"/>
    <w:rsid w:val="00E9737D"/>
    <w:rsid w:val="00E97389"/>
    <w:rsid w:val="00E97420"/>
    <w:rsid w:val="00E97519"/>
    <w:rsid w:val="00E97541"/>
    <w:rsid w:val="00E97577"/>
    <w:rsid w:val="00E97587"/>
    <w:rsid w:val="00E9758C"/>
    <w:rsid w:val="00E97592"/>
    <w:rsid w:val="00E975A1"/>
    <w:rsid w:val="00E97646"/>
    <w:rsid w:val="00E9767F"/>
    <w:rsid w:val="00E97738"/>
    <w:rsid w:val="00E9787E"/>
    <w:rsid w:val="00E97881"/>
    <w:rsid w:val="00E978B6"/>
    <w:rsid w:val="00E9792E"/>
    <w:rsid w:val="00E97A0C"/>
    <w:rsid w:val="00E97A86"/>
    <w:rsid w:val="00E97C23"/>
    <w:rsid w:val="00E97DE1"/>
    <w:rsid w:val="00E97E40"/>
    <w:rsid w:val="00E97E47"/>
    <w:rsid w:val="00E97E9A"/>
    <w:rsid w:val="00E97F39"/>
    <w:rsid w:val="00E97F4A"/>
    <w:rsid w:val="00E97F56"/>
    <w:rsid w:val="00E97F6D"/>
    <w:rsid w:val="00E97FA0"/>
    <w:rsid w:val="00EA0074"/>
    <w:rsid w:val="00EA018F"/>
    <w:rsid w:val="00EA02DC"/>
    <w:rsid w:val="00EA03B3"/>
    <w:rsid w:val="00EA0442"/>
    <w:rsid w:val="00EA053A"/>
    <w:rsid w:val="00EA0565"/>
    <w:rsid w:val="00EA05D4"/>
    <w:rsid w:val="00EA067C"/>
    <w:rsid w:val="00EA069F"/>
    <w:rsid w:val="00EA06AE"/>
    <w:rsid w:val="00EA06BA"/>
    <w:rsid w:val="00EA0816"/>
    <w:rsid w:val="00EA08F2"/>
    <w:rsid w:val="00EA0905"/>
    <w:rsid w:val="00EA0981"/>
    <w:rsid w:val="00EA0A4A"/>
    <w:rsid w:val="00EA0A69"/>
    <w:rsid w:val="00EA0B5E"/>
    <w:rsid w:val="00EA0B74"/>
    <w:rsid w:val="00EA0C2A"/>
    <w:rsid w:val="00EA0C93"/>
    <w:rsid w:val="00EA0D80"/>
    <w:rsid w:val="00EA10F7"/>
    <w:rsid w:val="00EA1276"/>
    <w:rsid w:val="00EA1281"/>
    <w:rsid w:val="00EA1326"/>
    <w:rsid w:val="00EA1365"/>
    <w:rsid w:val="00EA1369"/>
    <w:rsid w:val="00EA1491"/>
    <w:rsid w:val="00EA14FE"/>
    <w:rsid w:val="00EA150C"/>
    <w:rsid w:val="00EA1521"/>
    <w:rsid w:val="00EA15D9"/>
    <w:rsid w:val="00EA1680"/>
    <w:rsid w:val="00EA1696"/>
    <w:rsid w:val="00EA1814"/>
    <w:rsid w:val="00EA1A29"/>
    <w:rsid w:val="00EA1A35"/>
    <w:rsid w:val="00EA1AF1"/>
    <w:rsid w:val="00EA1B96"/>
    <w:rsid w:val="00EA1BF0"/>
    <w:rsid w:val="00EA1C60"/>
    <w:rsid w:val="00EA1C93"/>
    <w:rsid w:val="00EA1CD3"/>
    <w:rsid w:val="00EA1CD7"/>
    <w:rsid w:val="00EA1D25"/>
    <w:rsid w:val="00EA1D62"/>
    <w:rsid w:val="00EA1F55"/>
    <w:rsid w:val="00EA1F88"/>
    <w:rsid w:val="00EA1FB1"/>
    <w:rsid w:val="00EA1FB3"/>
    <w:rsid w:val="00EA1FE3"/>
    <w:rsid w:val="00EA2037"/>
    <w:rsid w:val="00EA20C6"/>
    <w:rsid w:val="00EA20F5"/>
    <w:rsid w:val="00EA2171"/>
    <w:rsid w:val="00EA21D5"/>
    <w:rsid w:val="00EA22D6"/>
    <w:rsid w:val="00EA2389"/>
    <w:rsid w:val="00EA2412"/>
    <w:rsid w:val="00EA2458"/>
    <w:rsid w:val="00EA24A7"/>
    <w:rsid w:val="00EA25FB"/>
    <w:rsid w:val="00EA265F"/>
    <w:rsid w:val="00EA266E"/>
    <w:rsid w:val="00EA2734"/>
    <w:rsid w:val="00EA275A"/>
    <w:rsid w:val="00EA28B0"/>
    <w:rsid w:val="00EA28CD"/>
    <w:rsid w:val="00EA2915"/>
    <w:rsid w:val="00EA29C4"/>
    <w:rsid w:val="00EA2A1E"/>
    <w:rsid w:val="00EA2A81"/>
    <w:rsid w:val="00EA2AD0"/>
    <w:rsid w:val="00EA2B21"/>
    <w:rsid w:val="00EA2B64"/>
    <w:rsid w:val="00EA2B84"/>
    <w:rsid w:val="00EA2BF2"/>
    <w:rsid w:val="00EA2C24"/>
    <w:rsid w:val="00EA2D4D"/>
    <w:rsid w:val="00EA2D52"/>
    <w:rsid w:val="00EA2DC7"/>
    <w:rsid w:val="00EA2ED0"/>
    <w:rsid w:val="00EA2F28"/>
    <w:rsid w:val="00EA2FAE"/>
    <w:rsid w:val="00EA3068"/>
    <w:rsid w:val="00EA30D6"/>
    <w:rsid w:val="00EA30D9"/>
    <w:rsid w:val="00EA310D"/>
    <w:rsid w:val="00EA316E"/>
    <w:rsid w:val="00EA3225"/>
    <w:rsid w:val="00EA3251"/>
    <w:rsid w:val="00EA3458"/>
    <w:rsid w:val="00EA34DA"/>
    <w:rsid w:val="00EA35A0"/>
    <w:rsid w:val="00EA35D6"/>
    <w:rsid w:val="00EA3634"/>
    <w:rsid w:val="00EA36C1"/>
    <w:rsid w:val="00EA39C6"/>
    <w:rsid w:val="00EA3BE3"/>
    <w:rsid w:val="00EA3C48"/>
    <w:rsid w:val="00EA3CAC"/>
    <w:rsid w:val="00EA3E31"/>
    <w:rsid w:val="00EA3E8C"/>
    <w:rsid w:val="00EA3E97"/>
    <w:rsid w:val="00EA4157"/>
    <w:rsid w:val="00EA419A"/>
    <w:rsid w:val="00EA41C6"/>
    <w:rsid w:val="00EA44B4"/>
    <w:rsid w:val="00EA454E"/>
    <w:rsid w:val="00EA4689"/>
    <w:rsid w:val="00EA46AD"/>
    <w:rsid w:val="00EA4787"/>
    <w:rsid w:val="00EA47D4"/>
    <w:rsid w:val="00EA48ED"/>
    <w:rsid w:val="00EA495A"/>
    <w:rsid w:val="00EA496F"/>
    <w:rsid w:val="00EA4977"/>
    <w:rsid w:val="00EA4A6B"/>
    <w:rsid w:val="00EA4B68"/>
    <w:rsid w:val="00EA4C24"/>
    <w:rsid w:val="00EA4CAE"/>
    <w:rsid w:val="00EA4D1F"/>
    <w:rsid w:val="00EA4D5B"/>
    <w:rsid w:val="00EA4E20"/>
    <w:rsid w:val="00EA4E6D"/>
    <w:rsid w:val="00EA4ED6"/>
    <w:rsid w:val="00EA4F82"/>
    <w:rsid w:val="00EA50C8"/>
    <w:rsid w:val="00EA5290"/>
    <w:rsid w:val="00EA5339"/>
    <w:rsid w:val="00EA5392"/>
    <w:rsid w:val="00EA5482"/>
    <w:rsid w:val="00EA55AF"/>
    <w:rsid w:val="00EA5649"/>
    <w:rsid w:val="00EA57FA"/>
    <w:rsid w:val="00EA580E"/>
    <w:rsid w:val="00EA5892"/>
    <w:rsid w:val="00EA5952"/>
    <w:rsid w:val="00EA5971"/>
    <w:rsid w:val="00EA59CD"/>
    <w:rsid w:val="00EA59CE"/>
    <w:rsid w:val="00EA5C2C"/>
    <w:rsid w:val="00EA5D25"/>
    <w:rsid w:val="00EA5D9D"/>
    <w:rsid w:val="00EA5E09"/>
    <w:rsid w:val="00EA5ECA"/>
    <w:rsid w:val="00EA5F16"/>
    <w:rsid w:val="00EA5F71"/>
    <w:rsid w:val="00EA5F7D"/>
    <w:rsid w:val="00EA5FA9"/>
    <w:rsid w:val="00EA621D"/>
    <w:rsid w:val="00EA62A1"/>
    <w:rsid w:val="00EA62A5"/>
    <w:rsid w:val="00EA6308"/>
    <w:rsid w:val="00EA64FB"/>
    <w:rsid w:val="00EA6584"/>
    <w:rsid w:val="00EA6640"/>
    <w:rsid w:val="00EA674C"/>
    <w:rsid w:val="00EA67F2"/>
    <w:rsid w:val="00EA6928"/>
    <w:rsid w:val="00EA6973"/>
    <w:rsid w:val="00EA6C03"/>
    <w:rsid w:val="00EA6D19"/>
    <w:rsid w:val="00EA6DE2"/>
    <w:rsid w:val="00EA6F03"/>
    <w:rsid w:val="00EA7079"/>
    <w:rsid w:val="00EA7141"/>
    <w:rsid w:val="00EA725E"/>
    <w:rsid w:val="00EA72D1"/>
    <w:rsid w:val="00EA7328"/>
    <w:rsid w:val="00EA735B"/>
    <w:rsid w:val="00EA737C"/>
    <w:rsid w:val="00EA73F2"/>
    <w:rsid w:val="00EA7477"/>
    <w:rsid w:val="00EA74B8"/>
    <w:rsid w:val="00EA74EB"/>
    <w:rsid w:val="00EA7525"/>
    <w:rsid w:val="00EA752D"/>
    <w:rsid w:val="00EA756F"/>
    <w:rsid w:val="00EA75A6"/>
    <w:rsid w:val="00EA75B2"/>
    <w:rsid w:val="00EA75FE"/>
    <w:rsid w:val="00EA765E"/>
    <w:rsid w:val="00EA768E"/>
    <w:rsid w:val="00EA7735"/>
    <w:rsid w:val="00EA7761"/>
    <w:rsid w:val="00EA779D"/>
    <w:rsid w:val="00EA77F3"/>
    <w:rsid w:val="00EA780E"/>
    <w:rsid w:val="00EA7812"/>
    <w:rsid w:val="00EA78B0"/>
    <w:rsid w:val="00EA79AB"/>
    <w:rsid w:val="00EA7A71"/>
    <w:rsid w:val="00EA7A8A"/>
    <w:rsid w:val="00EA7B43"/>
    <w:rsid w:val="00EA7BD3"/>
    <w:rsid w:val="00EA7BE6"/>
    <w:rsid w:val="00EA7CF6"/>
    <w:rsid w:val="00EA7D62"/>
    <w:rsid w:val="00EA7D99"/>
    <w:rsid w:val="00EA7E4B"/>
    <w:rsid w:val="00EA7EA9"/>
    <w:rsid w:val="00EA7EE5"/>
    <w:rsid w:val="00EA7F99"/>
    <w:rsid w:val="00EB00B7"/>
    <w:rsid w:val="00EB00C1"/>
    <w:rsid w:val="00EB00FB"/>
    <w:rsid w:val="00EB018C"/>
    <w:rsid w:val="00EB0235"/>
    <w:rsid w:val="00EB0338"/>
    <w:rsid w:val="00EB03ED"/>
    <w:rsid w:val="00EB0402"/>
    <w:rsid w:val="00EB0435"/>
    <w:rsid w:val="00EB04EE"/>
    <w:rsid w:val="00EB051D"/>
    <w:rsid w:val="00EB053B"/>
    <w:rsid w:val="00EB05CB"/>
    <w:rsid w:val="00EB05EB"/>
    <w:rsid w:val="00EB0662"/>
    <w:rsid w:val="00EB0691"/>
    <w:rsid w:val="00EB069D"/>
    <w:rsid w:val="00EB06F6"/>
    <w:rsid w:val="00EB0798"/>
    <w:rsid w:val="00EB07A0"/>
    <w:rsid w:val="00EB07C4"/>
    <w:rsid w:val="00EB08C9"/>
    <w:rsid w:val="00EB0906"/>
    <w:rsid w:val="00EB0A15"/>
    <w:rsid w:val="00EB0B2A"/>
    <w:rsid w:val="00EB0B52"/>
    <w:rsid w:val="00EB0B94"/>
    <w:rsid w:val="00EB0C00"/>
    <w:rsid w:val="00EB0D09"/>
    <w:rsid w:val="00EB0EE0"/>
    <w:rsid w:val="00EB0EEE"/>
    <w:rsid w:val="00EB115B"/>
    <w:rsid w:val="00EB1183"/>
    <w:rsid w:val="00EB1191"/>
    <w:rsid w:val="00EB1222"/>
    <w:rsid w:val="00EB171B"/>
    <w:rsid w:val="00EB1786"/>
    <w:rsid w:val="00EB181F"/>
    <w:rsid w:val="00EB18D3"/>
    <w:rsid w:val="00EB1A12"/>
    <w:rsid w:val="00EB1A22"/>
    <w:rsid w:val="00EB1A2C"/>
    <w:rsid w:val="00EB1AC3"/>
    <w:rsid w:val="00EB1D3C"/>
    <w:rsid w:val="00EB1DFA"/>
    <w:rsid w:val="00EB1E2F"/>
    <w:rsid w:val="00EB1E73"/>
    <w:rsid w:val="00EB1F79"/>
    <w:rsid w:val="00EB1F9B"/>
    <w:rsid w:val="00EB2149"/>
    <w:rsid w:val="00EB21C6"/>
    <w:rsid w:val="00EB21D5"/>
    <w:rsid w:val="00EB2264"/>
    <w:rsid w:val="00EB22AD"/>
    <w:rsid w:val="00EB22C7"/>
    <w:rsid w:val="00EB250D"/>
    <w:rsid w:val="00EB262C"/>
    <w:rsid w:val="00EB273A"/>
    <w:rsid w:val="00EB27A0"/>
    <w:rsid w:val="00EB2833"/>
    <w:rsid w:val="00EB2902"/>
    <w:rsid w:val="00EB2AAA"/>
    <w:rsid w:val="00EB2B83"/>
    <w:rsid w:val="00EB2CF2"/>
    <w:rsid w:val="00EB2D01"/>
    <w:rsid w:val="00EB2E93"/>
    <w:rsid w:val="00EB2F66"/>
    <w:rsid w:val="00EB2F94"/>
    <w:rsid w:val="00EB3062"/>
    <w:rsid w:val="00EB3068"/>
    <w:rsid w:val="00EB31CA"/>
    <w:rsid w:val="00EB326F"/>
    <w:rsid w:val="00EB32EB"/>
    <w:rsid w:val="00EB3300"/>
    <w:rsid w:val="00EB330A"/>
    <w:rsid w:val="00EB3328"/>
    <w:rsid w:val="00EB3344"/>
    <w:rsid w:val="00EB334A"/>
    <w:rsid w:val="00EB3359"/>
    <w:rsid w:val="00EB33BE"/>
    <w:rsid w:val="00EB343A"/>
    <w:rsid w:val="00EB3527"/>
    <w:rsid w:val="00EB36C5"/>
    <w:rsid w:val="00EB36FF"/>
    <w:rsid w:val="00EB374C"/>
    <w:rsid w:val="00EB379B"/>
    <w:rsid w:val="00EB37FB"/>
    <w:rsid w:val="00EB3817"/>
    <w:rsid w:val="00EB3835"/>
    <w:rsid w:val="00EB3901"/>
    <w:rsid w:val="00EB3A53"/>
    <w:rsid w:val="00EB3BD1"/>
    <w:rsid w:val="00EB3C00"/>
    <w:rsid w:val="00EB3C5C"/>
    <w:rsid w:val="00EB3CBB"/>
    <w:rsid w:val="00EB3CC5"/>
    <w:rsid w:val="00EB3CF4"/>
    <w:rsid w:val="00EB3DF9"/>
    <w:rsid w:val="00EB3E08"/>
    <w:rsid w:val="00EB3E45"/>
    <w:rsid w:val="00EB3FAE"/>
    <w:rsid w:val="00EB40F1"/>
    <w:rsid w:val="00EB418C"/>
    <w:rsid w:val="00EB4262"/>
    <w:rsid w:val="00EB4305"/>
    <w:rsid w:val="00EB4332"/>
    <w:rsid w:val="00EB4507"/>
    <w:rsid w:val="00EB4514"/>
    <w:rsid w:val="00EB45B5"/>
    <w:rsid w:val="00EB45F7"/>
    <w:rsid w:val="00EB4662"/>
    <w:rsid w:val="00EB46F9"/>
    <w:rsid w:val="00EB46FC"/>
    <w:rsid w:val="00EB478C"/>
    <w:rsid w:val="00EB489C"/>
    <w:rsid w:val="00EB4A33"/>
    <w:rsid w:val="00EB4A52"/>
    <w:rsid w:val="00EB4ABF"/>
    <w:rsid w:val="00EB4B92"/>
    <w:rsid w:val="00EB4CDF"/>
    <w:rsid w:val="00EB4CED"/>
    <w:rsid w:val="00EB4CF1"/>
    <w:rsid w:val="00EB4E31"/>
    <w:rsid w:val="00EB4EC7"/>
    <w:rsid w:val="00EB4EFF"/>
    <w:rsid w:val="00EB4F72"/>
    <w:rsid w:val="00EB50D9"/>
    <w:rsid w:val="00EB5194"/>
    <w:rsid w:val="00EB51D2"/>
    <w:rsid w:val="00EB5221"/>
    <w:rsid w:val="00EB52E8"/>
    <w:rsid w:val="00EB5474"/>
    <w:rsid w:val="00EB5600"/>
    <w:rsid w:val="00EB56C7"/>
    <w:rsid w:val="00EB5784"/>
    <w:rsid w:val="00EB57BD"/>
    <w:rsid w:val="00EB58A6"/>
    <w:rsid w:val="00EB58A8"/>
    <w:rsid w:val="00EB5C16"/>
    <w:rsid w:val="00EB5D50"/>
    <w:rsid w:val="00EB5D6A"/>
    <w:rsid w:val="00EB5D75"/>
    <w:rsid w:val="00EB5E30"/>
    <w:rsid w:val="00EB5E50"/>
    <w:rsid w:val="00EB607C"/>
    <w:rsid w:val="00EB62EA"/>
    <w:rsid w:val="00EB638B"/>
    <w:rsid w:val="00EB63FB"/>
    <w:rsid w:val="00EB6402"/>
    <w:rsid w:val="00EB6426"/>
    <w:rsid w:val="00EB6430"/>
    <w:rsid w:val="00EB6521"/>
    <w:rsid w:val="00EB6546"/>
    <w:rsid w:val="00EB66CF"/>
    <w:rsid w:val="00EB6723"/>
    <w:rsid w:val="00EB67E4"/>
    <w:rsid w:val="00EB685E"/>
    <w:rsid w:val="00EB68CE"/>
    <w:rsid w:val="00EB6941"/>
    <w:rsid w:val="00EB694B"/>
    <w:rsid w:val="00EB6955"/>
    <w:rsid w:val="00EB696B"/>
    <w:rsid w:val="00EB697E"/>
    <w:rsid w:val="00EB69A4"/>
    <w:rsid w:val="00EB69F6"/>
    <w:rsid w:val="00EB6A72"/>
    <w:rsid w:val="00EB6BA6"/>
    <w:rsid w:val="00EB6BCB"/>
    <w:rsid w:val="00EB6C6D"/>
    <w:rsid w:val="00EB6C9D"/>
    <w:rsid w:val="00EB6D77"/>
    <w:rsid w:val="00EB6EDA"/>
    <w:rsid w:val="00EB6EFE"/>
    <w:rsid w:val="00EB6F5C"/>
    <w:rsid w:val="00EB6F61"/>
    <w:rsid w:val="00EB7022"/>
    <w:rsid w:val="00EB71A9"/>
    <w:rsid w:val="00EB7211"/>
    <w:rsid w:val="00EB7271"/>
    <w:rsid w:val="00EB7308"/>
    <w:rsid w:val="00EB7436"/>
    <w:rsid w:val="00EB74DE"/>
    <w:rsid w:val="00EB7527"/>
    <w:rsid w:val="00EB75E2"/>
    <w:rsid w:val="00EB78D1"/>
    <w:rsid w:val="00EB78DA"/>
    <w:rsid w:val="00EB79CC"/>
    <w:rsid w:val="00EB79D8"/>
    <w:rsid w:val="00EB79F9"/>
    <w:rsid w:val="00EB7AEB"/>
    <w:rsid w:val="00EB7BC0"/>
    <w:rsid w:val="00EB7C91"/>
    <w:rsid w:val="00EB7D66"/>
    <w:rsid w:val="00EB7E16"/>
    <w:rsid w:val="00EB7E22"/>
    <w:rsid w:val="00EC0182"/>
    <w:rsid w:val="00EC0246"/>
    <w:rsid w:val="00EC02CB"/>
    <w:rsid w:val="00EC0529"/>
    <w:rsid w:val="00EC05ED"/>
    <w:rsid w:val="00EC0737"/>
    <w:rsid w:val="00EC07EF"/>
    <w:rsid w:val="00EC0808"/>
    <w:rsid w:val="00EC0941"/>
    <w:rsid w:val="00EC09EB"/>
    <w:rsid w:val="00EC0A8A"/>
    <w:rsid w:val="00EC0BC2"/>
    <w:rsid w:val="00EC0C65"/>
    <w:rsid w:val="00EC0D3E"/>
    <w:rsid w:val="00EC0DD4"/>
    <w:rsid w:val="00EC0DE5"/>
    <w:rsid w:val="00EC0E7B"/>
    <w:rsid w:val="00EC0E8A"/>
    <w:rsid w:val="00EC0F1C"/>
    <w:rsid w:val="00EC1013"/>
    <w:rsid w:val="00EC10F9"/>
    <w:rsid w:val="00EC113E"/>
    <w:rsid w:val="00EC11E9"/>
    <w:rsid w:val="00EC129B"/>
    <w:rsid w:val="00EC138E"/>
    <w:rsid w:val="00EC140B"/>
    <w:rsid w:val="00EC143B"/>
    <w:rsid w:val="00EC14AF"/>
    <w:rsid w:val="00EC1509"/>
    <w:rsid w:val="00EC1537"/>
    <w:rsid w:val="00EC1565"/>
    <w:rsid w:val="00EC157C"/>
    <w:rsid w:val="00EC1596"/>
    <w:rsid w:val="00EC1705"/>
    <w:rsid w:val="00EC179B"/>
    <w:rsid w:val="00EC17C4"/>
    <w:rsid w:val="00EC1968"/>
    <w:rsid w:val="00EC1CBC"/>
    <w:rsid w:val="00EC1CE8"/>
    <w:rsid w:val="00EC1DFB"/>
    <w:rsid w:val="00EC1E0E"/>
    <w:rsid w:val="00EC1E84"/>
    <w:rsid w:val="00EC1F6C"/>
    <w:rsid w:val="00EC1FCC"/>
    <w:rsid w:val="00EC20BF"/>
    <w:rsid w:val="00EC21A1"/>
    <w:rsid w:val="00EC234C"/>
    <w:rsid w:val="00EC23B2"/>
    <w:rsid w:val="00EC23B8"/>
    <w:rsid w:val="00EC25F1"/>
    <w:rsid w:val="00EC25FC"/>
    <w:rsid w:val="00EC261D"/>
    <w:rsid w:val="00EC26FF"/>
    <w:rsid w:val="00EC27E7"/>
    <w:rsid w:val="00EC2815"/>
    <w:rsid w:val="00EC2819"/>
    <w:rsid w:val="00EC288F"/>
    <w:rsid w:val="00EC298A"/>
    <w:rsid w:val="00EC299F"/>
    <w:rsid w:val="00EC2A7E"/>
    <w:rsid w:val="00EC2A9D"/>
    <w:rsid w:val="00EC2BB0"/>
    <w:rsid w:val="00EC2C4D"/>
    <w:rsid w:val="00EC2D5A"/>
    <w:rsid w:val="00EC2D72"/>
    <w:rsid w:val="00EC2EA6"/>
    <w:rsid w:val="00EC2F47"/>
    <w:rsid w:val="00EC2F4C"/>
    <w:rsid w:val="00EC3068"/>
    <w:rsid w:val="00EC3080"/>
    <w:rsid w:val="00EC30CF"/>
    <w:rsid w:val="00EC316E"/>
    <w:rsid w:val="00EC3170"/>
    <w:rsid w:val="00EC3190"/>
    <w:rsid w:val="00EC31B0"/>
    <w:rsid w:val="00EC323C"/>
    <w:rsid w:val="00EC332B"/>
    <w:rsid w:val="00EC3417"/>
    <w:rsid w:val="00EC3464"/>
    <w:rsid w:val="00EC36A2"/>
    <w:rsid w:val="00EC370E"/>
    <w:rsid w:val="00EC3721"/>
    <w:rsid w:val="00EC3794"/>
    <w:rsid w:val="00EC3815"/>
    <w:rsid w:val="00EC3A4E"/>
    <w:rsid w:val="00EC3B56"/>
    <w:rsid w:val="00EC3B91"/>
    <w:rsid w:val="00EC3BD2"/>
    <w:rsid w:val="00EC3C71"/>
    <w:rsid w:val="00EC3CB5"/>
    <w:rsid w:val="00EC3D1B"/>
    <w:rsid w:val="00EC3E08"/>
    <w:rsid w:val="00EC3E20"/>
    <w:rsid w:val="00EC3E59"/>
    <w:rsid w:val="00EC3F55"/>
    <w:rsid w:val="00EC4076"/>
    <w:rsid w:val="00EC4174"/>
    <w:rsid w:val="00EC4285"/>
    <w:rsid w:val="00EC42F7"/>
    <w:rsid w:val="00EC43F9"/>
    <w:rsid w:val="00EC45D7"/>
    <w:rsid w:val="00EC4610"/>
    <w:rsid w:val="00EC470E"/>
    <w:rsid w:val="00EC476A"/>
    <w:rsid w:val="00EC482F"/>
    <w:rsid w:val="00EC4886"/>
    <w:rsid w:val="00EC489D"/>
    <w:rsid w:val="00EC48DB"/>
    <w:rsid w:val="00EC4A2C"/>
    <w:rsid w:val="00EC4ACA"/>
    <w:rsid w:val="00EC4B6C"/>
    <w:rsid w:val="00EC4BF1"/>
    <w:rsid w:val="00EC4C68"/>
    <w:rsid w:val="00EC4C83"/>
    <w:rsid w:val="00EC4CC6"/>
    <w:rsid w:val="00EC4D2F"/>
    <w:rsid w:val="00EC4E0F"/>
    <w:rsid w:val="00EC4F7D"/>
    <w:rsid w:val="00EC5079"/>
    <w:rsid w:val="00EC5136"/>
    <w:rsid w:val="00EC516D"/>
    <w:rsid w:val="00EC518D"/>
    <w:rsid w:val="00EC5216"/>
    <w:rsid w:val="00EC5333"/>
    <w:rsid w:val="00EC5355"/>
    <w:rsid w:val="00EC536D"/>
    <w:rsid w:val="00EC53C5"/>
    <w:rsid w:val="00EC53C9"/>
    <w:rsid w:val="00EC53F4"/>
    <w:rsid w:val="00EC53FA"/>
    <w:rsid w:val="00EC5409"/>
    <w:rsid w:val="00EC5444"/>
    <w:rsid w:val="00EC5528"/>
    <w:rsid w:val="00EC5643"/>
    <w:rsid w:val="00EC5853"/>
    <w:rsid w:val="00EC58C3"/>
    <w:rsid w:val="00EC5A91"/>
    <w:rsid w:val="00EC5BD7"/>
    <w:rsid w:val="00EC5D30"/>
    <w:rsid w:val="00EC5D8C"/>
    <w:rsid w:val="00EC5F73"/>
    <w:rsid w:val="00EC5F75"/>
    <w:rsid w:val="00EC5F8A"/>
    <w:rsid w:val="00EC6012"/>
    <w:rsid w:val="00EC6060"/>
    <w:rsid w:val="00EC6170"/>
    <w:rsid w:val="00EC6183"/>
    <w:rsid w:val="00EC61EA"/>
    <w:rsid w:val="00EC6297"/>
    <w:rsid w:val="00EC6350"/>
    <w:rsid w:val="00EC6566"/>
    <w:rsid w:val="00EC6674"/>
    <w:rsid w:val="00EC6689"/>
    <w:rsid w:val="00EC66E1"/>
    <w:rsid w:val="00EC6712"/>
    <w:rsid w:val="00EC671E"/>
    <w:rsid w:val="00EC6808"/>
    <w:rsid w:val="00EC6825"/>
    <w:rsid w:val="00EC68B5"/>
    <w:rsid w:val="00EC68EC"/>
    <w:rsid w:val="00EC68FC"/>
    <w:rsid w:val="00EC693A"/>
    <w:rsid w:val="00EC698B"/>
    <w:rsid w:val="00EC698D"/>
    <w:rsid w:val="00EC6A6F"/>
    <w:rsid w:val="00EC6B91"/>
    <w:rsid w:val="00EC6C19"/>
    <w:rsid w:val="00EC6CBB"/>
    <w:rsid w:val="00EC6D04"/>
    <w:rsid w:val="00EC6DBF"/>
    <w:rsid w:val="00EC6DE6"/>
    <w:rsid w:val="00EC6E74"/>
    <w:rsid w:val="00EC6E94"/>
    <w:rsid w:val="00EC6EAF"/>
    <w:rsid w:val="00EC6F0C"/>
    <w:rsid w:val="00EC7053"/>
    <w:rsid w:val="00EC707D"/>
    <w:rsid w:val="00EC70C8"/>
    <w:rsid w:val="00EC71C7"/>
    <w:rsid w:val="00EC74E6"/>
    <w:rsid w:val="00EC7539"/>
    <w:rsid w:val="00EC75BF"/>
    <w:rsid w:val="00EC75E6"/>
    <w:rsid w:val="00EC75F9"/>
    <w:rsid w:val="00EC760A"/>
    <w:rsid w:val="00EC761C"/>
    <w:rsid w:val="00EC77E4"/>
    <w:rsid w:val="00EC77F0"/>
    <w:rsid w:val="00EC7872"/>
    <w:rsid w:val="00EC791E"/>
    <w:rsid w:val="00EC7960"/>
    <w:rsid w:val="00EC79C3"/>
    <w:rsid w:val="00EC7A09"/>
    <w:rsid w:val="00EC7A0A"/>
    <w:rsid w:val="00EC7A8B"/>
    <w:rsid w:val="00EC7ACD"/>
    <w:rsid w:val="00EC7B5D"/>
    <w:rsid w:val="00EC7BDC"/>
    <w:rsid w:val="00EC7D42"/>
    <w:rsid w:val="00EC7DBA"/>
    <w:rsid w:val="00EC7EB3"/>
    <w:rsid w:val="00EC7EE2"/>
    <w:rsid w:val="00ED0125"/>
    <w:rsid w:val="00ED0215"/>
    <w:rsid w:val="00ED029B"/>
    <w:rsid w:val="00ED030A"/>
    <w:rsid w:val="00ED039C"/>
    <w:rsid w:val="00ED0798"/>
    <w:rsid w:val="00ED07F0"/>
    <w:rsid w:val="00ED083C"/>
    <w:rsid w:val="00ED085D"/>
    <w:rsid w:val="00ED0913"/>
    <w:rsid w:val="00ED0955"/>
    <w:rsid w:val="00ED09FE"/>
    <w:rsid w:val="00ED0B56"/>
    <w:rsid w:val="00ED0B82"/>
    <w:rsid w:val="00ED0BE0"/>
    <w:rsid w:val="00ED0C62"/>
    <w:rsid w:val="00ED0C73"/>
    <w:rsid w:val="00ED0CB9"/>
    <w:rsid w:val="00ED0CF0"/>
    <w:rsid w:val="00ED0CF7"/>
    <w:rsid w:val="00ED0D5F"/>
    <w:rsid w:val="00ED0F30"/>
    <w:rsid w:val="00ED0FFF"/>
    <w:rsid w:val="00ED104C"/>
    <w:rsid w:val="00ED10DE"/>
    <w:rsid w:val="00ED1128"/>
    <w:rsid w:val="00ED1186"/>
    <w:rsid w:val="00ED11B1"/>
    <w:rsid w:val="00ED1258"/>
    <w:rsid w:val="00ED12A8"/>
    <w:rsid w:val="00ED131C"/>
    <w:rsid w:val="00ED140C"/>
    <w:rsid w:val="00ED14BD"/>
    <w:rsid w:val="00ED14DC"/>
    <w:rsid w:val="00ED1506"/>
    <w:rsid w:val="00ED1971"/>
    <w:rsid w:val="00ED197A"/>
    <w:rsid w:val="00ED19EE"/>
    <w:rsid w:val="00ED19EF"/>
    <w:rsid w:val="00ED1A52"/>
    <w:rsid w:val="00ED1B28"/>
    <w:rsid w:val="00ED1B3E"/>
    <w:rsid w:val="00ED1C23"/>
    <w:rsid w:val="00ED1D10"/>
    <w:rsid w:val="00ED1E19"/>
    <w:rsid w:val="00ED1EA2"/>
    <w:rsid w:val="00ED1EA4"/>
    <w:rsid w:val="00ED1ED1"/>
    <w:rsid w:val="00ED1F57"/>
    <w:rsid w:val="00ED2026"/>
    <w:rsid w:val="00ED206C"/>
    <w:rsid w:val="00ED2074"/>
    <w:rsid w:val="00ED2095"/>
    <w:rsid w:val="00ED213A"/>
    <w:rsid w:val="00ED21D3"/>
    <w:rsid w:val="00ED239E"/>
    <w:rsid w:val="00ED23AF"/>
    <w:rsid w:val="00ED23F1"/>
    <w:rsid w:val="00ED2478"/>
    <w:rsid w:val="00ED24F3"/>
    <w:rsid w:val="00ED2523"/>
    <w:rsid w:val="00ED253A"/>
    <w:rsid w:val="00ED268D"/>
    <w:rsid w:val="00ED2691"/>
    <w:rsid w:val="00ED26AA"/>
    <w:rsid w:val="00ED270E"/>
    <w:rsid w:val="00ED2740"/>
    <w:rsid w:val="00ED277D"/>
    <w:rsid w:val="00ED28F0"/>
    <w:rsid w:val="00ED2948"/>
    <w:rsid w:val="00ED295B"/>
    <w:rsid w:val="00ED2A5E"/>
    <w:rsid w:val="00ED2AD0"/>
    <w:rsid w:val="00ED2AF7"/>
    <w:rsid w:val="00ED2C3F"/>
    <w:rsid w:val="00ED2CB2"/>
    <w:rsid w:val="00ED2E1E"/>
    <w:rsid w:val="00ED2E95"/>
    <w:rsid w:val="00ED2EB5"/>
    <w:rsid w:val="00ED3056"/>
    <w:rsid w:val="00ED3060"/>
    <w:rsid w:val="00ED315A"/>
    <w:rsid w:val="00ED3226"/>
    <w:rsid w:val="00ED322A"/>
    <w:rsid w:val="00ED325B"/>
    <w:rsid w:val="00ED32B2"/>
    <w:rsid w:val="00ED32D6"/>
    <w:rsid w:val="00ED3337"/>
    <w:rsid w:val="00ED344B"/>
    <w:rsid w:val="00ED349B"/>
    <w:rsid w:val="00ED34C5"/>
    <w:rsid w:val="00ED35D8"/>
    <w:rsid w:val="00ED36DF"/>
    <w:rsid w:val="00ED3898"/>
    <w:rsid w:val="00ED39E3"/>
    <w:rsid w:val="00ED3AAA"/>
    <w:rsid w:val="00ED3AD5"/>
    <w:rsid w:val="00ED3AE8"/>
    <w:rsid w:val="00ED3BB0"/>
    <w:rsid w:val="00ED3BD8"/>
    <w:rsid w:val="00ED3C1B"/>
    <w:rsid w:val="00ED3C76"/>
    <w:rsid w:val="00ED3DB6"/>
    <w:rsid w:val="00ED3E02"/>
    <w:rsid w:val="00ED3F0C"/>
    <w:rsid w:val="00ED3F1A"/>
    <w:rsid w:val="00ED3F68"/>
    <w:rsid w:val="00ED3FEA"/>
    <w:rsid w:val="00ED4015"/>
    <w:rsid w:val="00ED4130"/>
    <w:rsid w:val="00ED4338"/>
    <w:rsid w:val="00ED43D4"/>
    <w:rsid w:val="00ED43F3"/>
    <w:rsid w:val="00ED4409"/>
    <w:rsid w:val="00ED445A"/>
    <w:rsid w:val="00ED44F3"/>
    <w:rsid w:val="00ED4570"/>
    <w:rsid w:val="00ED460E"/>
    <w:rsid w:val="00ED46C2"/>
    <w:rsid w:val="00ED488F"/>
    <w:rsid w:val="00ED48C2"/>
    <w:rsid w:val="00ED4A1A"/>
    <w:rsid w:val="00ED4C97"/>
    <w:rsid w:val="00ED4D09"/>
    <w:rsid w:val="00ED4DC8"/>
    <w:rsid w:val="00ED4F2C"/>
    <w:rsid w:val="00ED50AF"/>
    <w:rsid w:val="00ED5132"/>
    <w:rsid w:val="00ED51B1"/>
    <w:rsid w:val="00ED5330"/>
    <w:rsid w:val="00ED5384"/>
    <w:rsid w:val="00ED53E8"/>
    <w:rsid w:val="00ED5468"/>
    <w:rsid w:val="00ED56BF"/>
    <w:rsid w:val="00ED56CD"/>
    <w:rsid w:val="00ED5858"/>
    <w:rsid w:val="00ED586F"/>
    <w:rsid w:val="00ED5A2B"/>
    <w:rsid w:val="00ED5A55"/>
    <w:rsid w:val="00ED5B2D"/>
    <w:rsid w:val="00ED5D8F"/>
    <w:rsid w:val="00ED5DDB"/>
    <w:rsid w:val="00ED5E57"/>
    <w:rsid w:val="00ED5FF5"/>
    <w:rsid w:val="00ED60ED"/>
    <w:rsid w:val="00ED60EF"/>
    <w:rsid w:val="00ED6235"/>
    <w:rsid w:val="00ED634F"/>
    <w:rsid w:val="00ED63EE"/>
    <w:rsid w:val="00ED6416"/>
    <w:rsid w:val="00ED6492"/>
    <w:rsid w:val="00ED679E"/>
    <w:rsid w:val="00ED681F"/>
    <w:rsid w:val="00ED6852"/>
    <w:rsid w:val="00ED6861"/>
    <w:rsid w:val="00ED6B65"/>
    <w:rsid w:val="00ED6B9B"/>
    <w:rsid w:val="00ED6C3F"/>
    <w:rsid w:val="00ED6C6B"/>
    <w:rsid w:val="00ED6E02"/>
    <w:rsid w:val="00ED6E1E"/>
    <w:rsid w:val="00ED6EE1"/>
    <w:rsid w:val="00ED6EE2"/>
    <w:rsid w:val="00ED7146"/>
    <w:rsid w:val="00ED717B"/>
    <w:rsid w:val="00ED72A8"/>
    <w:rsid w:val="00ED72B4"/>
    <w:rsid w:val="00ED74C8"/>
    <w:rsid w:val="00ED75F3"/>
    <w:rsid w:val="00ED77C3"/>
    <w:rsid w:val="00ED77EA"/>
    <w:rsid w:val="00ED77FF"/>
    <w:rsid w:val="00ED78C6"/>
    <w:rsid w:val="00ED78E6"/>
    <w:rsid w:val="00ED7924"/>
    <w:rsid w:val="00ED7934"/>
    <w:rsid w:val="00ED7974"/>
    <w:rsid w:val="00ED7AEF"/>
    <w:rsid w:val="00ED7B8B"/>
    <w:rsid w:val="00ED7BD2"/>
    <w:rsid w:val="00ED7C5E"/>
    <w:rsid w:val="00ED7CE4"/>
    <w:rsid w:val="00ED7CF4"/>
    <w:rsid w:val="00ED7D53"/>
    <w:rsid w:val="00ED7DC0"/>
    <w:rsid w:val="00ED7DD5"/>
    <w:rsid w:val="00EE00AB"/>
    <w:rsid w:val="00EE0177"/>
    <w:rsid w:val="00EE02B6"/>
    <w:rsid w:val="00EE02F3"/>
    <w:rsid w:val="00EE045C"/>
    <w:rsid w:val="00EE08C5"/>
    <w:rsid w:val="00EE09F8"/>
    <w:rsid w:val="00EE0B5F"/>
    <w:rsid w:val="00EE0C36"/>
    <w:rsid w:val="00EE0C65"/>
    <w:rsid w:val="00EE0D4D"/>
    <w:rsid w:val="00EE0D90"/>
    <w:rsid w:val="00EE0D9D"/>
    <w:rsid w:val="00EE0FAF"/>
    <w:rsid w:val="00EE1160"/>
    <w:rsid w:val="00EE1188"/>
    <w:rsid w:val="00EE11FA"/>
    <w:rsid w:val="00EE121D"/>
    <w:rsid w:val="00EE121F"/>
    <w:rsid w:val="00EE1317"/>
    <w:rsid w:val="00EE1364"/>
    <w:rsid w:val="00EE13F1"/>
    <w:rsid w:val="00EE1431"/>
    <w:rsid w:val="00EE1524"/>
    <w:rsid w:val="00EE1538"/>
    <w:rsid w:val="00EE1571"/>
    <w:rsid w:val="00EE158F"/>
    <w:rsid w:val="00EE163C"/>
    <w:rsid w:val="00EE165F"/>
    <w:rsid w:val="00EE1808"/>
    <w:rsid w:val="00EE184A"/>
    <w:rsid w:val="00EE1935"/>
    <w:rsid w:val="00EE199A"/>
    <w:rsid w:val="00EE1ADE"/>
    <w:rsid w:val="00EE1C26"/>
    <w:rsid w:val="00EE1D36"/>
    <w:rsid w:val="00EE1D5F"/>
    <w:rsid w:val="00EE1D64"/>
    <w:rsid w:val="00EE1D98"/>
    <w:rsid w:val="00EE1DA9"/>
    <w:rsid w:val="00EE1E05"/>
    <w:rsid w:val="00EE1E5D"/>
    <w:rsid w:val="00EE1E9B"/>
    <w:rsid w:val="00EE1EAF"/>
    <w:rsid w:val="00EE2051"/>
    <w:rsid w:val="00EE2061"/>
    <w:rsid w:val="00EE212C"/>
    <w:rsid w:val="00EE2145"/>
    <w:rsid w:val="00EE218A"/>
    <w:rsid w:val="00EE221C"/>
    <w:rsid w:val="00EE224A"/>
    <w:rsid w:val="00EE22F3"/>
    <w:rsid w:val="00EE2343"/>
    <w:rsid w:val="00EE23B7"/>
    <w:rsid w:val="00EE2524"/>
    <w:rsid w:val="00EE2692"/>
    <w:rsid w:val="00EE2713"/>
    <w:rsid w:val="00EE2816"/>
    <w:rsid w:val="00EE2897"/>
    <w:rsid w:val="00EE28D9"/>
    <w:rsid w:val="00EE296E"/>
    <w:rsid w:val="00EE29DA"/>
    <w:rsid w:val="00EE29FF"/>
    <w:rsid w:val="00EE2A8F"/>
    <w:rsid w:val="00EE2B3E"/>
    <w:rsid w:val="00EE2BE4"/>
    <w:rsid w:val="00EE2C14"/>
    <w:rsid w:val="00EE2C89"/>
    <w:rsid w:val="00EE2DBF"/>
    <w:rsid w:val="00EE2E86"/>
    <w:rsid w:val="00EE2F94"/>
    <w:rsid w:val="00EE2F98"/>
    <w:rsid w:val="00EE2FFC"/>
    <w:rsid w:val="00EE30AA"/>
    <w:rsid w:val="00EE30DF"/>
    <w:rsid w:val="00EE324B"/>
    <w:rsid w:val="00EE346D"/>
    <w:rsid w:val="00EE34C8"/>
    <w:rsid w:val="00EE34CA"/>
    <w:rsid w:val="00EE3554"/>
    <w:rsid w:val="00EE35F1"/>
    <w:rsid w:val="00EE3668"/>
    <w:rsid w:val="00EE369D"/>
    <w:rsid w:val="00EE374F"/>
    <w:rsid w:val="00EE3772"/>
    <w:rsid w:val="00EE37C6"/>
    <w:rsid w:val="00EE38C2"/>
    <w:rsid w:val="00EE3A14"/>
    <w:rsid w:val="00EE3C3E"/>
    <w:rsid w:val="00EE3C43"/>
    <w:rsid w:val="00EE3CD7"/>
    <w:rsid w:val="00EE3CE4"/>
    <w:rsid w:val="00EE3D5B"/>
    <w:rsid w:val="00EE3D80"/>
    <w:rsid w:val="00EE3DA9"/>
    <w:rsid w:val="00EE3DCA"/>
    <w:rsid w:val="00EE3E06"/>
    <w:rsid w:val="00EE3F9E"/>
    <w:rsid w:val="00EE3FCF"/>
    <w:rsid w:val="00EE3FDA"/>
    <w:rsid w:val="00EE4214"/>
    <w:rsid w:val="00EE42D6"/>
    <w:rsid w:val="00EE4347"/>
    <w:rsid w:val="00EE43D5"/>
    <w:rsid w:val="00EE43DC"/>
    <w:rsid w:val="00EE43F8"/>
    <w:rsid w:val="00EE44D0"/>
    <w:rsid w:val="00EE44ED"/>
    <w:rsid w:val="00EE4621"/>
    <w:rsid w:val="00EE462B"/>
    <w:rsid w:val="00EE466F"/>
    <w:rsid w:val="00EE475A"/>
    <w:rsid w:val="00EE48C9"/>
    <w:rsid w:val="00EE4AB2"/>
    <w:rsid w:val="00EE4B2D"/>
    <w:rsid w:val="00EE4B61"/>
    <w:rsid w:val="00EE4C3C"/>
    <w:rsid w:val="00EE4C82"/>
    <w:rsid w:val="00EE4CA6"/>
    <w:rsid w:val="00EE4DE0"/>
    <w:rsid w:val="00EE4E92"/>
    <w:rsid w:val="00EE4F1F"/>
    <w:rsid w:val="00EE4F41"/>
    <w:rsid w:val="00EE4FFB"/>
    <w:rsid w:val="00EE5084"/>
    <w:rsid w:val="00EE5097"/>
    <w:rsid w:val="00EE51C4"/>
    <w:rsid w:val="00EE5222"/>
    <w:rsid w:val="00EE529D"/>
    <w:rsid w:val="00EE5352"/>
    <w:rsid w:val="00EE5519"/>
    <w:rsid w:val="00EE551A"/>
    <w:rsid w:val="00EE553B"/>
    <w:rsid w:val="00EE5554"/>
    <w:rsid w:val="00EE5577"/>
    <w:rsid w:val="00EE55B9"/>
    <w:rsid w:val="00EE569B"/>
    <w:rsid w:val="00EE56C6"/>
    <w:rsid w:val="00EE5799"/>
    <w:rsid w:val="00EE5801"/>
    <w:rsid w:val="00EE5877"/>
    <w:rsid w:val="00EE5906"/>
    <w:rsid w:val="00EE594F"/>
    <w:rsid w:val="00EE598E"/>
    <w:rsid w:val="00EE59AB"/>
    <w:rsid w:val="00EE59B7"/>
    <w:rsid w:val="00EE59FE"/>
    <w:rsid w:val="00EE5B72"/>
    <w:rsid w:val="00EE5BD6"/>
    <w:rsid w:val="00EE5BDC"/>
    <w:rsid w:val="00EE5BEA"/>
    <w:rsid w:val="00EE5CA9"/>
    <w:rsid w:val="00EE5CF6"/>
    <w:rsid w:val="00EE5D04"/>
    <w:rsid w:val="00EE5DE8"/>
    <w:rsid w:val="00EE5E49"/>
    <w:rsid w:val="00EE6003"/>
    <w:rsid w:val="00EE615C"/>
    <w:rsid w:val="00EE61D0"/>
    <w:rsid w:val="00EE62EE"/>
    <w:rsid w:val="00EE633E"/>
    <w:rsid w:val="00EE6392"/>
    <w:rsid w:val="00EE63C9"/>
    <w:rsid w:val="00EE63DF"/>
    <w:rsid w:val="00EE6513"/>
    <w:rsid w:val="00EE6569"/>
    <w:rsid w:val="00EE659E"/>
    <w:rsid w:val="00EE69D6"/>
    <w:rsid w:val="00EE6A9E"/>
    <w:rsid w:val="00EE6B77"/>
    <w:rsid w:val="00EE6BEC"/>
    <w:rsid w:val="00EE6C13"/>
    <w:rsid w:val="00EE6CFC"/>
    <w:rsid w:val="00EE6D57"/>
    <w:rsid w:val="00EE6D88"/>
    <w:rsid w:val="00EE6DC6"/>
    <w:rsid w:val="00EE6F0B"/>
    <w:rsid w:val="00EE6F1A"/>
    <w:rsid w:val="00EE6F21"/>
    <w:rsid w:val="00EE6FBB"/>
    <w:rsid w:val="00EE70D6"/>
    <w:rsid w:val="00EE7166"/>
    <w:rsid w:val="00EE7178"/>
    <w:rsid w:val="00EE7280"/>
    <w:rsid w:val="00EE7352"/>
    <w:rsid w:val="00EE7516"/>
    <w:rsid w:val="00EE7575"/>
    <w:rsid w:val="00EE7590"/>
    <w:rsid w:val="00EE76FC"/>
    <w:rsid w:val="00EE778D"/>
    <w:rsid w:val="00EE781D"/>
    <w:rsid w:val="00EE7863"/>
    <w:rsid w:val="00EE78E4"/>
    <w:rsid w:val="00EE7933"/>
    <w:rsid w:val="00EE7936"/>
    <w:rsid w:val="00EE7955"/>
    <w:rsid w:val="00EE79C9"/>
    <w:rsid w:val="00EE7A38"/>
    <w:rsid w:val="00EE7AEB"/>
    <w:rsid w:val="00EE7B7D"/>
    <w:rsid w:val="00EE7B8E"/>
    <w:rsid w:val="00EE7BB1"/>
    <w:rsid w:val="00EE7CC9"/>
    <w:rsid w:val="00EE7D00"/>
    <w:rsid w:val="00EE7E09"/>
    <w:rsid w:val="00EE7E6C"/>
    <w:rsid w:val="00EE7E7C"/>
    <w:rsid w:val="00EE7EE6"/>
    <w:rsid w:val="00EE7FC5"/>
    <w:rsid w:val="00EF0003"/>
    <w:rsid w:val="00EF0054"/>
    <w:rsid w:val="00EF0075"/>
    <w:rsid w:val="00EF00D2"/>
    <w:rsid w:val="00EF02C4"/>
    <w:rsid w:val="00EF0339"/>
    <w:rsid w:val="00EF038C"/>
    <w:rsid w:val="00EF0536"/>
    <w:rsid w:val="00EF0562"/>
    <w:rsid w:val="00EF059E"/>
    <w:rsid w:val="00EF0663"/>
    <w:rsid w:val="00EF06EE"/>
    <w:rsid w:val="00EF0777"/>
    <w:rsid w:val="00EF082C"/>
    <w:rsid w:val="00EF0A0D"/>
    <w:rsid w:val="00EF0A1C"/>
    <w:rsid w:val="00EF0A79"/>
    <w:rsid w:val="00EF0AD8"/>
    <w:rsid w:val="00EF0B18"/>
    <w:rsid w:val="00EF0BAA"/>
    <w:rsid w:val="00EF0C50"/>
    <w:rsid w:val="00EF0C7E"/>
    <w:rsid w:val="00EF0CFB"/>
    <w:rsid w:val="00EF0EB9"/>
    <w:rsid w:val="00EF0F5A"/>
    <w:rsid w:val="00EF118D"/>
    <w:rsid w:val="00EF1317"/>
    <w:rsid w:val="00EF1324"/>
    <w:rsid w:val="00EF1348"/>
    <w:rsid w:val="00EF13FF"/>
    <w:rsid w:val="00EF1474"/>
    <w:rsid w:val="00EF1517"/>
    <w:rsid w:val="00EF15B2"/>
    <w:rsid w:val="00EF1655"/>
    <w:rsid w:val="00EF1754"/>
    <w:rsid w:val="00EF17C2"/>
    <w:rsid w:val="00EF1868"/>
    <w:rsid w:val="00EF1989"/>
    <w:rsid w:val="00EF19D3"/>
    <w:rsid w:val="00EF1B8B"/>
    <w:rsid w:val="00EF1C2E"/>
    <w:rsid w:val="00EF2176"/>
    <w:rsid w:val="00EF2197"/>
    <w:rsid w:val="00EF23A0"/>
    <w:rsid w:val="00EF23BD"/>
    <w:rsid w:val="00EF244E"/>
    <w:rsid w:val="00EF2612"/>
    <w:rsid w:val="00EF2627"/>
    <w:rsid w:val="00EF26C3"/>
    <w:rsid w:val="00EF274C"/>
    <w:rsid w:val="00EF2776"/>
    <w:rsid w:val="00EF27B2"/>
    <w:rsid w:val="00EF2842"/>
    <w:rsid w:val="00EF2967"/>
    <w:rsid w:val="00EF2973"/>
    <w:rsid w:val="00EF29B0"/>
    <w:rsid w:val="00EF2A24"/>
    <w:rsid w:val="00EF2B2F"/>
    <w:rsid w:val="00EF2C33"/>
    <w:rsid w:val="00EF2CB6"/>
    <w:rsid w:val="00EF2CBA"/>
    <w:rsid w:val="00EF2DAB"/>
    <w:rsid w:val="00EF2DFD"/>
    <w:rsid w:val="00EF2E28"/>
    <w:rsid w:val="00EF2F34"/>
    <w:rsid w:val="00EF2FC6"/>
    <w:rsid w:val="00EF30ED"/>
    <w:rsid w:val="00EF320B"/>
    <w:rsid w:val="00EF330C"/>
    <w:rsid w:val="00EF3386"/>
    <w:rsid w:val="00EF33BB"/>
    <w:rsid w:val="00EF3401"/>
    <w:rsid w:val="00EF3429"/>
    <w:rsid w:val="00EF34B1"/>
    <w:rsid w:val="00EF3592"/>
    <w:rsid w:val="00EF35E2"/>
    <w:rsid w:val="00EF365B"/>
    <w:rsid w:val="00EF36C4"/>
    <w:rsid w:val="00EF3729"/>
    <w:rsid w:val="00EF37CF"/>
    <w:rsid w:val="00EF3966"/>
    <w:rsid w:val="00EF39E5"/>
    <w:rsid w:val="00EF3A23"/>
    <w:rsid w:val="00EF3C16"/>
    <w:rsid w:val="00EF3C25"/>
    <w:rsid w:val="00EF3D0A"/>
    <w:rsid w:val="00EF3D10"/>
    <w:rsid w:val="00EF3E09"/>
    <w:rsid w:val="00EF3FE1"/>
    <w:rsid w:val="00EF401C"/>
    <w:rsid w:val="00EF4091"/>
    <w:rsid w:val="00EF40A4"/>
    <w:rsid w:val="00EF4104"/>
    <w:rsid w:val="00EF439D"/>
    <w:rsid w:val="00EF469B"/>
    <w:rsid w:val="00EF478F"/>
    <w:rsid w:val="00EF4908"/>
    <w:rsid w:val="00EF4929"/>
    <w:rsid w:val="00EF49BA"/>
    <w:rsid w:val="00EF4A44"/>
    <w:rsid w:val="00EF4A75"/>
    <w:rsid w:val="00EF4AA5"/>
    <w:rsid w:val="00EF4AE7"/>
    <w:rsid w:val="00EF4B22"/>
    <w:rsid w:val="00EF4C4C"/>
    <w:rsid w:val="00EF4C71"/>
    <w:rsid w:val="00EF4F1B"/>
    <w:rsid w:val="00EF50E0"/>
    <w:rsid w:val="00EF518F"/>
    <w:rsid w:val="00EF5278"/>
    <w:rsid w:val="00EF5296"/>
    <w:rsid w:val="00EF5298"/>
    <w:rsid w:val="00EF52C7"/>
    <w:rsid w:val="00EF53B3"/>
    <w:rsid w:val="00EF54AB"/>
    <w:rsid w:val="00EF550A"/>
    <w:rsid w:val="00EF551C"/>
    <w:rsid w:val="00EF5520"/>
    <w:rsid w:val="00EF5562"/>
    <w:rsid w:val="00EF5579"/>
    <w:rsid w:val="00EF557C"/>
    <w:rsid w:val="00EF5640"/>
    <w:rsid w:val="00EF5672"/>
    <w:rsid w:val="00EF568D"/>
    <w:rsid w:val="00EF569D"/>
    <w:rsid w:val="00EF5798"/>
    <w:rsid w:val="00EF58A2"/>
    <w:rsid w:val="00EF597A"/>
    <w:rsid w:val="00EF5980"/>
    <w:rsid w:val="00EF5B39"/>
    <w:rsid w:val="00EF5B4E"/>
    <w:rsid w:val="00EF5B89"/>
    <w:rsid w:val="00EF5C05"/>
    <w:rsid w:val="00EF5C5D"/>
    <w:rsid w:val="00EF5DAA"/>
    <w:rsid w:val="00EF5E26"/>
    <w:rsid w:val="00EF5E8D"/>
    <w:rsid w:val="00EF5F29"/>
    <w:rsid w:val="00EF5F58"/>
    <w:rsid w:val="00EF5F8D"/>
    <w:rsid w:val="00EF601A"/>
    <w:rsid w:val="00EF603F"/>
    <w:rsid w:val="00EF60FC"/>
    <w:rsid w:val="00EF61D5"/>
    <w:rsid w:val="00EF6264"/>
    <w:rsid w:val="00EF626C"/>
    <w:rsid w:val="00EF650B"/>
    <w:rsid w:val="00EF6572"/>
    <w:rsid w:val="00EF6646"/>
    <w:rsid w:val="00EF6802"/>
    <w:rsid w:val="00EF6904"/>
    <w:rsid w:val="00EF699A"/>
    <w:rsid w:val="00EF6A1F"/>
    <w:rsid w:val="00EF6AB8"/>
    <w:rsid w:val="00EF6C44"/>
    <w:rsid w:val="00EF6C96"/>
    <w:rsid w:val="00EF6E14"/>
    <w:rsid w:val="00EF6E73"/>
    <w:rsid w:val="00EF6E86"/>
    <w:rsid w:val="00EF6F35"/>
    <w:rsid w:val="00EF70A3"/>
    <w:rsid w:val="00EF717D"/>
    <w:rsid w:val="00EF719F"/>
    <w:rsid w:val="00EF7266"/>
    <w:rsid w:val="00EF740B"/>
    <w:rsid w:val="00EF746C"/>
    <w:rsid w:val="00EF7542"/>
    <w:rsid w:val="00EF764D"/>
    <w:rsid w:val="00EF76B9"/>
    <w:rsid w:val="00EF76FF"/>
    <w:rsid w:val="00EF773A"/>
    <w:rsid w:val="00EF7753"/>
    <w:rsid w:val="00EF77D3"/>
    <w:rsid w:val="00EF782D"/>
    <w:rsid w:val="00EF786C"/>
    <w:rsid w:val="00EF7994"/>
    <w:rsid w:val="00EF7AA7"/>
    <w:rsid w:val="00EF7AE3"/>
    <w:rsid w:val="00EF7B60"/>
    <w:rsid w:val="00EF7B95"/>
    <w:rsid w:val="00EF7C50"/>
    <w:rsid w:val="00EF7DA4"/>
    <w:rsid w:val="00EF7E01"/>
    <w:rsid w:val="00EF7E09"/>
    <w:rsid w:val="00EF7E76"/>
    <w:rsid w:val="00EF7F40"/>
    <w:rsid w:val="00F0000F"/>
    <w:rsid w:val="00F00171"/>
    <w:rsid w:val="00F001B1"/>
    <w:rsid w:val="00F001BE"/>
    <w:rsid w:val="00F00260"/>
    <w:rsid w:val="00F00270"/>
    <w:rsid w:val="00F002FF"/>
    <w:rsid w:val="00F004A2"/>
    <w:rsid w:val="00F005A6"/>
    <w:rsid w:val="00F005D0"/>
    <w:rsid w:val="00F00685"/>
    <w:rsid w:val="00F006A5"/>
    <w:rsid w:val="00F00871"/>
    <w:rsid w:val="00F00892"/>
    <w:rsid w:val="00F008FC"/>
    <w:rsid w:val="00F00A25"/>
    <w:rsid w:val="00F00AF7"/>
    <w:rsid w:val="00F00B32"/>
    <w:rsid w:val="00F00D1F"/>
    <w:rsid w:val="00F00D61"/>
    <w:rsid w:val="00F00DCB"/>
    <w:rsid w:val="00F00E3F"/>
    <w:rsid w:val="00F00E95"/>
    <w:rsid w:val="00F0105C"/>
    <w:rsid w:val="00F01066"/>
    <w:rsid w:val="00F0107A"/>
    <w:rsid w:val="00F01132"/>
    <w:rsid w:val="00F0136D"/>
    <w:rsid w:val="00F013BB"/>
    <w:rsid w:val="00F014FB"/>
    <w:rsid w:val="00F0153D"/>
    <w:rsid w:val="00F01665"/>
    <w:rsid w:val="00F01744"/>
    <w:rsid w:val="00F018AF"/>
    <w:rsid w:val="00F019C3"/>
    <w:rsid w:val="00F019E6"/>
    <w:rsid w:val="00F01A42"/>
    <w:rsid w:val="00F01A6A"/>
    <w:rsid w:val="00F01BBD"/>
    <w:rsid w:val="00F01BEE"/>
    <w:rsid w:val="00F01BF1"/>
    <w:rsid w:val="00F01CFB"/>
    <w:rsid w:val="00F01D9C"/>
    <w:rsid w:val="00F01DF2"/>
    <w:rsid w:val="00F01DFB"/>
    <w:rsid w:val="00F01E00"/>
    <w:rsid w:val="00F01E53"/>
    <w:rsid w:val="00F020D1"/>
    <w:rsid w:val="00F020E2"/>
    <w:rsid w:val="00F0215F"/>
    <w:rsid w:val="00F021D3"/>
    <w:rsid w:val="00F02217"/>
    <w:rsid w:val="00F022CC"/>
    <w:rsid w:val="00F02843"/>
    <w:rsid w:val="00F02903"/>
    <w:rsid w:val="00F029AE"/>
    <w:rsid w:val="00F02A64"/>
    <w:rsid w:val="00F02A72"/>
    <w:rsid w:val="00F02B14"/>
    <w:rsid w:val="00F02BCE"/>
    <w:rsid w:val="00F02BE7"/>
    <w:rsid w:val="00F02CC2"/>
    <w:rsid w:val="00F02EF7"/>
    <w:rsid w:val="00F03129"/>
    <w:rsid w:val="00F031BA"/>
    <w:rsid w:val="00F0324E"/>
    <w:rsid w:val="00F0327C"/>
    <w:rsid w:val="00F0332D"/>
    <w:rsid w:val="00F033D2"/>
    <w:rsid w:val="00F033E6"/>
    <w:rsid w:val="00F03460"/>
    <w:rsid w:val="00F0355D"/>
    <w:rsid w:val="00F0356D"/>
    <w:rsid w:val="00F03574"/>
    <w:rsid w:val="00F03779"/>
    <w:rsid w:val="00F0378D"/>
    <w:rsid w:val="00F03943"/>
    <w:rsid w:val="00F03D19"/>
    <w:rsid w:val="00F03D3A"/>
    <w:rsid w:val="00F03FC0"/>
    <w:rsid w:val="00F04167"/>
    <w:rsid w:val="00F0430D"/>
    <w:rsid w:val="00F0433A"/>
    <w:rsid w:val="00F043BD"/>
    <w:rsid w:val="00F044D4"/>
    <w:rsid w:val="00F04523"/>
    <w:rsid w:val="00F046F9"/>
    <w:rsid w:val="00F046FF"/>
    <w:rsid w:val="00F04805"/>
    <w:rsid w:val="00F04911"/>
    <w:rsid w:val="00F04983"/>
    <w:rsid w:val="00F04DF9"/>
    <w:rsid w:val="00F050A3"/>
    <w:rsid w:val="00F05154"/>
    <w:rsid w:val="00F0518C"/>
    <w:rsid w:val="00F051F5"/>
    <w:rsid w:val="00F0527C"/>
    <w:rsid w:val="00F05341"/>
    <w:rsid w:val="00F053CD"/>
    <w:rsid w:val="00F05505"/>
    <w:rsid w:val="00F05592"/>
    <w:rsid w:val="00F05620"/>
    <w:rsid w:val="00F05649"/>
    <w:rsid w:val="00F056C2"/>
    <w:rsid w:val="00F056CA"/>
    <w:rsid w:val="00F0575A"/>
    <w:rsid w:val="00F057D4"/>
    <w:rsid w:val="00F0587C"/>
    <w:rsid w:val="00F05905"/>
    <w:rsid w:val="00F05963"/>
    <w:rsid w:val="00F05C80"/>
    <w:rsid w:val="00F05C9E"/>
    <w:rsid w:val="00F05CA6"/>
    <w:rsid w:val="00F05CA8"/>
    <w:rsid w:val="00F05D63"/>
    <w:rsid w:val="00F05DF9"/>
    <w:rsid w:val="00F05DFA"/>
    <w:rsid w:val="00F05E30"/>
    <w:rsid w:val="00F05E57"/>
    <w:rsid w:val="00F05E61"/>
    <w:rsid w:val="00F05F4E"/>
    <w:rsid w:val="00F05F65"/>
    <w:rsid w:val="00F05F9A"/>
    <w:rsid w:val="00F060E7"/>
    <w:rsid w:val="00F06119"/>
    <w:rsid w:val="00F06351"/>
    <w:rsid w:val="00F063C3"/>
    <w:rsid w:val="00F06443"/>
    <w:rsid w:val="00F06588"/>
    <w:rsid w:val="00F066BD"/>
    <w:rsid w:val="00F067D5"/>
    <w:rsid w:val="00F0686E"/>
    <w:rsid w:val="00F0687F"/>
    <w:rsid w:val="00F069AA"/>
    <w:rsid w:val="00F06A08"/>
    <w:rsid w:val="00F06ABB"/>
    <w:rsid w:val="00F06ACB"/>
    <w:rsid w:val="00F06B9E"/>
    <w:rsid w:val="00F06BA8"/>
    <w:rsid w:val="00F06D0F"/>
    <w:rsid w:val="00F07149"/>
    <w:rsid w:val="00F07216"/>
    <w:rsid w:val="00F0756E"/>
    <w:rsid w:val="00F07694"/>
    <w:rsid w:val="00F07763"/>
    <w:rsid w:val="00F07791"/>
    <w:rsid w:val="00F07848"/>
    <w:rsid w:val="00F07BCD"/>
    <w:rsid w:val="00F07BDD"/>
    <w:rsid w:val="00F07C6C"/>
    <w:rsid w:val="00F07C7F"/>
    <w:rsid w:val="00F07D02"/>
    <w:rsid w:val="00F07D4D"/>
    <w:rsid w:val="00F07D96"/>
    <w:rsid w:val="00F07DB0"/>
    <w:rsid w:val="00F07E1D"/>
    <w:rsid w:val="00F07EAA"/>
    <w:rsid w:val="00F07F98"/>
    <w:rsid w:val="00F100E7"/>
    <w:rsid w:val="00F101C3"/>
    <w:rsid w:val="00F102DE"/>
    <w:rsid w:val="00F102E0"/>
    <w:rsid w:val="00F102E8"/>
    <w:rsid w:val="00F104A2"/>
    <w:rsid w:val="00F104E2"/>
    <w:rsid w:val="00F10608"/>
    <w:rsid w:val="00F1062E"/>
    <w:rsid w:val="00F106CE"/>
    <w:rsid w:val="00F10922"/>
    <w:rsid w:val="00F10987"/>
    <w:rsid w:val="00F10A83"/>
    <w:rsid w:val="00F10B22"/>
    <w:rsid w:val="00F10DD4"/>
    <w:rsid w:val="00F10EE0"/>
    <w:rsid w:val="00F10F9B"/>
    <w:rsid w:val="00F111B2"/>
    <w:rsid w:val="00F11428"/>
    <w:rsid w:val="00F11489"/>
    <w:rsid w:val="00F114BA"/>
    <w:rsid w:val="00F114EB"/>
    <w:rsid w:val="00F1155A"/>
    <w:rsid w:val="00F1155C"/>
    <w:rsid w:val="00F115F9"/>
    <w:rsid w:val="00F11606"/>
    <w:rsid w:val="00F11607"/>
    <w:rsid w:val="00F116DE"/>
    <w:rsid w:val="00F11755"/>
    <w:rsid w:val="00F11763"/>
    <w:rsid w:val="00F117FF"/>
    <w:rsid w:val="00F11825"/>
    <w:rsid w:val="00F11913"/>
    <w:rsid w:val="00F11A28"/>
    <w:rsid w:val="00F11B53"/>
    <w:rsid w:val="00F11CA5"/>
    <w:rsid w:val="00F11CB7"/>
    <w:rsid w:val="00F11D12"/>
    <w:rsid w:val="00F11D56"/>
    <w:rsid w:val="00F11D57"/>
    <w:rsid w:val="00F11D93"/>
    <w:rsid w:val="00F11DEE"/>
    <w:rsid w:val="00F11FE6"/>
    <w:rsid w:val="00F11FFA"/>
    <w:rsid w:val="00F12141"/>
    <w:rsid w:val="00F121EE"/>
    <w:rsid w:val="00F1220D"/>
    <w:rsid w:val="00F1243B"/>
    <w:rsid w:val="00F1245F"/>
    <w:rsid w:val="00F12535"/>
    <w:rsid w:val="00F12538"/>
    <w:rsid w:val="00F126FB"/>
    <w:rsid w:val="00F127B5"/>
    <w:rsid w:val="00F12925"/>
    <w:rsid w:val="00F12988"/>
    <w:rsid w:val="00F129F2"/>
    <w:rsid w:val="00F12B07"/>
    <w:rsid w:val="00F12C2D"/>
    <w:rsid w:val="00F12D19"/>
    <w:rsid w:val="00F12DD8"/>
    <w:rsid w:val="00F12F28"/>
    <w:rsid w:val="00F130A7"/>
    <w:rsid w:val="00F131B1"/>
    <w:rsid w:val="00F1331E"/>
    <w:rsid w:val="00F13622"/>
    <w:rsid w:val="00F13828"/>
    <w:rsid w:val="00F138BD"/>
    <w:rsid w:val="00F1390E"/>
    <w:rsid w:val="00F139B8"/>
    <w:rsid w:val="00F139E3"/>
    <w:rsid w:val="00F139EC"/>
    <w:rsid w:val="00F139FE"/>
    <w:rsid w:val="00F13CFD"/>
    <w:rsid w:val="00F13DD8"/>
    <w:rsid w:val="00F13EFD"/>
    <w:rsid w:val="00F13FB2"/>
    <w:rsid w:val="00F13FF3"/>
    <w:rsid w:val="00F14027"/>
    <w:rsid w:val="00F1412A"/>
    <w:rsid w:val="00F14149"/>
    <w:rsid w:val="00F141DF"/>
    <w:rsid w:val="00F1431D"/>
    <w:rsid w:val="00F14422"/>
    <w:rsid w:val="00F1443E"/>
    <w:rsid w:val="00F144F2"/>
    <w:rsid w:val="00F145B8"/>
    <w:rsid w:val="00F145E5"/>
    <w:rsid w:val="00F14620"/>
    <w:rsid w:val="00F1473F"/>
    <w:rsid w:val="00F14776"/>
    <w:rsid w:val="00F147D5"/>
    <w:rsid w:val="00F1488F"/>
    <w:rsid w:val="00F148FB"/>
    <w:rsid w:val="00F14976"/>
    <w:rsid w:val="00F1497B"/>
    <w:rsid w:val="00F14A91"/>
    <w:rsid w:val="00F14AFF"/>
    <w:rsid w:val="00F14B3A"/>
    <w:rsid w:val="00F14B56"/>
    <w:rsid w:val="00F14B5F"/>
    <w:rsid w:val="00F14B74"/>
    <w:rsid w:val="00F14B7C"/>
    <w:rsid w:val="00F14D10"/>
    <w:rsid w:val="00F14E07"/>
    <w:rsid w:val="00F14E53"/>
    <w:rsid w:val="00F14F45"/>
    <w:rsid w:val="00F14FD5"/>
    <w:rsid w:val="00F1504B"/>
    <w:rsid w:val="00F150B5"/>
    <w:rsid w:val="00F1510F"/>
    <w:rsid w:val="00F15198"/>
    <w:rsid w:val="00F15228"/>
    <w:rsid w:val="00F15334"/>
    <w:rsid w:val="00F153E5"/>
    <w:rsid w:val="00F153F7"/>
    <w:rsid w:val="00F15487"/>
    <w:rsid w:val="00F154C1"/>
    <w:rsid w:val="00F154DE"/>
    <w:rsid w:val="00F155D5"/>
    <w:rsid w:val="00F155DE"/>
    <w:rsid w:val="00F156B8"/>
    <w:rsid w:val="00F156FF"/>
    <w:rsid w:val="00F15711"/>
    <w:rsid w:val="00F15783"/>
    <w:rsid w:val="00F157CD"/>
    <w:rsid w:val="00F1586F"/>
    <w:rsid w:val="00F1588F"/>
    <w:rsid w:val="00F15956"/>
    <w:rsid w:val="00F15A76"/>
    <w:rsid w:val="00F15AC4"/>
    <w:rsid w:val="00F15BEA"/>
    <w:rsid w:val="00F15C7A"/>
    <w:rsid w:val="00F15CBC"/>
    <w:rsid w:val="00F15D06"/>
    <w:rsid w:val="00F15D22"/>
    <w:rsid w:val="00F15D57"/>
    <w:rsid w:val="00F15D90"/>
    <w:rsid w:val="00F15DE7"/>
    <w:rsid w:val="00F15EA3"/>
    <w:rsid w:val="00F15FA3"/>
    <w:rsid w:val="00F1608E"/>
    <w:rsid w:val="00F1609D"/>
    <w:rsid w:val="00F160B3"/>
    <w:rsid w:val="00F16182"/>
    <w:rsid w:val="00F161B2"/>
    <w:rsid w:val="00F16210"/>
    <w:rsid w:val="00F1631E"/>
    <w:rsid w:val="00F16361"/>
    <w:rsid w:val="00F1643D"/>
    <w:rsid w:val="00F165E0"/>
    <w:rsid w:val="00F1677B"/>
    <w:rsid w:val="00F167FF"/>
    <w:rsid w:val="00F16866"/>
    <w:rsid w:val="00F16922"/>
    <w:rsid w:val="00F1697B"/>
    <w:rsid w:val="00F169DB"/>
    <w:rsid w:val="00F16B96"/>
    <w:rsid w:val="00F16BBA"/>
    <w:rsid w:val="00F16BFD"/>
    <w:rsid w:val="00F16C8F"/>
    <w:rsid w:val="00F16CA5"/>
    <w:rsid w:val="00F16CF4"/>
    <w:rsid w:val="00F16D15"/>
    <w:rsid w:val="00F16D52"/>
    <w:rsid w:val="00F16D56"/>
    <w:rsid w:val="00F16DDD"/>
    <w:rsid w:val="00F16DF0"/>
    <w:rsid w:val="00F16F8F"/>
    <w:rsid w:val="00F16F94"/>
    <w:rsid w:val="00F16FC6"/>
    <w:rsid w:val="00F17069"/>
    <w:rsid w:val="00F170E4"/>
    <w:rsid w:val="00F17127"/>
    <w:rsid w:val="00F17133"/>
    <w:rsid w:val="00F1713B"/>
    <w:rsid w:val="00F17166"/>
    <w:rsid w:val="00F171C5"/>
    <w:rsid w:val="00F171CE"/>
    <w:rsid w:val="00F171EE"/>
    <w:rsid w:val="00F17250"/>
    <w:rsid w:val="00F173AD"/>
    <w:rsid w:val="00F1750F"/>
    <w:rsid w:val="00F175E5"/>
    <w:rsid w:val="00F17636"/>
    <w:rsid w:val="00F17667"/>
    <w:rsid w:val="00F17789"/>
    <w:rsid w:val="00F178BE"/>
    <w:rsid w:val="00F17900"/>
    <w:rsid w:val="00F17A3E"/>
    <w:rsid w:val="00F17A93"/>
    <w:rsid w:val="00F17CCC"/>
    <w:rsid w:val="00F17D3E"/>
    <w:rsid w:val="00F17E74"/>
    <w:rsid w:val="00F17FBB"/>
    <w:rsid w:val="00F17FCE"/>
    <w:rsid w:val="00F20023"/>
    <w:rsid w:val="00F2016E"/>
    <w:rsid w:val="00F20191"/>
    <w:rsid w:val="00F201BE"/>
    <w:rsid w:val="00F201D7"/>
    <w:rsid w:val="00F20294"/>
    <w:rsid w:val="00F20310"/>
    <w:rsid w:val="00F203B8"/>
    <w:rsid w:val="00F20402"/>
    <w:rsid w:val="00F20450"/>
    <w:rsid w:val="00F205AF"/>
    <w:rsid w:val="00F20607"/>
    <w:rsid w:val="00F206D4"/>
    <w:rsid w:val="00F2077E"/>
    <w:rsid w:val="00F20782"/>
    <w:rsid w:val="00F2079C"/>
    <w:rsid w:val="00F2081C"/>
    <w:rsid w:val="00F20A09"/>
    <w:rsid w:val="00F20B94"/>
    <w:rsid w:val="00F20C80"/>
    <w:rsid w:val="00F20CDC"/>
    <w:rsid w:val="00F20D07"/>
    <w:rsid w:val="00F20E38"/>
    <w:rsid w:val="00F20E5C"/>
    <w:rsid w:val="00F20F47"/>
    <w:rsid w:val="00F20F50"/>
    <w:rsid w:val="00F20FAC"/>
    <w:rsid w:val="00F20FBA"/>
    <w:rsid w:val="00F21035"/>
    <w:rsid w:val="00F210BC"/>
    <w:rsid w:val="00F21126"/>
    <w:rsid w:val="00F21127"/>
    <w:rsid w:val="00F211D8"/>
    <w:rsid w:val="00F21265"/>
    <w:rsid w:val="00F212BA"/>
    <w:rsid w:val="00F2147A"/>
    <w:rsid w:val="00F214C9"/>
    <w:rsid w:val="00F21657"/>
    <w:rsid w:val="00F217D0"/>
    <w:rsid w:val="00F21847"/>
    <w:rsid w:val="00F218C3"/>
    <w:rsid w:val="00F21A9C"/>
    <w:rsid w:val="00F21B43"/>
    <w:rsid w:val="00F21B97"/>
    <w:rsid w:val="00F21C37"/>
    <w:rsid w:val="00F21DCD"/>
    <w:rsid w:val="00F21E48"/>
    <w:rsid w:val="00F21EC7"/>
    <w:rsid w:val="00F21EF7"/>
    <w:rsid w:val="00F21F37"/>
    <w:rsid w:val="00F21F46"/>
    <w:rsid w:val="00F21F62"/>
    <w:rsid w:val="00F21FAA"/>
    <w:rsid w:val="00F221D9"/>
    <w:rsid w:val="00F2221A"/>
    <w:rsid w:val="00F222ED"/>
    <w:rsid w:val="00F22379"/>
    <w:rsid w:val="00F22383"/>
    <w:rsid w:val="00F223DB"/>
    <w:rsid w:val="00F22549"/>
    <w:rsid w:val="00F225A2"/>
    <w:rsid w:val="00F225C4"/>
    <w:rsid w:val="00F225CC"/>
    <w:rsid w:val="00F2266B"/>
    <w:rsid w:val="00F2267A"/>
    <w:rsid w:val="00F22768"/>
    <w:rsid w:val="00F2280B"/>
    <w:rsid w:val="00F22863"/>
    <w:rsid w:val="00F22931"/>
    <w:rsid w:val="00F22996"/>
    <w:rsid w:val="00F229C0"/>
    <w:rsid w:val="00F229F3"/>
    <w:rsid w:val="00F22A0F"/>
    <w:rsid w:val="00F22B6A"/>
    <w:rsid w:val="00F22BC0"/>
    <w:rsid w:val="00F22EA4"/>
    <w:rsid w:val="00F22FA4"/>
    <w:rsid w:val="00F2308D"/>
    <w:rsid w:val="00F230DD"/>
    <w:rsid w:val="00F23100"/>
    <w:rsid w:val="00F231B0"/>
    <w:rsid w:val="00F23216"/>
    <w:rsid w:val="00F232A5"/>
    <w:rsid w:val="00F23482"/>
    <w:rsid w:val="00F23513"/>
    <w:rsid w:val="00F235D9"/>
    <w:rsid w:val="00F23679"/>
    <w:rsid w:val="00F23713"/>
    <w:rsid w:val="00F23758"/>
    <w:rsid w:val="00F2380C"/>
    <w:rsid w:val="00F2381F"/>
    <w:rsid w:val="00F238EB"/>
    <w:rsid w:val="00F2393A"/>
    <w:rsid w:val="00F23A4D"/>
    <w:rsid w:val="00F23AAD"/>
    <w:rsid w:val="00F23AE9"/>
    <w:rsid w:val="00F23AF8"/>
    <w:rsid w:val="00F23CE2"/>
    <w:rsid w:val="00F23D71"/>
    <w:rsid w:val="00F23D76"/>
    <w:rsid w:val="00F23DD2"/>
    <w:rsid w:val="00F23EB5"/>
    <w:rsid w:val="00F23EFC"/>
    <w:rsid w:val="00F23F1C"/>
    <w:rsid w:val="00F23F48"/>
    <w:rsid w:val="00F23F4C"/>
    <w:rsid w:val="00F23FBD"/>
    <w:rsid w:val="00F23FE0"/>
    <w:rsid w:val="00F24032"/>
    <w:rsid w:val="00F2403C"/>
    <w:rsid w:val="00F24126"/>
    <w:rsid w:val="00F24154"/>
    <w:rsid w:val="00F241D3"/>
    <w:rsid w:val="00F24225"/>
    <w:rsid w:val="00F242E1"/>
    <w:rsid w:val="00F24357"/>
    <w:rsid w:val="00F243D3"/>
    <w:rsid w:val="00F244E8"/>
    <w:rsid w:val="00F24519"/>
    <w:rsid w:val="00F24581"/>
    <w:rsid w:val="00F2486B"/>
    <w:rsid w:val="00F24909"/>
    <w:rsid w:val="00F2498A"/>
    <w:rsid w:val="00F249C9"/>
    <w:rsid w:val="00F24A70"/>
    <w:rsid w:val="00F24C6A"/>
    <w:rsid w:val="00F24CBD"/>
    <w:rsid w:val="00F24CF5"/>
    <w:rsid w:val="00F24D68"/>
    <w:rsid w:val="00F24DD1"/>
    <w:rsid w:val="00F24E17"/>
    <w:rsid w:val="00F24E85"/>
    <w:rsid w:val="00F24EFA"/>
    <w:rsid w:val="00F24F73"/>
    <w:rsid w:val="00F253E1"/>
    <w:rsid w:val="00F254D6"/>
    <w:rsid w:val="00F2552F"/>
    <w:rsid w:val="00F25567"/>
    <w:rsid w:val="00F256DF"/>
    <w:rsid w:val="00F25709"/>
    <w:rsid w:val="00F2570F"/>
    <w:rsid w:val="00F25711"/>
    <w:rsid w:val="00F25825"/>
    <w:rsid w:val="00F25877"/>
    <w:rsid w:val="00F259D5"/>
    <w:rsid w:val="00F25A56"/>
    <w:rsid w:val="00F25AA4"/>
    <w:rsid w:val="00F25B22"/>
    <w:rsid w:val="00F25D2B"/>
    <w:rsid w:val="00F25E7E"/>
    <w:rsid w:val="00F25F72"/>
    <w:rsid w:val="00F26055"/>
    <w:rsid w:val="00F260E4"/>
    <w:rsid w:val="00F26185"/>
    <w:rsid w:val="00F26457"/>
    <w:rsid w:val="00F2645B"/>
    <w:rsid w:val="00F26522"/>
    <w:rsid w:val="00F2652B"/>
    <w:rsid w:val="00F2658B"/>
    <w:rsid w:val="00F265A2"/>
    <w:rsid w:val="00F265EC"/>
    <w:rsid w:val="00F2675A"/>
    <w:rsid w:val="00F267C9"/>
    <w:rsid w:val="00F267CA"/>
    <w:rsid w:val="00F268AD"/>
    <w:rsid w:val="00F26980"/>
    <w:rsid w:val="00F26A4E"/>
    <w:rsid w:val="00F26A77"/>
    <w:rsid w:val="00F26AEB"/>
    <w:rsid w:val="00F26B26"/>
    <w:rsid w:val="00F26B30"/>
    <w:rsid w:val="00F26E3D"/>
    <w:rsid w:val="00F26E70"/>
    <w:rsid w:val="00F26E93"/>
    <w:rsid w:val="00F26F56"/>
    <w:rsid w:val="00F26FCB"/>
    <w:rsid w:val="00F26FE2"/>
    <w:rsid w:val="00F2707D"/>
    <w:rsid w:val="00F270D3"/>
    <w:rsid w:val="00F27299"/>
    <w:rsid w:val="00F273FE"/>
    <w:rsid w:val="00F274E3"/>
    <w:rsid w:val="00F2752B"/>
    <w:rsid w:val="00F275DF"/>
    <w:rsid w:val="00F2771A"/>
    <w:rsid w:val="00F277AC"/>
    <w:rsid w:val="00F27802"/>
    <w:rsid w:val="00F278BE"/>
    <w:rsid w:val="00F278D7"/>
    <w:rsid w:val="00F2790E"/>
    <w:rsid w:val="00F27987"/>
    <w:rsid w:val="00F279D5"/>
    <w:rsid w:val="00F27A03"/>
    <w:rsid w:val="00F27A08"/>
    <w:rsid w:val="00F27B12"/>
    <w:rsid w:val="00F27BAC"/>
    <w:rsid w:val="00F27BAE"/>
    <w:rsid w:val="00F27C5B"/>
    <w:rsid w:val="00F27D05"/>
    <w:rsid w:val="00F27D0C"/>
    <w:rsid w:val="00F27D6B"/>
    <w:rsid w:val="00F27EB6"/>
    <w:rsid w:val="00F30043"/>
    <w:rsid w:val="00F30225"/>
    <w:rsid w:val="00F302E5"/>
    <w:rsid w:val="00F30359"/>
    <w:rsid w:val="00F30361"/>
    <w:rsid w:val="00F303C2"/>
    <w:rsid w:val="00F30439"/>
    <w:rsid w:val="00F30448"/>
    <w:rsid w:val="00F304C6"/>
    <w:rsid w:val="00F30518"/>
    <w:rsid w:val="00F30564"/>
    <w:rsid w:val="00F30596"/>
    <w:rsid w:val="00F305BC"/>
    <w:rsid w:val="00F305ED"/>
    <w:rsid w:val="00F30647"/>
    <w:rsid w:val="00F306CD"/>
    <w:rsid w:val="00F3079A"/>
    <w:rsid w:val="00F307AA"/>
    <w:rsid w:val="00F30840"/>
    <w:rsid w:val="00F30895"/>
    <w:rsid w:val="00F308CA"/>
    <w:rsid w:val="00F309CC"/>
    <w:rsid w:val="00F309D5"/>
    <w:rsid w:val="00F30A29"/>
    <w:rsid w:val="00F30A3E"/>
    <w:rsid w:val="00F30A6B"/>
    <w:rsid w:val="00F30AB0"/>
    <w:rsid w:val="00F30BA3"/>
    <w:rsid w:val="00F30C0C"/>
    <w:rsid w:val="00F30DB9"/>
    <w:rsid w:val="00F30E7A"/>
    <w:rsid w:val="00F30ED4"/>
    <w:rsid w:val="00F30EEB"/>
    <w:rsid w:val="00F31037"/>
    <w:rsid w:val="00F31103"/>
    <w:rsid w:val="00F3117A"/>
    <w:rsid w:val="00F3125B"/>
    <w:rsid w:val="00F312D3"/>
    <w:rsid w:val="00F313CB"/>
    <w:rsid w:val="00F31401"/>
    <w:rsid w:val="00F3141A"/>
    <w:rsid w:val="00F31420"/>
    <w:rsid w:val="00F314AB"/>
    <w:rsid w:val="00F314D8"/>
    <w:rsid w:val="00F3178B"/>
    <w:rsid w:val="00F317D2"/>
    <w:rsid w:val="00F317F3"/>
    <w:rsid w:val="00F317F9"/>
    <w:rsid w:val="00F31896"/>
    <w:rsid w:val="00F319ED"/>
    <w:rsid w:val="00F319F7"/>
    <w:rsid w:val="00F31C90"/>
    <w:rsid w:val="00F31E25"/>
    <w:rsid w:val="00F31E65"/>
    <w:rsid w:val="00F31EBD"/>
    <w:rsid w:val="00F31F6F"/>
    <w:rsid w:val="00F31FB7"/>
    <w:rsid w:val="00F31FD8"/>
    <w:rsid w:val="00F31FF9"/>
    <w:rsid w:val="00F320B0"/>
    <w:rsid w:val="00F32207"/>
    <w:rsid w:val="00F323A1"/>
    <w:rsid w:val="00F32641"/>
    <w:rsid w:val="00F3276B"/>
    <w:rsid w:val="00F32796"/>
    <w:rsid w:val="00F327A7"/>
    <w:rsid w:val="00F32908"/>
    <w:rsid w:val="00F32927"/>
    <w:rsid w:val="00F329D0"/>
    <w:rsid w:val="00F32B03"/>
    <w:rsid w:val="00F32B5F"/>
    <w:rsid w:val="00F32BE3"/>
    <w:rsid w:val="00F32BEB"/>
    <w:rsid w:val="00F32D6E"/>
    <w:rsid w:val="00F32DF4"/>
    <w:rsid w:val="00F32EBB"/>
    <w:rsid w:val="00F33036"/>
    <w:rsid w:val="00F33126"/>
    <w:rsid w:val="00F3314C"/>
    <w:rsid w:val="00F33302"/>
    <w:rsid w:val="00F3333E"/>
    <w:rsid w:val="00F334FD"/>
    <w:rsid w:val="00F33513"/>
    <w:rsid w:val="00F3362A"/>
    <w:rsid w:val="00F3363E"/>
    <w:rsid w:val="00F336CE"/>
    <w:rsid w:val="00F33704"/>
    <w:rsid w:val="00F33706"/>
    <w:rsid w:val="00F3385A"/>
    <w:rsid w:val="00F33871"/>
    <w:rsid w:val="00F33973"/>
    <w:rsid w:val="00F33992"/>
    <w:rsid w:val="00F33A0B"/>
    <w:rsid w:val="00F33A38"/>
    <w:rsid w:val="00F33A89"/>
    <w:rsid w:val="00F33A9C"/>
    <w:rsid w:val="00F33ADD"/>
    <w:rsid w:val="00F33B34"/>
    <w:rsid w:val="00F33B72"/>
    <w:rsid w:val="00F33BCA"/>
    <w:rsid w:val="00F33BCD"/>
    <w:rsid w:val="00F33BDE"/>
    <w:rsid w:val="00F33FD3"/>
    <w:rsid w:val="00F34131"/>
    <w:rsid w:val="00F34223"/>
    <w:rsid w:val="00F3423A"/>
    <w:rsid w:val="00F34312"/>
    <w:rsid w:val="00F345EE"/>
    <w:rsid w:val="00F3465C"/>
    <w:rsid w:val="00F347E3"/>
    <w:rsid w:val="00F348D4"/>
    <w:rsid w:val="00F34907"/>
    <w:rsid w:val="00F34AD9"/>
    <w:rsid w:val="00F34BE3"/>
    <w:rsid w:val="00F34C77"/>
    <w:rsid w:val="00F34CEE"/>
    <w:rsid w:val="00F34D12"/>
    <w:rsid w:val="00F34E38"/>
    <w:rsid w:val="00F34E55"/>
    <w:rsid w:val="00F34F3C"/>
    <w:rsid w:val="00F351D5"/>
    <w:rsid w:val="00F35225"/>
    <w:rsid w:val="00F35279"/>
    <w:rsid w:val="00F35295"/>
    <w:rsid w:val="00F3531E"/>
    <w:rsid w:val="00F35334"/>
    <w:rsid w:val="00F35355"/>
    <w:rsid w:val="00F354F6"/>
    <w:rsid w:val="00F35718"/>
    <w:rsid w:val="00F35729"/>
    <w:rsid w:val="00F357FC"/>
    <w:rsid w:val="00F3587A"/>
    <w:rsid w:val="00F358FA"/>
    <w:rsid w:val="00F35917"/>
    <w:rsid w:val="00F35B24"/>
    <w:rsid w:val="00F35B42"/>
    <w:rsid w:val="00F35C14"/>
    <w:rsid w:val="00F35C41"/>
    <w:rsid w:val="00F35C5B"/>
    <w:rsid w:val="00F35C76"/>
    <w:rsid w:val="00F35D08"/>
    <w:rsid w:val="00F35D95"/>
    <w:rsid w:val="00F35E94"/>
    <w:rsid w:val="00F35EEE"/>
    <w:rsid w:val="00F35EEF"/>
    <w:rsid w:val="00F3610D"/>
    <w:rsid w:val="00F361BE"/>
    <w:rsid w:val="00F362AF"/>
    <w:rsid w:val="00F36357"/>
    <w:rsid w:val="00F363B2"/>
    <w:rsid w:val="00F36487"/>
    <w:rsid w:val="00F364DC"/>
    <w:rsid w:val="00F364FF"/>
    <w:rsid w:val="00F3676C"/>
    <w:rsid w:val="00F3679A"/>
    <w:rsid w:val="00F367E5"/>
    <w:rsid w:val="00F3683F"/>
    <w:rsid w:val="00F368AB"/>
    <w:rsid w:val="00F3690C"/>
    <w:rsid w:val="00F36914"/>
    <w:rsid w:val="00F36A81"/>
    <w:rsid w:val="00F36AD7"/>
    <w:rsid w:val="00F36B29"/>
    <w:rsid w:val="00F36B94"/>
    <w:rsid w:val="00F36B95"/>
    <w:rsid w:val="00F36BD5"/>
    <w:rsid w:val="00F36C68"/>
    <w:rsid w:val="00F36CF9"/>
    <w:rsid w:val="00F36E4A"/>
    <w:rsid w:val="00F36EAE"/>
    <w:rsid w:val="00F36EE5"/>
    <w:rsid w:val="00F370AE"/>
    <w:rsid w:val="00F3712B"/>
    <w:rsid w:val="00F371C3"/>
    <w:rsid w:val="00F37220"/>
    <w:rsid w:val="00F373E1"/>
    <w:rsid w:val="00F374B1"/>
    <w:rsid w:val="00F37536"/>
    <w:rsid w:val="00F3755E"/>
    <w:rsid w:val="00F37567"/>
    <w:rsid w:val="00F3764A"/>
    <w:rsid w:val="00F37708"/>
    <w:rsid w:val="00F3773D"/>
    <w:rsid w:val="00F377BF"/>
    <w:rsid w:val="00F3780E"/>
    <w:rsid w:val="00F37860"/>
    <w:rsid w:val="00F37909"/>
    <w:rsid w:val="00F379AD"/>
    <w:rsid w:val="00F379F7"/>
    <w:rsid w:val="00F37C52"/>
    <w:rsid w:val="00F37DA7"/>
    <w:rsid w:val="00F37FDC"/>
    <w:rsid w:val="00F37FE6"/>
    <w:rsid w:val="00F400B7"/>
    <w:rsid w:val="00F40123"/>
    <w:rsid w:val="00F4013C"/>
    <w:rsid w:val="00F402A0"/>
    <w:rsid w:val="00F402E1"/>
    <w:rsid w:val="00F402FD"/>
    <w:rsid w:val="00F40380"/>
    <w:rsid w:val="00F40471"/>
    <w:rsid w:val="00F40476"/>
    <w:rsid w:val="00F40590"/>
    <w:rsid w:val="00F405CD"/>
    <w:rsid w:val="00F40698"/>
    <w:rsid w:val="00F406A9"/>
    <w:rsid w:val="00F406FE"/>
    <w:rsid w:val="00F4074F"/>
    <w:rsid w:val="00F408AB"/>
    <w:rsid w:val="00F40953"/>
    <w:rsid w:val="00F4095F"/>
    <w:rsid w:val="00F40B10"/>
    <w:rsid w:val="00F40B60"/>
    <w:rsid w:val="00F40B73"/>
    <w:rsid w:val="00F40BD7"/>
    <w:rsid w:val="00F40C10"/>
    <w:rsid w:val="00F40CAD"/>
    <w:rsid w:val="00F40D0D"/>
    <w:rsid w:val="00F40D6C"/>
    <w:rsid w:val="00F40E52"/>
    <w:rsid w:val="00F40E72"/>
    <w:rsid w:val="00F40EA8"/>
    <w:rsid w:val="00F40F6D"/>
    <w:rsid w:val="00F40FA9"/>
    <w:rsid w:val="00F41041"/>
    <w:rsid w:val="00F410E5"/>
    <w:rsid w:val="00F4119A"/>
    <w:rsid w:val="00F41354"/>
    <w:rsid w:val="00F4137C"/>
    <w:rsid w:val="00F413FA"/>
    <w:rsid w:val="00F414F7"/>
    <w:rsid w:val="00F415D4"/>
    <w:rsid w:val="00F4160E"/>
    <w:rsid w:val="00F416FF"/>
    <w:rsid w:val="00F41715"/>
    <w:rsid w:val="00F417DC"/>
    <w:rsid w:val="00F4183E"/>
    <w:rsid w:val="00F418F7"/>
    <w:rsid w:val="00F41977"/>
    <w:rsid w:val="00F41A44"/>
    <w:rsid w:val="00F41D23"/>
    <w:rsid w:val="00F41D2A"/>
    <w:rsid w:val="00F41EAC"/>
    <w:rsid w:val="00F41EB6"/>
    <w:rsid w:val="00F420C9"/>
    <w:rsid w:val="00F42131"/>
    <w:rsid w:val="00F42153"/>
    <w:rsid w:val="00F42328"/>
    <w:rsid w:val="00F423F0"/>
    <w:rsid w:val="00F42410"/>
    <w:rsid w:val="00F424D7"/>
    <w:rsid w:val="00F42541"/>
    <w:rsid w:val="00F4254D"/>
    <w:rsid w:val="00F4258A"/>
    <w:rsid w:val="00F42671"/>
    <w:rsid w:val="00F426B7"/>
    <w:rsid w:val="00F42725"/>
    <w:rsid w:val="00F4277D"/>
    <w:rsid w:val="00F427E7"/>
    <w:rsid w:val="00F427FC"/>
    <w:rsid w:val="00F4281C"/>
    <w:rsid w:val="00F4282C"/>
    <w:rsid w:val="00F42864"/>
    <w:rsid w:val="00F428BB"/>
    <w:rsid w:val="00F428D1"/>
    <w:rsid w:val="00F428E2"/>
    <w:rsid w:val="00F42A2C"/>
    <w:rsid w:val="00F42B14"/>
    <w:rsid w:val="00F42BA7"/>
    <w:rsid w:val="00F42BEA"/>
    <w:rsid w:val="00F42BFB"/>
    <w:rsid w:val="00F42DAA"/>
    <w:rsid w:val="00F42E5C"/>
    <w:rsid w:val="00F42F57"/>
    <w:rsid w:val="00F4304E"/>
    <w:rsid w:val="00F4306D"/>
    <w:rsid w:val="00F43144"/>
    <w:rsid w:val="00F4321E"/>
    <w:rsid w:val="00F43244"/>
    <w:rsid w:val="00F432F4"/>
    <w:rsid w:val="00F4334C"/>
    <w:rsid w:val="00F4339E"/>
    <w:rsid w:val="00F433C2"/>
    <w:rsid w:val="00F43435"/>
    <w:rsid w:val="00F436E8"/>
    <w:rsid w:val="00F4384E"/>
    <w:rsid w:val="00F438BC"/>
    <w:rsid w:val="00F438CD"/>
    <w:rsid w:val="00F4397C"/>
    <w:rsid w:val="00F43A58"/>
    <w:rsid w:val="00F43ADF"/>
    <w:rsid w:val="00F43B7D"/>
    <w:rsid w:val="00F43D5E"/>
    <w:rsid w:val="00F43DA4"/>
    <w:rsid w:val="00F43EE6"/>
    <w:rsid w:val="00F43EF0"/>
    <w:rsid w:val="00F43F1D"/>
    <w:rsid w:val="00F43F9A"/>
    <w:rsid w:val="00F44053"/>
    <w:rsid w:val="00F441BB"/>
    <w:rsid w:val="00F4434E"/>
    <w:rsid w:val="00F443E2"/>
    <w:rsid w:val="00F44429"/>
    <w:rsid w:val="00F4456E"/>
    <w:rsid w:val="00F4461A"/>
    <w:rsid w:val="00F4465F"/>
    <w:rsid w:val="00F4481B"/>
    <w:rsid w:val="00F4499B"/>
    <w:rsid w:val="00F449C9"/>
    <w:rsid w:val="00F44AE6"/>
    <w:rsid w:val="00F44B0C"/>
    <w:rsid w:val="00F44B0F"/>
    <w:rsid w:val="00F44B7F"/>
    <w:rsid w:val="00F44BE5"/>
    <w:rsid w:val="00F44E81"/>
    <w:rsid w:val="00F45024"/>
    <w:rsid w:val="00F45045"/>
    <w:rsid w:val="00F4513C"/>
    <w:rsid w:val="00F45384"/>
    <w:rsid w:val="00F455A0"/>
    <w:rsid w:val="00F45645"/>
    <w:rsid w:val="00F4570A"/>
    <w:rsid w:val="00F45766"/>
    <w:rsid w:val="00F458F0"/>
    <w:rsid w:val="00F45988"/>
    <w:rsid w:val="00F459C3"/>
    <w:rsid w:val="00F459F3"/>
    <w:rsid w:val="00F45A0B"/>
    <w:rsid w:val="00F45A49"/>
    <w:rsid w:val="00F45ADC"/>
    <w:rsid w:val="00F45BCE"/>
    <w:rsid w:val="00F45CE2"/>
    <w:rsid w:val="00F45EA4"/>
    <w:rsid w:val="00F45F1A"/>
    <w:rsid w:val="00F4608D"/>
    <w:rsid w:val="00F460C1"/>
    <w:rsid w:val="00F46195"/>
    <w:rsid w:val="00F461BF"/>
    <w:rsid w:val="00F4620E"/>
    <w:rsid w:val="00F46211"/>
    <w:rsid w:val="00F46217"/>
    <w:rsid w:val="00F46257"/>
    <w:rsid w:val="00F46267"/>
    <w:rsid w:val="00F4637E"/>
    <w:rsid w:val="00F463B6"/>
    <w:rsid w:val="00F463F2"/>
    <w:rsid w:val="00F465B5"/>
    <w:rsid w:val="00F46657"/>
    <w:rsid w:val="00F46688"/>
    <w:rsid w:val="00F466EF"/>
    <w:rsid w:val="00F46712"/>
    <w:rsid w:val="00F4687C"/>
    <w:rsid w:val="00F46A3E"/>
    <w:rsid w:val="00F46B7A"/>
    <w:rsid w:val="00F46B81"/>
    <w:rsid w:val="00F46CDD"/>
    <w:rsid w:val="00F46DB2"/>
    <w:rsid w:val="00F46DE9"/>
    <w:rsid w:val="00F46EAF"/>
    <w:rsid w:val="00F46EB5"/>
    <w:rsid w:val="00F46EED"/>
    <w:rsid w:val="00F4715E"/>
    <w:rsid w:val="00F47183"/>
    <w:rsid w:val="00F4740A"/>
    <w:rsid w:val="00F474D5"/>
    <w:rsid w:val="00F4750B"/>
    <w:rsid w:val="00F47610"/>
    <w:rsid w:val="00F47718"/>
    <w:rsid w:val="00F47729"/>
    <w:rsid w:val="00F4785E"/>
    <w:rsid w:val="00F47991"/>
    <w:rsid w:val="00F47998"/>
    <w:rsid w:val="00F47CFF"/>
    <w:rsid w:val="00F47E82"/>
    <w:rsid w:val="00F47FA7"/>
    <w:rsid w:val="00F47FE4"/>
    <w:rsid w:val="00F5007C"/>
    <w:rsid w:val="00F50087"/>
    <w:rsid w:val="00F50094"/>
    <w:rsid w:val="00F500A7"/>
    <w:rsid w:val="00F500D2"/>
    <w:rsid w:val="00F5011D"/>
    <w:rsid w:val="00F50159"/>
    <w:rsid w:val="00F505AD"/>
    <w:rsid w:val="00F505BC"/>
    <w:rsid w:val="00F50651"/>
    <w:rsid w:val="00F50768"/>
    <w:rsid w:val="00F50788"/>
    <w:rsid w:val="00F50A44"/>
    <w:rsid w:val="00F50A5C"/>
    <w:rsid w:val="00F50A90"/>
    <w:rsid w:val="00F50AD4"/>
    <w:rsid w:val="00F50CB0"/>
    <w:rsid w:val="00F50CBA"/>
    <w:rsid w:val="00F50CC7"/>
    <w:rsid w:val="00F50DD9"/>
    <w:rsid w:val="00F50DF8"/>
    <w:rsid w:val="00F50E13"/>
    <w:rsid w:val="00F50F58"/>
    <w:rsid w:val="00F50FFD"/>
    <w:rsid w:val="00F5111E"/>
    <w:rsid w:val="00F51126"/>
    <w:rsid w:val="00F5119E"/>
    <w:rsid w:val="00F51222"/>
    <w:rsid w:val="00F514B0"/>
    <w:rsid w:val="00F51524"/>
    <w:rsid w:val="00F515FA"/>
    <w:rsid w:val="00F5162E"/>
    <w:rsid w:val="00F51652"/>
    <w:rsid w:val="00F516B9"/>
    <w:rsid w:val="00F516F0"/>
    <w:rsid w:val="00F517F9"/>
    <w:rsid w:val="00F51AFC"/>
    <w:rsid w:val="00F51C65"/>
    <w:rsid w:val="00F51CF6"/>
    <w:rsid w:val="00F51E63"/>
    <w:rsid w:val="00F51EC9"/>
    <w:rsid w:val="00F51FE1"/>
    <w:rsid w:val="00F5207E"/>
    <w:rsid w:val="00F52088"/>
    <w:rsid w:val="00F520CC"/>
    <w:rsid w:val="00F520DF"/>
    <w:rsid w:val="00F52117"/>
    <w:rsid w:val="00F5216D"/>
    <w:rsid w:val="00F5227F"/>
    <w:rsid w:val="00F524F2"/>
    <w:rsid w:val="00F5271D"/>
    <w:rsid w:val="00F52763"/>
    <w:rsid w:val="00F52778"/>
    <w:rsid w:val="00F5281F"/>
    <w:rsid w:val="00F52872"/>
    <w:rsid w:val="00F528E0"/>
    <w:rsid w:val="00F528F5"/>
    <w:rsid w:val="00F52A3B"/>
    <w:rsid w:val="00F52AFD"/>
    <w:rsid w:val="00F52BB4"/>
    <w:rsid w:val="00F52BD7"/>
    <w:rsid w:val="00F52C62"/>
    <w:rsid w:val="00F52CB6"/>
    <w:rsid w:val="00F52D3F"/>
    <w:rsid w:val="00F52EDD"/>
    <w:rsid w:val="00F52F3E"/>
    <w:rsid w:val="00F52F4B"/>
    <w:rsid w:val="00F52F57"/>
    <w:rsid w:val="00F52F62"/>
    <w:rsid w:val="00F52F6B"/>
    <w:rsid w:val="00F52FAE"/>
    <w:rsid w:val="00F52FC4"/>
    <w:rsid w:val="00F52FDD"/>
    <w:rsid w:val="00F53023"/>
    <w:rsid w:val="00F53061"/>
    <w:rsid w:val="00F530AB"/>
    <w:rsid w:val="00F530EA"/>
    <w:rsid w:val="00F53196"/>
    <w:rsid w:val="00F5330D"/>
    <w:rsid w:val="00F533A9"/>
    <w:rsid w:val="00F53476"/>
    <w:rsid w:val="00F53555"/>
    <w:rsid w:val="00F536AE"/>
    <w:rsid w:val="00F536D2"/>
    <w:rsid w:val="00F5372E"/>
    <w:rsid w:val="00F537C7"/>
    <w:rsid w:val="00F538A9"/>
    <w:rsid w:val="00F538D8"/>
    <w:rsid w:val="00F53986"/>
    <w:rsid w:val="00F53A06"/>
    <w:rsid w:val="00F53A13"/>
    <w:rsid w:val="00F53B23"/>
    <w:rsid w:val="00F53B58"/>
    <w:rsid w:val="00F53BBB"/>
    <w:rsid w:val="00F53BD5"/>
    <w:rsid w:val="00F53BE5"/>
    <w:rsid w:val="00F53C3A"/>
    <w:rsid w:val="00F53C66"/>
    <w:rsid w:val="00F53CDE"/>
    <w:rsid w:val="00F53D6B"/>
    <w:rsid w:val="00F53EAD"/>
    <w:rsid w:val="00F53F3D"/>
    <w:rsid w:val="00F53F91"/>
    <w:rsid w:val="00F53FF2"/>
    <w:rsid w:val="00F540B5"/>
    <w:rsid w:val="00F5414C"/>
    <w:rsid w:val="00F54159"/>
    <w:rsid w:val="00F5415E"/>
    <w:rsid w:val="00F545CC"/>
    <w:rsid w:val="00F54624"/>
    <w:rsid w:val="00F54657"/>
    <w:rsid w:val="00F54691"/>
    <w:rsid w:val="00F5479C"/>
    <w:rsid w:val="00F547AD"/>
    <w:rsid w:val="00F547BF"/>
    <w:rsid w:val="00F547D4"/>
    <w:rsid w:val="00F547F5"/>
    <w:rsid w:val="00F548DB"/>
    <w:rsid w:val="00F549ED"/>
    <w:rsid w:val="00F549FB"/>
    <w:rsid w:val="00F54A2A"/>
    <w:rsid w:val="00F54A72"/>
    <w:rsid w:val="00F54B3A"/>
    <w:rsid w:val="00F54C14"/>
    <w:rsid w:val="00F54D53"/>
    <w:rsid w:val="00F54EB5"/>
    <w:rsid w:val="00F54FAE"/>
    <w:rsid w:val="00F54FCB"/>
    <w:rsid w:val="00F550C6"/>
    <w:rsid w:val="00F55100"/>
    <w:rsid w:val="00F5514D"/>
    <w:rsid w:val="00F55270"/>
    <w:rsid w:val="00F55347"/>
    <w:rsid w:val="00F553C0"/>
    <w:rsid w:val="00F55430"/>
    <w:rsid w:val="00F55441"/>
    <w:rsid w:val="00F55490"/>
    <w:rsid w:val="00F555C7"/>
    <w:rsid w:val="00F555F3"/>
    <w:rsid w:val="00F55629"/>
    <w:rsid w:val="00F55855"/>
    <w:rsid w:val="00F558B1"/>
    <w:rsid w:val="00F559F4"/>
    <w:rsid w:val="00F55A2C"/>
    <w:rsid w:val="00F55A83"/>
    <w:rsid w:val="00F55C3E"/>
    <w:rsid w:val="00F55D0E"/>
    <w:rsid w:val="00F55D97"/>
    <w:rsid w:val="00F55D9D"/>
    <w:rsid w:val="00F55F92"/>
    <w:rsid w:val="00F560DF"/>
    <w:rsid w:val="00F56179"/>
    <w:rsid w:val="00F561BB"/>
    <w:rsid w:val="00F5622F"/>
    <w:rsid w:val="00F562B8"/>
    <w:rsid w:val="00F5633D"/>
    <w:rsid w:val="00F563E7"/>
    <w:rsid w:val="00F56418"/>
    <w:rsid w:val="00F56475"/>
    <w:rsid w:val="00F5647A"/>
    <w:rsid w:val="00F564BD"/>
    <w:rsid w:val="00F5657E"/>
    <w:rsid w:val="00F56595"/>
    <w:rsid w:val="00F565EE"/>
    <w:rsid w:val="00F5667D"/>
    <w:rsid w:val="00F56680"/>
    <w:rsid w:val="00F566D8"/>
    <w:rsid w:val="00F5670D"/>
    <w:rsid w:val="00F567DA"/>
    <w:rsid w:val="00F5689D"/>
    <w:rsid w:val="00F568ED"/>
    <w:rsid w:val="00F56904"/>
    <w:rsid w:val="00F56A23"/>
    <w:rsid w:val="00F56BE2"/>
    <w:rsid w:val="00F56C03"/>
    <w:rsid w:val="00F56C44"/>
    <w:rsid w:val="00F56DC0"/>
    <w:rsid w:val="00F56E04"/>
    <w:rsid w:val="00F56E6A"/>
    <w:rsid w:val="00F56EF1"/>
    <w:rsid w:val="00F5707A"/>
    <w:rsid w:val="00F571DE"/>
    <w:rsid w:val="00F572D3"/>
    <w:rsid w:val="00F5731A"/>
    <w:rsid w:val="00F5741A"/>
    <w:rsid w:val="00F57423"/>
    <w:rsid w:val="00F574DF"/>
    <w:rsid w:val="00F57513"/>
    <w:rsid w:val="00F57569"/>
    <w:rsid w:val="00F5765C"/>
    <w:rsid w:val="00F5770D"/>
    <w:rsid w:val="00F57783"/>
    <w:rsid w:val="00F577FE"/>
    <w:rsid w:val="00F57807"/>
    <w:rsid w:val="00F57871"/>
    <w:rsid w:val="00F579BD"/>
    <w:rsid w:val="00F57A3E"/>
    <w:rsid w:val="00F57A44"/>
    <w:rsid w:val="00F57D1D"/>
    <w:rsid w:val="00F57DD4"/>
    <w:rsid w:val="00F57E8B"/>
    <w:rsid w:val="00F57F65"/>
    <w:rsid w:val="00F57FC4"/>
    <w:rsid w:val="00F60001"/>
    <w:rsid w:val="00F600FE"/>
    <w:rsid w:val="00F6016F"/>
    <w:rsid w:val="00F6026B"/>
    <w:rsid w:val="00F6028E"/>
    <w:rsid w:val="00F60329"/>
    <w:rsid w:val="00F60452"/>
    <w:rsid w:val="00F6065B"/>
    <w:rsid w:val="00F60716"/>
    <w:rsid w:val="00F6077D"/>
    <w:rsid w:val="00F6079F"/>
    <w:rsid w:val="00F60817"/>
    <w:rsid w:val="00F6085A"/>
    <w:rsid w:val="00F6086C"/>
    <w:rsid w:val="00F60946"/>
    <w:rsid w:val="00F609DC"/>
    <w:rsid w:val="00F609F8"/>
    <w:rsid w:val="00F60A09"/>
    <w:rsid w:val="00F60A1F"/>
    <w:rsid w:val="00F60A83"/>
    <w:rsid w:val="00F60B20"/>
    <w:rsid w:val="00F60BC7"/>
    <w:rsid w:val="00F60CB3"/>
    <w:rsid w:val="00F60CFD"/>
    <w:rsid w:val="00F60D03"/>
    <w:rsid w:val="00F60D93"/>
    <w:rsid w:val="00F60DC7"/>
    <w:rsid w:val="00F60F10"/>
    <w:rsid w:val="00F60F3E"/>
    <w:rsid w:val="00F60F51"/>
    <w:rsid w:val="00F60F71"/>
    <w:rsid w:val="00F60FE9"/>
    <w:rsid w:val="00F61102"/>
    <w:rsid w:val="00F6111F"/>
    <w:rsid w:val="00F611F3"/>
    <w:rsid w:val="00F612A6"/>
    <w:rsid w:val="00F612C8"/>
    <w:rsid w:val="00F61354"/>
    <w:rsid w:val="00F61429"/>
    <w:rsid w:val="00F61460"/>
    <w:rsid w:val="00F615F8"/>
    <w:rsid w:val="00F616C2"/>
    <w:rsid w:val="00F61816"/>
    <w:rsid w:val="00F6191B"/>
    <w:rsid w:val="00F6197C"/>
    <w:rsid w:val="00F61A6A"/>
    <w:rsid w:val="00F61AE9"/>
    <w:rsid w:val="00F61B31"/>
    <w:rsid w:val="00F61BD7"/>
    <w:rsid w:val="00F61C8F"/>
    <w:rsid w:val="00F61CDB"/>
    <w:rsid w:val="00F61CF6"/>
    <w:rsid w:val="00F61DE6"/>
    <w:rsid w:val="00F61DEE"/>
    <w:rsid w:val="00F61E2E"/>
    <w:rsid w:val="00F61EAE"/>
    <w:rsid w:val="00F61EC3"/>
    <w:rsid w:val="00F620A3"/>
    <w:rsid w:val="00F6217E"/>
    <w:rsid w:val="00F622EA"/>
    <w:rsid w:val="00F62355"/>
    <w:rsid w:val="00F62397"/>
    <w:rsid w:val="00F623C6"/>
    <w:rsid w:val="00F62452"/>
    <w:rsid w:val="00F62466"/>
    <w:rsid w:val="00F625EF"/>
    <w:rsid w:val="00F625F4"/>
    <w:rsid w:val="00F62657"/>
    <w:rsid w:val="00F6266C"/>
    <w:rsid w:val="00F626F9"/>
    <w:rsid w:val="00F62725"/>
    <w:rsid w:val="00F62733"/>
    <w:rsid w:val="00F62778"/>
    <w:rsid w:val="00F62832"/>
    <w:rsid w:val="00F628A4"/>
    <w:rsid w:val="00F628D0"/>
    <w:rsid w:val="00F62918"/>
    <w:rsid w:val="00F62947"/>
    <w:rsid w:val="00F6296D"/>
    <w:rsid w:val="00F62A31"/>
    <w:rsid w:val="00F62B0C"/>
    <w:rsid w:val="00F62B1A"/>
    <w:rsid w:val="00F62C52"/>
    <w:rsid w:val="00F62CB1"/>
    <w:rsid w:val="00F62CF9"/>
    <w:rsid w:val="00F62D9C"/>
    <w:rsid w:val="00F62E51"/>
    <w:rsid w:val="00F62E6A"/>
    <w:rsid w:val="00F62F34"/>
    <w:rsid w:val="00F62F51"/>
    <w:rsid w:val="00F630DD"/>
    <w:rsid w:val="00F63139"/>
    <w:rsid w:val="00F631F3"/>
    <w:rsid w:val="00F632AC"/>
    <w:rsid w:val="00F632C6"/>
    <w:rsid w:val="00F632E4"/>
    <w:rsid w:val="00F633E4"/>
    <w:rsid w:val="00F63445"/>
    <w:rsid w:val="00F6347F"/>
    <w:rsid w:val="00F634A0"/>
    <w:rsid w:val="00F634B6"/>
    <w:rsid w:val="00F63624"/>
    <w:rsid w:val="00F63718"/>
    <w:rsid w:val="00F63726"/>
    <w:rsid w:val="00F63794"/>
    <w:rsid w:val="00F63896"/>
    <w:rsid w:val="00F638D7"/>
    <w:rsid w:val="00F63A1F"/>
    <w:rsid w:val="00F63CCA"/>
    <w:rsid w:val="00F63CEF"/>
    <w:rsid w:val="00F63E12"/>
    <w:rsid w:val="00F63E6C"/>
    <w:rsid w:val="00F63EFE"/>
    <w:rsid w:val="00F63F8D"/>
    <w:rsid w:val="00F64050"/>
    <w:rsid w:val="00F64060"/>
    <w:rsid w:val="00F64195"/>
    <w:rsid w:val="00F64276"/>
    <w:rsid w:val="00F643C7"/>
    <w:rsid w:val="00F643E5"/>
    <w:rsid w:val="00F64401"/>
    <w:rsid w:val="00F64877"/>
    <w:rsid w:val="00F64946"/>
    <w:rsid w:val="00F6497F"/>
    <w:rsid w:val="00F649AD"/>
    <w:rsid w:val="00F64A4F"/>
    <w:rsid w:val="00F64AE1"/>
    <w:rsid w:val="00F64AF6"/>
    <w:rsid w:val="00F64B1A"/>
    <w:rsid w:val="00F64B3A"/>
    <w:rsid w:val="00F64D2D"/>
    <w:rsid w:val="00F64D7A"/>
    <w:rsid w:val="00F64DBC"/>
    <w:rsid w:val="00F64E61"/>
    <w:rsid w:val="00F64EF8"/>
    <w:rsid w:val="00F650D9"/>
    <w:rsid w:val="00F650F8"/>
    <w:rsid w:val="00F65105"/>
    <w:rsid w:val="00F651C8"/>
    <w:rsid w:val="00F6528C"/>
    <w:rsid w:val="00F65367"/>
    <w:rsid w:val="00F65376"/>
    <w:rsid w:val="00F654FB"/>
    <w:rsid w:val="00F65596"/>
    <w:rsid w:val="00F6565F"/>
    <w:rsid w:val="00F656C2"/>
    <w:rsid w:val="00F656DA"/>
    <w:rsid w:val="00F65740"/>
    <w:rsid w:val="00F657EE"/>
    <w:rsid w:val="00F65851"/>
    <w:rsid w:val="00F6591C"/>
    <w:rsid w:val="00F65A36"/>
    <w:rsid w:val="00F65AB1"/>
    <w:rsid w:val="00F65AB7"/>
    <w:rsid w:val="00F65B89"/>
    <w:rsid w:val="00F65C1E"/>
    <w:rsid w:val="00F65CDA"/>
    <w:rsid w:val="00F65D4B"/>
    <w:rsid w:val="00F65E57"/>
    <w:rsid w:val="00F65EDA"/>
    <w:rsid w:val="00F65F2C"/>
    <w:rsid w:val="00F66007"/>
    <w:rsid w:val="00F66026"/>
    <w:rsid w:val="00F66042"/>
    <w:rsid w:val="00F6606F"/>
    <w:rsid w:val="00F662BD"/>
    <w:rsid w:val="00F662BF"/>
    <w:rsid w:val="00F662CC"/>
    <w:rsid w:val="00F6643D"/>
    <w:rsid w:val="00F66474"/>
    <w:rsid w:val="00F664A0"/>
    <w:rsid w:val="00F66575"/>
    <w:rsid w:val="00F6665A"/>
    <w:rsid w:val="00F66725"/>
    <w:rsid w:val="00F667C6"/>
    <w:rsid w:val="00F6682B"/>
    <w:rsid w:val="00F668F8"/>
    <w:rsid w:val="00F66A09"/>
    <w:rsid w:val="00F66AF5"/>
    <w:rsid w:val="00F66B18"/>
    <w:rsid w:val="00F66B1F"/>
    <w:rsid w:val="00F66B26"/>
    <w:rsid w:val="00F66C05"/>
    <w:rsid w:val="00F66C71"/>
    <w:rsid w:val="00F66D5B"/>
    <w:rsid w:val="00F66D99"/>
    <w:rsid w:val="00F66E21"/>
    <w:rsid w:val="00F66E45"/>
    <w:rsid w:val="00F66E58"/>
    <w:rsid w:val="00F66F43"/>
    <w:rsid w:val="00F66F4C"/>
    <w:rsid w:val="00F66F56"/>
    <w:rsid w:val="00F66FE7"/>
    <w:rsid w:val="00F671F2"/>
    <w:rsid w:val="00F67228"/>
    <w:rsid w:val="00F6723F"/>
    <w:rsid w:val="00F6726D"/>
    <w:rsid w:val="00F67270"/>
    <w:rsid w:val="00F672A9"/>
    <w:rsid w:val="00F673B4"/>
    <w:rsid w:val="00F67424"/>
    <w:rsid w:val="00F674BE"/>
    <w:rsid w:val="00F674E0"/>
    <w:rsid w:val="00F67546"/>
    <w:rsid w:val="00F67553"/>
    <w:rsid w:val="00F676B0"/>
    <w:rsid w:val="00F676C2"/>
    <w:rsid w:val="00F677A9"/>
    <w:rsid w:val="00F6782C"/>
    <w:rsid w:val="00F67841"/>
    <w:rsid w:val="00F678D0"/>
    <w:rsid w:val="00F6791C"/>
    <w:rsid w:val="00F67981"/>
    <w:rsid w:val="00F67A3A"/>
    <w:rsid w:val="00F67A4A"/>
    <w:rsid w:val="00F67C00"/>
    <w:rsid w:val="00F67C9A"/>
    <w:rsid w:val="00F67CAB"/>
    <w:rsid w:val="00F67CF4"/>
    <w:rsid w:val="00F67D3D"/>
    <w:rsid w:val="00F67F18"/>
    <w:rsid w:val="00F67FBE"/>
    <w:rsid w:val="00F67FF0"/>
    <w:rsid w:val="00F7000C"/>
    <w:rsid w:val="00F700D6"/>
    <w:rsid w:val="00F7018B"/>
    <w:rsid w:val="00F70221"/>
    <w:rsid w:val="00F70248"/>
    <w:rsid w:val="00F70297"/>
    <w:rsid w:val="00F703BE"/>
    <w:rsid w:val="00F703DB"/>
    <w:rsid w:val="00F7040A"/>
    <w:rsid w:val="00F70456"/>
    <w:rsid w:val="00F704B2"/>
    <w:rsid w:val="00F704D7"/>
    <w:rsid w:val="00F70579"/>
    <w:rsid w:val="00F705FD"/>
    <w:rsid w:val="00F706E1"/>
    <w:rsid w:val="00F7074A"/>
    <w:rsid w:val="00F708F0"/>
    <w:rsid w:val="00F7093B"/>
    <w:rsid w:val="00F7096B"/>
    <w:rsid w:val="00F70983"/>
    <w:rsid w:val="00F70ACD"/>
    <w:rsid w:val="00F70ACE"/>
    <w:rsid w:val="00F70B28"/>
    <w:rsid w:val="00F70BAF"/>
    <w:rsid w:val="00F70BE0"/>
    <w:rsid w:val="00F70C1B"/>
    <w:rsid w:val="00F70CEC"/>
    <w:rsid w:val="00F70D91"/>
    <w:rsid w:val="00F70D95"/>
    <w:rsid w:val="00F70D9A"/>
    <w:rsid w:val="00F70E28"/>
    <w:rsid w:val="00F70E5B"/>
    <w:rsid w:val="00F70F43"/>
    <w:rsid w:val="00F71008"/>
    <w:rsid w:val="00F71050"/>
    <w:rsid w:val="00F710E6"/>
    <w:rsid w:val="00F71149"/>
    <w:rsid w:val="00F7123B"/>
    <w:rsid w:val="00F71345"/>
    <w:rsid w:val="00F7140F"/>
    <w:rsid w:val="00F7141E"/>
    <w:rsid w:val="00F71442"/>
    <w:rsid w:val="00F71470"/>
    <w:rsid w:val="00F71492"/>
    <w:rsid w:val="00F71629"/>
    <w:rsid w:val="00F7164D"/>
    <w:rsid w:val="00F7169C"/>
    <w:rsid w:val="00F7180B"/>
    <w:rsid w:val="00F718E8"/>
    <w:rsid w:val="00F719EB"/>
    <w:rsid w:val="00F719F1"/>
    <w:rsid w:val="00F71A24"/>
    <w:rsid w:val="00F71AC9"/>
    <w:rsid w:val="00F71B3F"/>
    <w:rsid w:val="00F71C77"/>
    <w:rsid w:val="00F71D62"/>
    <w:rsid w:val="00F71D99"/>
    <w:rsid w:val="00F71DE7"/>
    <w:rsid w:val="00F71E95"/>
    <w:rsid w:val="00F71ED7"/>
    <w:rsid w:val="00F71F03"/>
    <w:rsid w:val="00F71F3A"/>
    <w:rsid w:val="00F7208D"/>
    <w:rsid w:val="00F720D4"/>
    <w:rsid w:val="00F720EE"/>
    <w:rsid w:val="00F720FD"/>
    <w:rsid w:val="00F72143"/>
    <w:rsid w:val="00F72172"/>
    <w:rsid w:val="00F72173"/>
    <w:rsid w:val="00F7217B"/>
    <w:rsid w:val="00F721B3"/>
    <w:rsid w:val="00F721CF"/>
    <w:rsid w:val="00F721E9"/>
    <w:rsid w:val="00F7239A"/>
    <w:rsid w:val="00F72450"/>
    <w:rsid w:val="00F72465"/>
    <w:rsid w:val="00F72472"/>
    <w:rsid w:val="00F724F6"/>
    <w:rsid w:val="00F7253E"/>
    <w:rsid w:val="00F72662"/>
    <w:rsid w:val="00F726C0"/>
    <w:rsid w:val="00F7271D"/>
    <w:rsid w:val="00F7279B"/>
    <w:rsid w:val="00F72898"/>
    <w:rsid w:val="00F72911"/>
    <w:rsid w:val="00F729E2"/>
    <w:rsid w:val="00F72C6D"/>
    <w:rsid w:val="00F72D59"/>
    <w:rsid w:val="00F72DF0"/>
    <w:rsid w:val="00F72EE7"/>
    <w:rsid w:val="00F72F1E"/>
    <w:rsid w:val="00F72F4F"/>
    <w:rsid w:val="00F72F5E"/>
    <w:rsid w:val="00F72F96"/>
    <w:rsid w:val="00F73085"/>
    <w:rsid w:val="00F73167"/>
    <w:rsid w:val="00F73196"/>
    <w:rsid w:val="00F733ED"/>
    <w:rsid w:val="00F733F0"/>
    <w:rsid w:val="00F73480"/>
    <w:rsid w:val="00F7355B"/>
    <w:rsid w:val="00F73585"/>
    <w:rsid w:val="00F736B0"/>
    <w:rsid w:val="00F73773"/>
    <w:rsid w:val="00F737D9"/>
    <w:rsid w:val="00F73805"/>
    <w:rsid w:val="00F73990"/>
    <w:rsid w:val="00F73A51"/>
    <w:rsid w:val="00F73B58"/>
    <w:rsid w:val="00F73CBE"/>
    <w:rsid w:val="00F73D1C"/>
    <w:rsid w:val="00F73DDB"/>
    <w:rsid w:val="00F73FBC"/>
    <w:rsid w:val="00F73FD1"/>
    <w:rsid w:val="00F73FD4"/>
    <w:rsid w:val="00F7400F"/>
    <w:rsid w:val="00F741A2"/>
    <w:rsid w:val="00F741DF"/>
    <w:rsid w:val="00F74207"/>
    <w:rsid w:val="00F742A3"/>
    <w:rsid w:val="00F742B3"/>
    <w:rsid w:val="00F742C6"/>
    <w:rsid w:val="00F742C7"/>
    <w:rsid w:val="00F7431E"/>
    <w:rsid w:val="00F74339"/>
    <w:rsid w:val="00F743B2"/>
    <w:rsid w:val="00F743F2"/>
    <w:rsid w:val="00F74756"/>
    <w:rsid w:val="00F74764"/>
    <w:rsid w:val="00F74899"/>
    <w:rsid w:val="00F74A25"/>
    <w:rsid w:val="00F74B1C"/>
    <w:rsid w:val="00F74EB3"/>
    <w:rsid w:val="00F74EEB"/>
    <w:rsid w:val="00F74F2D"/>
    <w:rsid w:val="00F74F30"/>
    <w:rsid w:val="00F74F5A"/>
    <w:rsid w:val="00F75018"/>
    <w:rsid w:val="00F7503C"/>
    <w:rsid w:val="00F7508F"/>
    <w:rsid w:val="00F750E1"/>
    <w:rsid w:val="00F750EC"/>
    <w:rsid w:val="00F75158"/>
    <w:rsid w:val="00F751FE"/>
    <w:rsid w:val="00F7524D"/>
    <w:rsid w:val="00F752CF"/>
    <w:rsid w:val="00F752D3"/>
    <w:rsid w:val="00F752FC"/>
    <w:rsid w:val="00F75499"/>
    <w:rsid w:val="00F75558"/>
    <w:rsid w:val="00F755F2"/>
    <w:rsid w:val="00F7567B"/>
    <w:rsid w:val="00F75823"/>
    <w:rsid w:val="00F75865"/>
    <w:rsid w:val="00F7590D"/>
    <w:rsid w:val="00F7595F"/>
    <w:rsid w:val="00F75A79"/>
    <w:rsid w:val="00F75B63"/>
    <w:rsid w:val="00F75B80"/>
    <w:rsid w:val="00F75C59"/>
    <w:rsid w:val="00F75C96"/>
    <w:rsid w:val="00F75D84"/>
    <w:rsid w:val="00F75E94"/>
    <w:rsid w:val="00F75ECC"/>
    <w:rsid w:val="00F75ECF"/>
    <w:rsid w:val="00F75F90"/>
    <w:rsid w:val="00F760D5"/>
    <w:rsid w:val="00F7616B"/>
    <w:rsid w:val="00F7649B"/>
    <w:rsid w:val="00F764DF"/>
    <w:rsid w:val="00F76523"/>
    <w:rsid w:val="00F76556"/>
    <w:rsid w:val="00F7666D"/>
    <w:rsid w:val="00F766F7"/>
    <w:rsid w:val="00F76792"/>
    <w:rsid w:val="00F76884"/>
    <w:rsid w:val="00F76979"/>
    <w:rsid w:val="00F7698E"/>
    <w:rsid w:val="00F76AA0"/>
    <w:rsid w:val="00F76B5A"/>
    <w:rsid w:val="00F76C1B"/>
    <w:rsid w:val="00F76DDA"/>
    <w:rsid w:val="00F76E11"/>
    <w:rsid w:val="00F76E2D"/>
    <w:rsid w:val="00F76FD4"/>
    <w:rsid w:val="00F7702D"/>
    <w:rsid w:val="00F77061"/>
    <w:rsid w:val="00F770B2"/>
    <w:rsid w:val="00F770BA"/>
    <w:rsid w:val="00F77105"/>
    <w:rsid w:val="00F77195"/>
    <w:rsid w:val="00F7723A"/>
    <w:rsid w:val="00F77284"/>
    <w:rsid w:val="00F77399"/>
    <w:rsid w:val="00F7750E"/>
    <w:rsid w:val="00F7764C"/>
    <w:rsid w:val="00F7770C"/>
    <w:rsid w:val="00F77737"/>
    <w:rsid w:val="00F7777E"/>
    <w:rsid w:val="00F77811"/>
    <w:rsid w:val="00F7789F"/>
    <w:rsid w:val="00F77BA4"/>
    <w:rsid w:val="00F77DC4"/>
    <w:rsid w:val="00F77DE7"/>
    <w:rsid w:val="00F77F64"/>
    <w:rsid w:val="00F77F66"/>
    <w:rsid w:val="00F80016"/>
    <w:rsid w:val="00F8011D"/>
    <w:rsid w:val="00F80171"/>
    <w:rsid w:val="00F8017B"/>
    <w:rsid w:val="00F801B2"/>
    <w:rsid w:val="00F801D2"/>
    <w:rsid w:val="00F80401"/>
    <w:rsid w:val="00F8069D"/>
    <w:rsid w:val="00F806EC"/>
    <w:rsid w:val="00F80778"/>
    <w:rsid w:val="00F807EC"/>
    <w:rsid w:val="00F80920"/>
    <w:rsid w:val="00F809FB"/>
    <w:rsid w:val="00F80A49"/>
    <w:rsid w:val="00F80B53"/>
    <w:rsid w:val="00F80C0A"/>
    <w:rsid w:val="00F80C1A"/>
    <w:rsid w:val="00F80C92"/>
    <w:rsid w:val="00F80C9A"/>
    <w:rsid w:val="00F80CBF"/>
    <w:rsid w:val="00F80CEE"/>
    <w:rsid w:val="00F80F12"/>
    <w:rsid w:val="00F80F9F"/>
    <w:rsid w:val="00F810A9"/>
    <w:rsid w:val="00F811D8"/>
    <w:rsid w:val="00F813BA"/>
    <w:rsid w:val="00F813F0"/>
    <w:rsid w:val="00F81428"/>
    <w:rsid w:val="00F8142A"/>
    <w:rsid w:val="00F8142C"/>
    <w:rsid w:val="00F81483"/>
    <w:rsid w:val="00F81580"/>
    <w:rsid w:val="00F815AD"/>
    <w:rsid w:val="00F8160F"/>
    <w:rsid w:val="00F818EF"/>
    <w:rsid w:val="00F8193D"/>
    <w:rsid w:val="00F81978"/>
    <w:rsid w:val="00F81AFD"/>
    <w:rsid w:val="00F81CFD"/>
    <w:rsid w:val="00F81DF6"/>
    <w:rsid w:val="00F81E10"/>
    <w:rsid w:val="00F81F6C"/>
    <w:rsid w:val="00F81F80"/>
    <w:rsid w:val="00F8205F"/>
    <w:rsid w:val="00F8227D"/>
    <w:rsid w:val="00F82370"/>
    <w:rsid w:val="00F8238B"/>
    <w:rsid w:val="00F82484"/>
    <w:rsid w:val="00F824A4"/>
    <w:rsid w:val="00F824D7"/>
    <w:rsid w:val="00F82576"/>
    <w:rsid w:val="00F82612"/>
    <w:rsid w:val="00F82683"/>
    <w:rsid w:val="00F82C80"/>
    <w:rsid w:val="00F82D4A"/>
    <w:rsid w:val="00F82EB8"/>
    <w:rsid w:val="00F82F04"/>
    <w:rsid w:val="00F82F09"/>
    <w:rsid w:val="00F83081"/>
    <w:rsid w:val="00F83180"/>
    <w:rsid w:val="00F83269"/>
    <w:rsid w:val="00F8330C"/>
    <w:rsid w:val="00F83356"/>
    <w:rsid w:val="00F83382"/>
    <w:rsid w:val="00F83394"/>
    <w:rsid w:val="00F83567"/>
    <w:rsid w:val="00F8356F"/>
    <w:rsid w:val="00F835A3"/>
    <w:rsid w:val="00F835C7"/>
    <w:rsid w:val="00F8365B"/>
    <w:rsid w:val="00F836BC"/>
    <w:rsid w:val="00F836F9"/>
    <w:rsid w:val="00F8384C"/>
    <w:rsid w:val="00F83873"/>
    <w:rsid w:val="00F83881"/>
    <w:rsid w:val="00F839A6"/>
    <w:rsid w:val="00F83AA5"/>
    <w:rsid w:val="00F83AB0"/>
    <w:rsid w:val="00F83B3D"/>
    <w:rsid w:val="00F83B72"/>
    <w:rsid w:val="00F83B86"/>
    <w:rsid w:val="00F83BE6"/>
    <w:rsid w:val="00F83C20"/>
    <w:rsid w:val="00F83D83"/>
    <w:rsid w:val="00F83E08"/>
    <w:rsid w:val="00F83EE8"/>
    <w:rsid w:val="00F83F54"/>
    <w:rsid w:val="00F83F72"/>
    <w:rsid w:val="00F84006"/>
    <w:rsid w:val="00F84013"/>
    <w:rsid w:val="00F84136"/>
    <w:rsid w:val="00F841F7"/>
    <w:rsid w:val="00F8424E"/>
    <w:rsid w:val="00F84498"/>
    <w:rsid w:val="00F844E4"/>
    <w:rsid w:val="00F8453E"/>
    <w:rsid w:val="00F845B4"/>
    <w:rsid w:val="00F847F6"/>
    <w:rsid w:val="00F848F6"/>
    <w:rsid w:val="00F84A0C"/>
    <w:rsid w:val="00F84A14"/>
    <w:rsid w:val="00F84A29"/>
    <w:rsid w:val="00F84A9A"/>
    <w:rsid w:val="00F84FAC"/>
    <w:rsid w:val="00F8507D"/>
    <w:rsid w:val="00F85141"/>
    <w:rsid w:val="00F85313"/>
    <w:rsid w:val="00F8565F"/>
    <w:rsid w:val="00F8569D"/>
    <w:rsid w:val="00F856FC"/>
    <w:rsid w:val="00F85818"/>
    <w:rsid w:val="00F85830"/>
    <w:rsid w:val="00F85895"/>
    <w:rsid w:val="00F859D0"/>
    <w:rsid w:val="00F85BD5"/>
    <w:rsid w:val="00F85C1B"/>
    <w:rsid w:val="00F85D2F"/>
    <w:rsid w:val="00F85DAE"/>
    <w:rsid w:val="00F85EF2"/>
    <w:rsid w:val="00F85FFD"/>
    <w:rsid w:val="00F8605C"/>
    <w:rsid w:val="00F86105"/>
    <w:rsid w:val="00F8610F"/>
    <w:rsid w:val="00F86116"/>
    <w:rsid w:val="00F86137"/>
    <w:rsid w:val="00F86293"/>
    <w:rsid w:val="00F862D1"/>
    <w:rsid w:val="00F862DD"/>
    <w:rsid w:val="00F86380"/>
    <w:rsid w:val="00F86508"/>
    <w:rsid w:val="00F8653F"/>
    <w:rsid w:val="00F865C8"/>
    <w:rsid w:val="00F865CD"/>
    <w:rsid w:val="00F865DC"/>
    <w:rsid w:val="00F8662E"/>
    <w:rsid w:val="00F8663B"/>
    <w:rsid w:val="00F8663E"/>
    <w:rsid w:val="00F8672F"/>
    <w:rsid w:val="00F8676F"/>
    <w:rsid w:val="00F86A44"/>
    <w:rsid w:val="00F86A5E"/>
    <w:rsid w:val="00F86AB7"/>
    <w:rsid w:val="00F86CB2"/>
    <w:rsid w:val="00F86D44"/>
    <w:rsid w:val="00F86DBC"/>
    <w:rsid w:val="00F86E36"/>
    <w:rsid w:val="00F86E5E"/>
    <w:rsid w:val="00F86FF2"/>
    <w:rsid w:val="00F8704F"/>
    <w:rsid w:val="00F870B6"/>
    <w:rsid w:val="00F87125"/>
    <w:rsid w:val="00F87318"/>
    <w:rsid w:val="00F87422"/>
    <w:rsid w:val="00F8748F"/>
    <w:rsid w:val="00F875B0"/>
    <w:rsid w:val="00F875BF"/>
    <w:rsid w:val="00F87661"/>
    <w:rsid w:val="00F8768F"/>
    <w:rsid w:val="00F87712"/>
    <w:rsid w:val="00F87731"/>
    <w:rsid w:val="00F8773F"/>
    <w:rsid w:val="00F878CB"/>
    <w:rsid w:val="00F878F9"/>
    <w:rsid w:val="00F87951"/>
    <w:rsid w:val="00F879D5"/>
    <w:rsid w:val="00F87AC0"/>
    <w:rsid w:val="00F87ADC"/>
    <w:rsid w:val="00F87B92"/>
    <w:rsid w:val="00F87CF3"/>
    <w:rsid w:val="00F87D3B"/>
    <w:rsid w:val="00F87F2C"/>
    <w:rsid w:val="00F87F37"/>
    <w:rsid w:val="00F900FF"/>
    <w:rsid w:val="00F9013B"/>
    <w:rsid w:val="00F903E8"/>
    <w:rsid w:val="00F90426"/>
    <w:rsid w:val="00F9044B"/>
    <w:rsid w:val="00F9066B"/>
    <w:rsid w:val="00F90722"/>
    <w:rsid w:val="00F90724"/>
    <w:rsid w:val="00F907C8"/>
    <w:rsid w:val="00F908FA"/>
    <w:rsid w:val="00F909B2"/>
    <w:rsid w:val="00F909C6"/>
    <w:rsid w:val="00F909D2"/>
    <w:rsid w:val="00F90A7A"/>
    <w:rsid w:val="00F90A89"/>
    <w:rsid w:val="00F90C8D"/>
    <w:rsid w:val="00F90CBB"/>
    <w:rsid w:val="00F90D8E"/>
    <w:rsid w:val="00F90DA8"/>
    <w:rsid w:val="00F90F9F"/>
    <w:rsid w:val="00F90FB9"/>
    <w:rsid w:val="00F9108F"/>
    <w:rsid w:val="00F910E2"/>
    <w:rsid w:val="00F91106"/>
    <w:rsid w:val="00F911DB"/>
    <w:rsid w:val="00F91284"/>
    <w:rsid w:val="00F91318"/>
    <w:rsid w:val="00F91381"/>
    <w:rsid w:val="00F913C1"/>
    <w:rsid w:val="00F91475"/>
    <w:rsid w:val="00F9166D"/>
    <w:rsid w:val="00F916EF"/>
    <w:rsid w:val="00F91A42"/>
    <w:rsid w:val="00F91AC9"/>
    <w:rsid w:val="00F91B20"/>
    <w:rsid w:val="00F91B33"/>
    <w:rsid w:val="00F91C47"/>
    <w:rsid w:val="00F91CD9"/>
    <w:rsid w:val="00F91D4F"/>
    <w:rsid w:val="00F91D74"/>
    <w:rsid w:val="00F91F75"/>
    <w:rsid w:val="00F92094"/>
    <w:rsid w:val="00F920DE"/>
    <w:rsid w:val="00F92178"/>
    <w:rsid w:val="00F9218C"/>
    <w:rsid w:val="00F92247"/>
    <w:rsid w:val="00F92345"/>
    <w:rsid w:val="00F9248F"/>
    <w:rsid w:val="00F924FE"/>
    <w:rsid w:val="00F9257B"/>
    <w:rsid w:val="00F9259B"/>
    <w:rsid w:val="00F92662"/>
    <w:rsid w:val="00F9277C"/>
    <w:rsid w:val="00F9280F"/>
    <w:rsid w:val="00F92813"/>
    <w:rsid w:val="00F9282B"/>
    <w:rsid w:val="00F928DE"/>
    <w:rsid w:val="00F929FD"/>
    <w:rsid w:val="00F92C31"/>
    <w:rsid w:val="00F92DBF"/>
    <w:rsid w:val="00F92DEF"/>
    <w:rsid w:val="00F92E3F"/>
    <w:rsid w:val="00F92E45"/>
    <w:rsid w:val="00F92E46"/>
    <w:rsid w:val="00F92E7E"/>
    <w:rsid w:val="00F92FF4"/>
    <w:rsid w:val="00F9306B"/>
    <w:rsid w:val="00F9307D"/>
    <w:rsid w:val="00F9309C"/>
    <w:rsid w:val="00F930C1"/>
    <w:rsid w:val="00F930F6"/>
    <w:rsid w:val="00F93103"/>
    <w:rsid w:val="00F93155"/>
    <w:rsid w:val="00F93220"/>
    <w:rsid w:val="00F93452"/>
    <w:rsid w:val="00F93565"/>
    <w:rsid w:val="00F936FA"/>
    <w:rsid w:val="00F938A2"/>
    <w:rsid w:val="00F9390D"/>
    <w:rsid w:val="00F93A35"/>
    <w:rsid w:val="00F93AAD"/>
    <w:rsid w:val="00F93B59"/>
    <w:rsid w:val="00F93BF8"/>
    <w:rsid w:val="00F93D31"/>
    <w:rsid w:val="00F9400C"/>
    <w:rsid w:val="00F940E9"/>
    <w:rsid w:val="00F94176"/>
    <w:rsid w:val="00F94225"/>
    <w:rsid w:val="00F9424E"/>
    <w:rsid w:val="00F942ED"/>
    <w:rsid w:val="00F94366"/>
    <w:rsid w:val="00F9436F"/>
    <w:rsid w:val="00F94382"/>
    <w:rsid w:val="00F943CC"/>
    <w:rsid w:val="00F9447C"/>
    <w:rsid w:val="00F944C2"/>
    <w:rsid w:val="00F944F5"/>
    <w:rsid w:val="00F9458E"/>
    <w:rsid w:val="00F945CD"/>
    <w:rsid w:val="00F9465F"/>
    <w:rsid w:val="00F946FE"/>
    <w:rsid w:val="00F94790"/>
    <w:rsid w:val="00F947E4"/>
    <w:rsid w:val="00F9495B"/>
    <w:rsid w:val="00F949CF"/>
    <w:rsid w:val="00F949D8"/>
    <w:rsid w:val="00F94A80"/>
    <w:rsid w:val="00F94D11"/>
    <w:rsid w:val="00F94DB3"/>
    <w:rsid w:val="00F94DD6"/>
    <w:rsid w:val="00F94EC8"/>
    <w:rsid w:val="00F94F8D"/>
    <w:rsid w:val="00F95147"/>
    <w:rsid w:val="00F9519A"/>
    <w:rsid w:val="00F951F6"/>
    <w:rsid w:val="00F95206"/>
    <w:rsid w:val="00F9520D"/>
    <w:rsid w:val="00F9521B"/>
    <w:rsid w:val="00F95352"/>
    <w:rsid w:val="00F95397"/>
    <w:rsid w:val="00F953A7"/>
    <w:rsid w:val="00F953EB"/>
    <w:rsid w:val="00F95401"/>
    <w:rsid w:val="00F95420"/>
    <w:rsid w:val="00F9543F"/>
    <w:rsid w:val="00F95486"/>
    <w:rsid w:val="00F955CE"/>
    <w:rsid w:val="00F955F3"/>
    <w:rsid w:val="00F95602"/>
    <w:rsid w:val="00F95789"/>
    <w:rsid w:val="00F95930"/>
    <w:rsid w:val="00F959C5"/>
    <w:rsid w:val="00F95A1A"/>
    <w:rsid w:val="00F95AFA"/>
    <w:rsid w:val="00F95C2B"/>
    <w:rsid w:val="00F95DE3"/>
    <w:rsid w:val="00F95EEA"/>
    <w:rsid w:val="00F95F32"/>
    <w:rsid w:val="00F960B4"/>
    <w:rsid w:val="00F962AC"/>
    <w:rsid w:val="00F962B0"/>
    <w:rsid w:val="00F962E7"/>
    <w:rsid w:val="00F9635E"/>
    <w:rsid w:val="00F963E1"/>
    <w:rsid w:val="00F96403"/>
    <w:rsid w:val="00F965ED"/>
    <w:rsid w:val="00F96643"/>
    <w:rsid w:val="00F9675C"/>
    <w:rsid w:val="00F9676E"/>
    <w:rsid w:val="00F9687C"/>
    <w:rsid w:val="00F96A88"/>
    <w:rsid w:val="00F96B5E"/>
    <w:rsid w:val="00F96E3B"/>
    <w:rsid w:val="00F96ED7"/>
    <w:rsid w:val="00F96F54"/>
    <w:rsid w:val="00F9700C"/>
    <w:rsid w:val="00F97087"/>
    <w:rsid w:val="00F970F8"/>
    <w:rsid w:val="00F971B1"/>
    <w:rsid w:val="00F9720F"/>
    <w:rsid w:val="00F97263"/>
    <w:rsid w:val="00F97288"/>
    <w:rsid w:val="00F972E9"/>
    <w:rsid w:val="00F9746B"/>
    <w:rsid w:val="00F974AF"/>
    <w:rsid w:val="00F9760A"/>
    <w:rsid w:val="00F9761D"/>
    <w:rsid w:val="00F9783F"/>
    <w:rsid w:val="00F97A02"/>
    <w:rsid w:val="00F97A12"/>
    <w:rsid w:val="00F97A85"/>
    <w:rsid w:val="00F97AE4"/>
    <w:rsid w:val="00F97AED"/>
    <w:rsid w:val="00F97AFF"/>
    <w:rsid w:val="00F97B25"/>
    <w:rsid w:val="00F97BA3"/>
    <w:rsid w:val="00F97C73"/>
    <w:rsid w:val="00F97C7E"/>
    <w:rsid w:val="00F97CD8"/>
    <w:rsid w:val="00F97D03"/>
    <w:rsid w:val="00F97E87"/>
    <w:rsid w:val="00F97F09"/>
    <w:rsid w:val="00F97F27"/>
    <w:rsid w:val="00F97F99"/>
    <w:rsid w:val="00FA0006"/>
    <w:rsid w:val="00FA008C"/>
    <w:rsid w:val="00FA00E0"/>
    <w:rsid w:val="00FA0197"/>
    <w:rsid w:val="00FA021F"/>
    <w:rsid w:val="00FA027C"/>
    <w:rsid w:val="00FA03AA"/>
    <w:rsid w:val="00FA057A"/>
    <w:rsid w:val="00FA05E1"/>
    <w:rsid w:val="00FA0682"/>
    <w:rsid w:val="00FA0687"/>
    <w:rsid w:val="00FA0692"/>
    <w:rsid w:val="00FA06CC"/>
    <w:rsid w:val="00FA077E"/>
    <w:rsid w:val="00FA078C"/>
    <w:rsid w:val="00FA08F9"/>
    <w:rsid w:val="00FA09F1"/>
    <w:rsid w:val="00FA0A0D"/>
    <w:rsid w:val="00FA0A28"/>
    <w:rsid w:val="00FA0A34"/>
    <w:rsid w:val="00FA0B96"/>
    <w:rsid w:val="00FA0C1F"/>
    <w:rsid w:val="00FA0C7F"/>
    <w:rsid w:val="00FA0CAF"/>
    <w:rsid w:val="00FA0E17"/>
    <w:rsid w:val="00FA0E3E"/>
    <w:rsid w:val="00FA0F46"/>
    <w:rsid w:val="00FA0F48"/>
    <w:rsid w:val="00FA0FB1"/>
    <w:rsid w:val="00FA10BA"/>
    <w:rsid w:val="00FA10C1"/>
    <w:rsid w:val="00FA1185"/>
    <w:rsid w:val="00FA1189"/>
    <w:rsid w:val="00FA11A3"/>
    <w:rsid w:val="00FA1457"/>
    <w:rsid w:val="00FA154E"/>
    <w:rsid w:val="00FA158A"/>
    <w:rsid w:val="00FA1650"/>
    <w:rsid w:val="00FA1674"/>
    <w:rsid w:val="00FA186F"/>
    <w:rsid w:val="00FA1944"/>
    <w:rsid w:val="00FA19D0"/>
    <w:rsid w:val="00FA1ACF"/>
    <w:rsid w:val="00FA1C7A"/>
    <w:rsid w:val="00FA1CD1"/>
    <w:rsid w:val="00FA1D90"/>
    <w:rsid w:val="00FA1E12"/>
    <w:rsid w:val="00FA1EE8"/>
    <w:rsid w:val="00FA1F3A"/>
    <w:rsid w:val="00FA1F4F"/>
    <w:rsid w:val="00FA2150"/>
    <w:rsid w:val="00FA218E"/>
    <w:rsid w:val="00FA21D5"/>
    <w:rsid w:val="00FA21E9"/>
    <w:rsid w:val="00FA21F0"/>
    <w:rsid w:val="00FA22B8"/>
    <w:rsid w:val="00FA248F"/>
    <w:rsid w:val="00FA24D7"/>
    <w:rsid w:val="00FA25A7"/>
    <w:rsid w:val="00FA25AA"/>
    <w:rsid w:val="00FA26A9"/>
    <w:rsid w:val="00FA27FC"/>
    <w:rsid w:val="00FA286D"/>
    <w:rsid w:val="00FA288A"/>
    <w:rsid w:val="00FA293B"/>
    <w:rsid w:val="00FA2981"/>
    <w:rsid w:val="00FA2998"/>
    <w:rsid w:val="00FA2A2C"/>
    <w:rsid w:val="00FA2AD2"/>
    <w:rsid w:val="00FA2D96"/>
    <w:rsid w:val="00FA2DB4"/>
    <w:rsid w:val="00FA2E3A"/>
    <w:rsid w:val="00FA2E5B"/>
    <w:rsid w:val="00FA2EFA"/>
    <w:rsid w:val="00FA2F56"/>
    <w:rsid w:val="00FA311A"/>
    <w:rsid w:val="00FA3200"/>
    <w:rsid w:val="00FA32AD"/>
    <w:rsid w:val="00FA32BC"/>
    <w:rsid w:val="00FA342C"/>
    <w:rsid w:val="00FA353F"/>
    <w:rsid w:val="00FA3591"/>
    <w:rsid w:val="00FA365B"/>
    <w:rsid w:val="00FA365E"/>
    <w:rsid w:val="00FA3760"/>
    <w:rsid w:val="00FA37E8"/>
    <w:rsid w:val="00FA3865"/>
    <w:rsid w:val="00FA3942"/>
    <w:rsid w:val="00FA3995"/>
    <w:rsid w:val="00FA3B97"/>
    <w:rsid w:val="00FA3BE7"/>
    <w:rsid w:val="00FA3BF6"/>
    <w:rsid w:val="00FA3C71"/>
    <w:rsid w:val="00FA3CA3"/>
    <w:rsid w:val="00FA3CA6"/>
    <w:rsid w:val="00FA3DF4"/>
    <w:rsid w:val="00FA3E7A"/>
    <w:rsid w:val="00FA3F03"/>
    <w:rsid w:val="00FA3F19"/>
    <w:rsid w:val="00FA4210"/>
    <w:rsid w:val="00FA4239"/>
    <w:rsid w:val="00FA4273"/>
    <w:rsid w:val="00FA4299"/>
    <w:rsid w:val="00FA42B3"/>
    <w:rsid w:val="00FA43E5"/>
    <w:rsid w:val="00FA44E0"/>
    <w:rsid w:val="00FA46EE"/>
    <w:rsid w:val="00FA4770"/>
    <w:rsid w:val="00FA48B8"/>
    <w:rsid w:val="00FA49D1"/>
    <w:rsid w:val="00FA4A91"/>
    <w:rsid w:val="00FA4AC1"/>
    <w:rsid w:val="00FA4B9B"/>
    <w:rsid w:val="00FA4C1D"/>
    <w:rsid w:val="00FA4C2F"/>
    <w:rsid w:val="00FA4C69"/>
    <w:rsid w:val="00FA4CD6"/>
    <w:rsid w:val="00FA4D7D"/>
    <w:rsid w:val="00FA4E34"/>
    <w:rsid w:val="00FA4EF4"/>
    <w:rsid w:val="00FA4F79"/>
    <w:rsid w:val="00FA4FD9"/>
    <w:rsid w:val="00FA5001"/>
    <w:rsid w:val="00FA5015"/>
    <w:rsid w:val="00FA5090"/>
    <w:rsid w:val="00FA5304"/>
    <w:rsid w:val="00FA5344"/>
    <w:rsid w:val="00FA540B"/>
    <w:rsid w:val="00FA54CE"/>
    <w:rsid w:val="00FA55EA"/>
    <w:rsid w:val="00FA57CE"/>
    <w:rsid w:val="00FA5872"/>
    <w:rsid w:val="00FA5879"/>
    <w:rsid w:val="00FA58CE"/>
    <w:rsid w:val="00FA59C5"/>
    <w:rsid w:val="00FA59D3"/>
    <w:rsid w:val="00FA59E0"/>
    <w:rsid w:val="00FA5A84"/>
    <w:rsid w:val="00FA5AA9"/>
    <w:rsid w:val="00FA5AEC"/>
    <w:rsid w:val="00FA5C1D"/>
    <w:rsid w:val="00FA5D5B"/>
    <w:rsid w:val="00FA5DD2"/>
    <w:rsid w:val="00FA5E91"/>
    <w:rsid w:val="00FA6268"/>
    <w:rsid w:val="00FA64D7"/>
    <w:rsid w:val="00FA6570"/>
    <w:rsid w:val="00FA65A1"/>
    <w:rsid w:val="00FA6690"/>
    <w:rsid w:val="00FA66CD"/>
    <w:rsid w:val="00FA6803"/>
    <w:rsid w:val="00FA6806"/>
    <w:rsid w:val="00FA6864"/>
    <w:rsid w:val="00FA6AD0"/>
    <w:rsid w:val="00FA6B81"/>
    <w:rsid w:val="00FA6BC0"/>
    <w:rsid w:val="00FA6BD0"/>
    <w:rsid w:val="00FA6BDE"/>
    <w:rsid w:val="00FA6D03"/>
    <w:rsid w:val="00FA6EBE"/>
    <w:rsid w:val="00FA6EEE"/>
    <w:rsid w:val="00FA6F23"/>
    <w:rsid w:val="00FA72A2"/>
    <w:rsid w:val="00FA7349"/>
    <w:rsid w:val="00FA74DC"/>
    <w:rsid w:val="00FA7620"/>
    <w:rsid w:val="00FA76B4"/>
    <w:rsid w:val="00FA7748"/>
    <w:rsid w:val="00FA77C6"/>
    <w:rsid w:val="00FA77D4"/>
    <w:rsid w:val="00FA78E7"/>
    <w:rsid w:val="00FA7915"/>
    <w:rsid w:val="00FA7978"/>
    <w:rsid w:val="00FA79AF"/>
    <w:rsid w:val="00FA7A07"/>
    <w:rsid w:val="00FA7B1E"/>
    <w:rsid w:val="00FA7C69"/>
    <w:rsid w:val="00FA7D06"/>
    <w:rsid w:val="00FA7DA8"/>
    <w:rsid w:val="00FA7F6E"/>
    <w:rsid w:val="00FB0099"/>
    <w:rsid w:val="00FB00C1"/>
    <w:rsid w:val="00FB00C6"/>
    <w:rsid w:val="00FB00E2"/>
    <w:rsid w:val="00FB010A"/>
    <w:rsid w:val="00FB01BC"/>
    <w:rsid w:val="00FB01F7"/>
    <w:rsid w:val="00FB029E"/>
    <w:rsid w:val="00FB02E5"/>
    <w:rsid w:val="00FB03A7"/>
    <w:rsid w:val="00FB04CB"/>
    <w:rsid w:val="00FB066E"/>
    <w:rsid w:val="00FB0913"/>
    <w:rsid w:val="00FB0998"/>
    <w:rsid w:val="00FB0A42"/>
    <w:rsid w:val="00FB0A6F"/>
    <w:rsid w:val="00FB0B38"/>
    <w:rsid w:val="00FB0E2A"/>
    <w:rsid w:val="00FB0F3D"/>
    <w:rsid w:val="00FB1111"/>
    <w:rsid w:val="00FB1130"/>
    <w:rsid w:val="00FB114C"/>
    <w:rsid w:val="00FB114D"/>
    <w:rsid w:val="00FB1198"/>
    <w:rsid w:val="00FB1239"/>
    <w:rsid w:val="00FB1259"/>
    <w:rsid w:val="00FB12BD"/>
    <w:rsid w:val="00FB131E"/>
    <w:rsid w:val="00FB1536"/>
    <w:rsid w:val="00FB1583"/>
    <w:rsid w:val="00FB16AF"/>
    <w:rsid w:val="00FB1707"/>
    <w:rsid w:val="00FB1722"/>
    <w:rsid w:val="00FB17F6"/>
    <w:rsid w:val="00FB1870"/>
    <w:rsid w:val="00FB18B5"/>
    <w:rsid w:val="00FB1B5A"/>
    <w:rsid w:val="00FB1CB3"/>
    <w:rsid w:val="00FB1CC1"/>
    <w:rsid w:val="00FB204B"/>
    <w:rsid w:val="00FB20F9"/>
    <w:rsid w:val="00FB21E7"/>
    <w:rsid w:val="00FB23C7"/>
    <w:rsid w:val="00FB23C9"/>
    <w:rsid w:val="00FB23F3"/>
    <w:rsid w:val="00FB2418"/>
    <w:rsid w:val="00FB246A"/>
    <w:rsid w:val="00FB2491"/>
    <w:rsid w:val="00FB2495"/>
    <w:rsid w:val="00FB24C0"/>
    <w:rsid w:val="00FB257C"/>
    <w:rsid w:val="00FB25BD"/>
    <w:rsid w:val="00FB2661"/>
    <w:rsid w:val="00FB271D"/>
    <w:rsid w:val="00FB276A"/>
    <w:rsid w:val="00FB28AD"/>
    <w:rsid w:val="00FB28E4"/>
    <w:rsid w:val="00FB2953"/>
    <w:rsid w:val="00FB29BD"/>
    <w:rsid w:val="00FB29D3"/>
    <w:rsid w:val="00FB2A3C"/>
    <w:rsid w:val="00FB2C2B"/>
    <w:rsid w:val="00FB2CE7"/>
    <w:rsid w:val="00FB2D23"/>
    <w:rsid w:val="00FB2DDF"/>
    <w:rsid w:val="00FB2E6D"/>
    <w:rsid w:val="00FB309F"/>
    <w:rsid w:val="00FB3226"/>
    <w:rsid w:val="00FB3261"/>
    <w:rsid w:val="00FB328E"/>
    <w:rsid w:val="00FB32B8"/>
    <w:rsid w:val="00FB3335"/>
    <w:rsid w:val="00FB33E9"/>
    <w:rsid w:val="00FB349B"/>
    <w:rsid w:val="00FB34AA"/>
    <w:rsid w:val="00FB34E9"/>
    <w:rsid w:val="00FB35C6"/>
    <w:rsid w:val="00FB3771"/>
    <w:rsid w:val="00FB38E0"/>
    <w:rsid w:val="00FB3A27"/>
    <w:rsid w:val="00FB3A3C"/>
    <w:rsid w:val="00FB3A55"/>
    <w:rsid w:val="00FB3A70"/>
    <w:rsid w:val="00FB3A7C"/>
    <w:rsid w:val="00FB3ACA"/>
    <w:rsid w:val="00FB3AED"/>
    <w:rsid w:val="00FB3B50"/>
    <w:rsid w:val="00FB3C0A"/>
    <w:rsid w:val="00FB3CC6"/>
    <w:rsid w:val="00FB3CFC"/>
    <w:rsid w:val="00FB3D7E"/>
    <w:rsid w:val="00FB3EBF"/>
    <w:rsid w:val="00FB3EDE"/>
    <w:rsid w:val="00FB3F0F"/>
    <w:rsid w:val="00FB3F2C"/>
    <w:rsid w:val="00FB3F50"/>
    <w:rsid w:val="00FB3F93"/>
    <w:rsid w:val="00FB3FD1"/>
    <w:rsid w:val="00FB4060"/>
    <w:rsid w:val="00FB41E6"/>
    <w:rsid w:val="00FB42ED"/>
    <w:rsid w:val="00FB43FA"/>
    <w:rsid w:val="00FB4583"/>
    <w:rsid w:val="00FB45A4"/>
    <w:rsid w:val="00FB45A9"/>
    <w:rsid w:val="00FB45CB"/>
    <w:rsid w:val="00FB4660"/>
    <w:rsid w:val="00FB46E3"/>
    <w:rsid w:val="00FB4733"/>
    <w:rsid w:val="00FB476E"/>
    <w:rsid w:val="00FB47B2"/>
    <w:rsid w:val="00FB47DC"/>
    <w:rsid w:val="00FB47F3"/>
    <w:rsid w:val="00FB48D4"/>
    <w:rsid w:val="00FB49FD"/>
    <w:rsid w:val="00FB4C52"/>
    <w:rsid w:val="00FB4CF6"/>
    <w:rsid w:val="00FB4D15"/>
    <w:rsid w:val="00FB4E10"/>
    <w:rsid w:val="00FB4EAE"/>
    <w:rsid w:val="00FB4FF4"/>
    <w:rsid w:val="00FB5227"/>
    <w:rsid w:val="00FB52E0"/>
    <w:rsid w:val="00FB52FC"/>
    <w:rsid w:val="00FB5373"/>
    <w:rsid w:val="00FB54D3"/>
    <w:rsid w:val="00FB55C0"/>
    <w:rsid w:val="00FB5659"/>
    <w:rsid w:val="00FB5673"/>
    <w:rsid w:val="00FB578F"/>
    <w:rsid w:val="00FB57BF"/>
    <w:rsid w:val="00FB57E1"/>
    <w:rsid w:val="00FB5836"/>
    <w:rsid w:val="00FB58AE"/>
    <w:rsid w:val="00FB58B0"/>
    <w:rsid w:val="00FB592E"/>
    <w:rsid w:val="00FB5A15"/>
    <w:rsid w:val="00FB5A26"/>
    <w:rsid w:val="00FB5A7C"/>
    <w:rsid w:val="00FB5B02"/>
    <w:rsid w:val="00FB5BDD"/>
    <w:rsid w:val="00FB5C92"/>
    <w:rsid w:val="00FB5D0F"/>
    <w:rsid w:val="00FB5D1D"/>
    <w:rsid w:val="00FB5D5F"/>
    <w:rsid w:val="00FB5F37"/>
    <w:rsid w:val="00FB5F57"/>
    <w:rsid w:val="00FB5FB2"/>
    <w:rsid w:val="00FB612E"/>
    <w:rsid w:val="00FB613C"/>
    <w:rsid w:val="00FB61A7"/>
    <w:rsid w:val="00FB6369"/>
    <w:rsid w:val="00FB65C9"/>
    <w:rsid w:val="00FB67A9"/>
    <w:rsid w:val="00FB68F9"/>
    <w:rsid w:val="00FB6A7D"/>
    <w:rsid w:val="00FB6A89"/>
    <w:rsid w:val="00FB6A96"/>
    <w:rsid w:val="00FB6AB5"/>
    <w:rsid w:val="00FB6C18"/>
    <w:rsid w:val="00FB6C75"/>
    <w:rsid w:val="00FB6E1F"/>
    <w:rsid w:val="00FB6E51"/>
    <w:rsid w:val="00FB700F"/>
    <w:rsid w:val="00FB7066"/>
    <w:rsid w:val="00FB721F"/>
    <w:rsid w:val="00FB7286"/>
    <w:rsid w:val="00FB72B3"/>
    <w:rsid w:val="00FB7311"/>
    <w:rsid w:val="00FB7423"/>
    <w:rsid w:val="00FB7479"/>
    <w:rsid w:val="00FB751C"/>
    <w:rsid w:val="00FB7590"/>
    <w:rsid w:val="00FB7597"/>
    <w:rsid w:val="00FB777C"/>
    <w:rsid w:val="00FB77F6"/>
    <w:rsid w:val="00FB7809"/>
    <w:rsid w:val="00FB78BD"/>
    <w:rsid w:val="00FB78E3"/>
    <w:rsid w:val="00FB7937"/>
    <w:rsid w:val="00FB7A1A"/>
    <w:rsid w:val="00FB7A55"/>
    <w:rsid w:val="00FB7A97"/>
    <w:rsid w:val="00FB7AC2"/>
    <w:rsid w:val="00FB7B29"/>
    <w:rsid w:val="00FB7B91"/>
    <w:rsid w:val="00FB7C4B"/>
    <w:rsid w:val="00FB7C6F"/>
    <w:rsid w:val="00FB7CED"/>
    <w:rsid w:val="00FB7D19"/>
    <w:rsid w:val="00FB7D9A"/>
    <w:rsid w:val="00FB7DF4"/>
    <w:rsid w:val="00FB7E21"/>
    <w:rsid w:val="00FB7EC0"/>
    <w:rsid w:val="00FB7EDB"/>
    <w:rsid w:val="00FB7F0D"/>
    <w:rsid w:val="00FB7F44"/>
    <w:rsid w:val="00FB7F71"/>
    <w:rsid w:val="00FC008B"/>
    <w:rsid w:val="00FC00A3"/>
    <w:rsid w:val="00FC0379"/>
    <w:rsid w:val="00FC03C7"/>
    <w:rsid w:val="00FC03D4"/>
    <w:rsid w:val="00FC045D"/>
    <w:rsid w:val="00FC0490"/>
    <w:rsid w:val="00FC04A1"/>
    <w:rsid w:val="00FC0551"/>
    <w:rsid w:val="00FC061A"/>
    <w:rsid w:val="00FC0662"/>
    <w:rsid w:val="00FC0829"/>
    <w:rsid w:val="00FC084A"/>
    <w:rsid w:val="00FC0871"/>
    <w:rsid w:val="00FC09DE"/>
    <w:rsid w:val="00FC0A4B"/>
    <w:rsid w:val="00FC0A4E"/>
    <w:rsid w:val="00FC0C36"/>
    <w:rsid w:val="00FC0CD1"/>
    <w:rsid w:val="00FC0D50"/>
    <w:rsid w:val="00FC0EAE"/>
    <w:rsid w:val="00FC0EF3"/>
    <w:rsid w:val="00FC0F0B"/>
    <w:rsid w:val="00FC116D"/>
    <w:rsid w:val="00FC11E6"/>
    <w:rsid w:val="00FC1274"/>
    <w:rsid w:val="00FC12BF"/>
    <w:rsid w:val="00FC13CF"/>
    <w:rsid w:val="00FC16B9"/>
    <w:rsid w:val="00FC175F"/>
    <w:rsid w:val="00FC17EC"/>
    <w:rsid w:val="00FC182A"/>
    <w:rsid w:val="00FC1879"/>
    <w:rsid w:val="00FC1986"/>
    <w:rsid w:val="00FC1A8A"/>
    <w:rsid w:val="00FC1ADD"/>
    <w:rsid w:val="00FC1B5E"/>
    <w:rsid w:val="00FC1C14"/>
    <w:rsid w:val="00FC1C5C"/>
    <w:rsid w:val="00FC1DE8"/>
    <w:rsid w:val="00FC1F41"/>
    <w:rsid w:val="00FC2012"/>
    <w:rsid w:val="00FC2034"/>
    <w:rsid w:val="00FC2128"/>
    <w:rsid w:val="00FC2155"/>
    <w:rsid w:val="00FC2193"/>
    <w:rsid w:val="00FC22B0"/>
    <w:rsid w:val="00FC22FD"/>
    <w:rsid w:val="00FC23EB"/>
    <w:rsid w:val="00FC247E"/>
    <w:rsid w:val="00FC24B2"/>
    <w:rsid w:val="00FC259F"/>
    <w:rsid w:val="00FC25C5"/>
    <w:rsid w:val="00FC2603"/>
    <w:rsid w:val="00FC27B2"/>
    <w:rsid w:val="00FC281A"/>
    <w:rsid w:val="00FC28A2"/>
    <w:rsid w:val="00FC29B2"/>
    <w:rsid w:val="00FC29BA"/>
    <w:rsid w:val="00FC29D8"/>
    <w:rsid w:val="00FC2A4B"/>
    <w:rsid w:val="00FC2ADC"/>
    <w:rsid w:val="00FC2BDA"/>
    <w:rsid w:val="00FC2CE3"/>
    <w:rsid w:val="00FC2CFF"/>
    <w:rsid w:val="00FC2DB5"/>
    <w:rsid w:val="00FC2DC7"/>
    <w:rsid w:val="00FC2E97"/>
    <w:rsid w:val="00FC2ED5"/>
    <w:rsid w:val="00FC2F00"/>
    <w:rsid w:val="00FC2F3C"/>
    <w:rsid w:val="00FC3049"/>
    <w:rsid w:val="00FC320D"/>
    <w:rsid w:val="00FC33D1"/>
    <w:rsid w:val="00FC3473"/>
    <w:rsid w:val="00FC348A"/>
    <w:rsid w:val="00FC351C"/>
    <w:rsid w:val="00FC353D"/>
    <w:rsid w:val="00FC3592"/>
    <w:rsid w:val="00FC363D"/>
    <w:rsid w:val="00FC367A"/>
    <w:rsid w:val="00FC3682"/>
    <w:rsid w:val="00FC393B"/>
    <w:rsid w:val="00FC3CCE"/>
    <w:rsid w:val="00FC3DCF"/>
    <w:rsid w:val="00FC3F31"/>
    <w:rsid w:val="00FC4044"/>
    <w:rsid w:val="00FC40D9"/>
    <w:rsid w:val="00FC4123"/>
    <w:rsid w:val="00FC4343"/>
    <w:rsid w:val="00FC443B"/>
    <w:rsid w:val="00FC44B1"/>
    <w:rsid w:val="00FC4530"/>
    <w:rsid w:val="00FC4606"/>
    <w:rsid w:val="00FC46BA"/>
    <w:rsid w:val="00FC46CF"/>
    <w:rsid w:val="00FC46D7"/>
    <w:rsid w:val="00FC46F7"/>
    <w:rsid w:val="00FC4730"/>
    <w:rsid w:val="00FC4819"/>
    <w:rsid w:val="00FC488D"/>
    <w:rsid w:val="00FC48E5"/>
    <w:rsid w:val="00FC495D"/>
    <w:rsid w:val="00FC49AD"/>
    <w:rsid w:val="00FC4A2D"/>
    <w:rsid w:val="00FC4AD9"/>
    <w:rsid w:val="00FC4B1B"/>
    <w:rsid w:val="00FC4C08"/>
    <w:rsid w:val="00FC4C45"/>
    <w:rsid w:val="00FC4D6B"/>
    <w:rsid w:val="00FC4DE9"/>
    <w:rsid w:val="00FC4DF3"/>
    <w:rsid w:val="00FC4E2E"/>
    <w:rsid w:val="00FC4E3F"/>
    <w:rsid w:val="00FC4E72"/>
    <w:rsid w:val="00FC4EAE"/>
    <w:rsid w:val="00FC4F9B"/>
    <w:rsid w:val="00FC5007"/>
    <w:rsid w:val="00FC51C7"/>
    <w:rsid w:val="00FC5221"/>
    <w:rsid w:val="00FC52A3"/>
    <w:rsid w:val="00FC52BC"/>
    <w:rsid w:val="00FC52D2"/>
    <w:rsid w:val="00FC5352"/>
    <w:rsid w:val="00FC5373"/>
    <w:rsid w:val="00FC537A"/>
    <w:rsid w:val="00FC538C"/>
    <w:rsid w:val="00FC549C"/>
    <w:rsid w:val="00FC54E4"/>
    <w:rsid w:val="00FC56C0"/>
    <w:rsid w:val="00FC574F"/>
    <w:rsid w:val="00FC585A"/>
    <w:rsid w:val="00FC59FD"/>
    <w:rsid w:val="00FC5A1D"/>
    <w:rsid w:val="00FC5C54"/>
    <w:rsid w:val="00FC5D47"/>
    <w:rsid w:val="00FC5D4E"/>
    <w:rsid w:val="00FC5D50"/>
    <w:rsid w:val="00FC5E4D"/>
    <w:rsid w:val="00FC5EF0"/>
    <w:rsid w:val="00FC5F5C"/>
    <w:rsid w:val="00FC5F6C"/>
    <w:rsid w:val="00FC6291"/>
    <w:rsid w:val="00FC631C"/>
    <w:rsid w:val="00FC636E"/>
    <w:rsid w:val="00FC6558"/>
    <w:rsid w:val="00FC669B"/>
    <w:rsid w:val="00FC6704"/>
    <w:rsid w:val="00FC6725"/>
    <w:rsid w:val="00FC68AA"/>
    <w:rsid w:val="00FC6972"/>
    <w:rsid w:val="00FC6A02"/>
    <w:rsid w:val="00FC6A72"/>
    <w:rsid w:val="00FC6A9A"/>
    <w:rsid w:val="00FC6C06"/>
    <w:rsid w:val="00FC6C10"/>
    <w:rsid w:val="00FC6CB0"/>
    <w:rsid w:val="00FC6D68"/>
    <w:rsid w:val="00FC6F16"/>
    <w:rsid w:val="00FC6FA4"/>
    <w:rsid w:val="00FC7062"/>
    <w:rsid w:val="00FC7085"/>
    <w:rsid w:val="00FC7232"/>
    <w:rsid w:val="00FC7447"/>
    <w:rsid w:val="00FC744C"/>
    <w:rsid w:val="00FC7592"/>
    <w:rsid w:val="00FC75C1"/>
    <w:rsid w:val="00FC75D5"/>
    <w:rsid w:val="00FC75DB"/>
    <w:rsid w:val="00FC7690"/>
    <w:rsid w:val="00FC7832"/>
    <w:rsid w:val="00FC783E"/>
    <w:rsid w:val="00FC78AF"/>
    <w:rsid w:val="00FC7999"/>
    <w:rsid w:val="00FC79EC"/>
    <w:rsid w:val="00FC7A35"/>
    <w:rsid w:val="00FC7A41"/>
    <w:rsid w:val="00FC7C74"/>
    <w:rsid w:val="00FC7CBA"/>
    <w:rsid w:val="00FC7D28"/>
    <w:rsid w:val="00FC7D61"/>
    <w:rsid w:val="00FC7D9C"/>
    <w:rsid w:val="00FC7DD6"/>
    <w:rsid w:val="00FC7EC7"/>
    <w:rsid w:val="00FC7F14"/>
    <w:rsid w:val="00FC7F3D"/>
    <w:rsid w:val="00FD0010"/>
    <w:rsid w:val="00FD00F4"/>
    <w:rsid w:val="00FD01D8"/>
    <w:rsid w:val="00FD0250"/>
    <w:rsid w:val="00FD0266"/>
    <w:rsid w:val="00FD030C"/>
    <w:rsid w:val="00FD039B"/>
    <w:rsid w:val="00FD0476"/>
    <w:rsid w:val="00FD059A"/>
    <w:rsid w:val="00FD0759"/>
    <w:rsid w:val="00FD075F"/>
    <w:rsid w:val="00FD082D"/>
    <w:rsid w:val="00FD08E0"/>
    <w:rsid w:val="00FD093B"/>
    <w:rsid w:val="00FD0984"/>
    <w:rsid w:val="00FD0A7D"/>
    <w:rsid w:val="00FD0AA6"/>
    <w:rsid w:val="00FD0D14"/>
    <w:rsid w:val="00FD0DCC"/>
    <w:rsid w:val="00FD0E1A"/>
    <w:rsid w:val="00FD0E8E"/>
    <w:rsid w:val="00FD0ED3"/>
    <w:rsid w:val="00FD0F95"/>
    <w:rsid w:val="00FD1094"/>
    <w:rsid w:val="00FD1131"/>
    <w:rsid w:val="00FD1169"/>
    <w:rsid w:val="00FD12AE"/>
    <w:rsid w:val="00FD12B1"/>
    <w:rsid w:val="00FD1373"/>
    <w:rsid w:val="00FD1381"/>
    <w:rsid w:val="00FD13EF"/>
    <w:rsid w:val="00FD1590"/>
    <w:rsid w:val="00FD15C4"/>
    <w:rsid w:val="00FD1699"/>
    <w:rsid w:val="00FD1738"/>
    <w:rsid w:val="00FD176B"/>
    <w:rsid w:val="00FD17DC"/>
    <w:rsid w:val="00FD18E9"/>
    <w:rsid w:val="00FD1B30"/>
    <w:rsid w:val="00FD1B3C"/>
    <w:rsid w:val="00FD1C13"/>
    <w:rsid w:val="00FD1C88"/>
    <w:rsid w:val="00FD1CA5"/>
    <w:rsid w:val="00FD1CEA"/>
    <w:rsid w:val="00FD1D3C"/>
    <w:rsid w:val="00FD1DFB"/>
    <w:rsid w:val="00FD2041"/>
    <w:rsid w:val="00FD2044"/>
    <w:rsid w:val="00FD210B"/>
    <w:rsid w:val="00FD215E"/>
    <w:rsid w:val="00FD2244"/>
    <w:rsid w:val="00FD231F"/>
    <w:rsid w:val="00FD2501"/>
    <w:rsid w:val="00FD25FD"/>
    <w:rsid w:val="00FD2605"/>
    <w:rsid w:val="00FD264D"/>
    <w:rsid w:val="00FD2687"/>
    <w:rsid w:val="00FD26FE"/>
    <w:rsid w:val="00FD27B1"/>
    <w:rsid w:val="00FD27EE"/>
    <w:rsid w:val="00FD2831"/>
    <w:rsid w:val="00FD28E1"/>
    <w:rsid w:val="00FD28FC"/>
    <w:rsid w:val="00FD2985"/>
    <w:rsid w:val="00FD29F7"/>
    <w:rsid w:val="00FD2A31"/>
    <w:rsid w:val="00FD2A69"/>
    <w:rsid w:val="00FD2AB3"/>
    <w:rsid w:val="00FD2B0A"/>
    <w:rsid w:val="00FD2B48"/>
    <w:rsid w:val="00FD2B74"/>
    <w:rsid w:val="00FD2E9D"/>
    <w:rsid w:val="00FD2F1E"/>
    <w:rsid w:val="00FD2F37"/>
    <w:rsid w:val="00FD2FCC"/>
    <w:rsid w:val="00FD2FEA"/>
    <w:rsid w:val="00FD3012"/>
    <w:rsid w:val="00FD3098"/>
    <w:rsid w:val="00FD3134"/>
    <w:rsid w:val="00FD3135"/>
    <w:rsid w:val="00FD31F8"/>
    <w:rsid w:val="00FD3227"/>
    <w:rsid w:val="00FD3276"/>
    <w:rsid w:val="00FD3358"/>
    <w:rsid w:val="00FD344F"/>
    <w:rsid w:val="00FD35EC"/>
    <w:rsid w:val="00FD3657"/>
    <w:rsid w:val="00FD36DE"/>
    <w:rsid w:val="00FD395C"/>
    <w:rsid w:val="00FD39D0"/>
    <w:rsid w:val="00FD39E4"/>
    <w:rsid w:val="00FD39E6"/>
    <w:rsid w:val="00FD3AFF"/>
    <w:rsid w:val="00FD3C5A"/>
    <w:rsid w:val="00FD3D3B"/>
    <w:rsid w:val="00FD3D58"/>
    <w:rsid w:val="00FD3D5A"/>
    <w:rsid w:val="00FD3D6A"/>
    <w:rsid w:val="00FD3DFD"/>
    <w:rsid w:val="00FD3E90"/>
    <w:rsid w:val="00FD3FEE"/>
    <w:rsid w:val="00FD4046"/>
    <w:rsid w:val="00FD40AF"/>
    <w:rsid w:val="00FD40C0"/>
    <w:rsid w:val="00FD40E8"/>
    <w:rsid w:val="00FD42A1"/>
    <w:rsid w:val="00FD42D0"/>
    <w:rsid w:val="00FD42F0"/>
    <w:rsid w:val="00FD4375"/>
    <w:rsid w:val="00FD4386"/>
    <w:rsid w:val="00FD4541"/>
    <w:rsid w:val="00FD459E"/>
    <w:rsid w:val="00FD46B6"/>
    <w:rsid w:val="00FD46C0"/>
    <w:rsid w:val="00FD4708"/>
    <w:rsid w:val="00FD472C"/>
    <w:rsid w:val="00FD4781"/>
    <w:rsid w:val="00FD47BD"/>
    <w:rsid w:val="00FD4846"/>
    <w:rsid w:val="00FD494C"/>
    <w:rsid w:val="00FD4969"/>
    <w:rsid w:val="00FD49BE"/>
    <w:rsid w:val="00FD4A63"/>
    <w:rsid w:val="00FD4A69"/>
    <w:rsid w:val="00FD4A9D"/>
    <w:rsid w:val="00FD4AB4"/>
    <w:rsid w:val="00FD4AE9"/>
    <w:rsid w:val="00FD4AFA"/>
    <w:rsid w:val="00FD4B56"/>
    <w:rsid w:val="00FD4BA5"/>
    <w:rsid w:val="00FD4CF4"/>
    <w:rsid w:val="00FD4D9A"/>
    <w:rsid w:val="00FD4F89"/>
    <w:rsid w:val="00FD4F8A"/>
    <w:rsid w:val="00FD4FA3"/>
    <w:rsid w:val="00FD4FA7"/>
    <w:rsid w:val="00FD5030"/>
    <w:rsid w:val="00FD53AE"/>
    <w:rsid w:val="00FD5411"/>
    <w:rsid w:val="00FD5421"/>
    <w:rsid w:val="00FD549B"/>
    <w:rsid w:val="00FD54C2"/>
    <w:rsid w:val="00FD54EF"/>
    <w:rsid w:val="00FD54F8"/>
    <w:rsid w:val="00FD54F9"/>
    <w:rsid w:val="00FD55DF"/>
    <w:rsid w:val="00FD56B0"/>
    <w:rsid w:val="00FD56B2"/>
    <w:rsid w:val="00FD56C6"/>
    <w:rsid w:val="00FD56F0"/>
    <w:rsid w:val="00FD573C"/>
    <w:rsid w:val="00FD5942"/>
    <w:rsid w:val="00FD5985"/>
    <w:rsid w:val="00FD5A43"/>
    <w:rsid w:val="00FD5B30"/>
    <w:rsid w:val="00FD5B38"/>
    <w:rsid w:val="00FD5B8D"/>
    <w:rsid w:val="00FD5B98"/>
    <w:rsid w:val="00FD5D67"/>
    <w:rsid w:val="00FD5D9C"/>
    <w:rsid w:val="00FD5DAB"/>
    <w:rsid w:val="00FD5DF0"/>
    <w:rsid w:val="00FD5F1A"/>
    <w:rsid w:val="00FD612D"/>
    <w:rsid w:val="00FD6163"/>
    <w:rsid w:val="00FD61A3"/>
    <w:rsid w:val="00FD6296"/>
    <w:rsid w:val="00FD62AA"/>
    <w:rsid w:val="00FD62B7"/>
    <w:rsid w:val="00FD62C4"/>
    <w:rsid w:val="00FD62E9"/>
    <w:rsid w:val="00FD635E"/>
    <w:rsid w:val="00FD6368"/>
    <w:rsid w:val="00FD6386"/>
    <w:rsid w:val="00FD63E1"/>
    <w:rsid w:val="00FD63ED"/>
    <w:rsid w:val="00FD6460"/>
    <w:rsid w:val="00FD64DD"/>
    <w:rsid w:val="00FD65B3"/>
    <w:rsid w:val="00FD65B8"/>
    <w:rsid w:val="00FD65CE"/>
    <w:rsid w:val="00FD65E3"/>
    <w:rsid w:val="00FD662E"/>
    <w:rsid w:val="00FD66CD"/>
    <w:rsid w:val="00FD6764"/>
    <w:rsid w:val="00FD676C"/>
    <w:rsid w:val="00FD678A"/>
    <w:rsid w:val="00FD67CF"/>
    <w:rsid w:val="00FD688A"/>
    <w:rsid w:val="00FD68DB"/>
    <w:rsid w:val="00FD68DC"/>
    <w:rsid w:val="00FD691B"/>
    <w:rsid w:val="00FD6BD8"/>
    <w:rsid w:val="00FD6D5A"/>
    <w:rsid w:val="00FD6D5D"/>
    <w:rsid w:val="00FD6D64"/>
    <w:rsid w:val="00FD6E0A"/>
    <w:rsid w:val="00FD6E4B"/>
    <w:rsid w:val="00FD6E9B"/>
    <w:rsid w:val="00FD6EAB"/>
    <w:rsid w:val="00FD6EE3"/>
    <w:rsid w:val="00FD6FA9"/>
    <w:rsid w:val="00FD7015"/>
    <w:rsid w:val="00FD713C"/>
    <w:rsid w:val="00FD7176"/>
    <w:rsid w:val="00FD71E2"/>
    <w:rsid w:val="00FD7353"/>
    <w:rsid w:val="00FD7377"/>
    <w:rsid w:val="00FD741F"/>
    <w:rsid w:val="00FD7503"/>
    <w:rsid w:val="00FD7672"/>
    <w:rsid w:val="00FD7684"/>
    <w:rsid w:val="00FD7752"/>
    <w:rsid w:val="00FD7802"/>
    <w:rsid w:val="00FD780F"/>
    <w:rsid w:val="00FD781A"/>
    <w:rsid w:val="00FD7872"/>
    <w:rsid w:val="00FD78CD"/>
    <w:rsid w:val="00FD790C"/>
    <w:rsid w:val="00FD797B"/>
    <w:rsid w:val="00FD7A62"/>
    <w:rsid w:val="00FD7AD2"/>
    <w:rsid w:val="00FD7AFF"/>
    <w:rsid w:val="00FD7B76"/>
    <w:rsid w:val="00FD7BF3"/>
    <w:rsid w:val="00FD7BF4"/>
    <w:rsid w:val="00FD7C40"/>
    <w:rsid w:val="00FD7CC6"/>
    <w:rsid w:val="00FD7DBF"/>
    <w:rsid w:val="00FD7EB8"/>
    <w:rsid w:val="00FD7F98"/>
    <w:rsid w:val="00FD7FBD"/>
    <w:rsid w:val="00FE00B7"/>
    <w:rsid w:val="00FE0128"/>
    <w:rsid w:val="00FE01FB"/>
    <w:rsid w:val="00FE0379"/>
    <w:rsid w:val="00FE037B"/>
    <w:rsid w:val="00FE0393"/>
    <w:rsid w:val="00FE03F4"/>
    <w:rsid w:val="00FE04C3"/>
    <w:rsid w:val="00FE05B6"/>
    <w:rsid w:val="00FE05E8"/>
    <w:rsid w:val="00FE0733"/>
    <w:rsid w:val="00FE0742"/>
    <w:rsid w:val="00FE0759"/>
    <w:rsid w:val="00FE080C"/>
    <w:rsid w:val="00FE080D"/>
    <w:rsid w:val="00FE0850"/>
    <w:rsid w:val="00FE087C"/>
    <w:rsid w:val="00FE0AA9"/>
    <w:rsid w:val="00FE0AEF"/>
    <w:rsid w:val="00FE0B23"/>
    <w:rsid w:val="00FE0B54"/>
    <w:rsid w:val="00FE0BEB"/>
    <w:rsid w:val="00FE0DBC"/>
    <w:rsid w:val="00FE0E29"/>
    <w:rsid w:val="00FE0E3A"/>
    <w:rsid w:val="00FE0EFF"/>
    <w:rsid w:val="00FE0F8D"/>
    <w:rsid w:val="00FE0FD6"/>
    <w:rsid w:val="00FE106C"/>
    <w:rsid w:val="00FE10FE"/>
    <w:rsid w:val="00FE1170"/>
    <w:rsid w:val="00FE117F"/>
    <w:rsid w:val="00FE12E0"/>
    <w:rsid w:val="00FE138C"/>
    <w:rsid w:val="00FE13C8"/>
    <w:rsid w:val="00FE146F"/>
    <w:rsid w:val="00FE149A"/>
    <w:rsid w:val="00FE154C"/>
    <w:rsid w:val="00FE1628"/>
    <w:rsid w:val="00FE17E2"/>
    <w:rsid w:val="00FE1822"/>
    <w:rsid w:val="00FE1966"/>
    <w:rsid w:val="00FE1980"/>
    <w:rsid w:val="00FE19EA"/>
    <w:rsid w:val="00FE1A83"/>
    <w:rsid w:val="00FE1AB0"/>
    <w:rsid w:val="00FE1AEC"/>
    <w:rsid w:val="00FE1B6A"/>
    <w:rsid w:val="00FE1B6C"/>
    <w:rsid w:val="00FE1D9F"/>
    <w:rsid w:val="00FE1E7B"/>
    <w:rsid w:val="00FE1E84"/>
    <w:rsid w:val="00FE1E9D"/>
    <w:rsid w:val="00FE1EA6"/>
    <w:rsid w:val="00FE1EE0"/>
    <w:rsid w:val="00FE2079"/>
    <w:rsid w:val="00FE20C0"/>
    <w:rsid w:val="00FE2109"/>
    <w:rsid w:val="00FE22F5"/>
    <w:rsid w:val="00FE23A2"/>
    <w:rsid w:val="00FE2665"/>
    <w:rsid w:val="00FE2734"/>
    <w:rsid w:val="00FE2832"/>
    <w:rsid w:val="00FE2900"/>
    <w:rsid w:val="00FE2931"/>
    <w:rsid w:val="00FE2956"/>
    <w:rsid w:val="00FE2A93"/>
    <w:rsid w:val="00FE2AB1"/>
    <w:rsid w:val="00FE2B04"/>
    <w:rsid w:val="00FE2B57"/>
    <w:rsid w:val="00FE2C40"/>
    <w:rsid w:val="00FE2C6A"/>
    <w:rsid w:val="00FE2CCF"/>
    <w:rsid w:val="00FE2D8D"/>
    <w:rsid w:val="00FE2E3A"/>
    <w:rsid w:val="00FE2EDC"/>
    <w:rsid w:val="00FE2F26"/>
    <w:rsid w:val="00FE2FE3"/>
    <w:rsid w:val="00FE3045"/>
    <w:rsid w:val="00FE305B"/>
    <w:rsid w:val="00FE3077"/>
    <w:rsid w:val="00FE312A"/>
    <w:rsid w:val="00FE326B"/>
    <w:rsid w:val="00FE32A6"/>
    <w:rsid w:val="00FE338F"/>
    <w:rsid w:val="00FE3436"/>
    <w:rsid w:val="00FE3447"/>
    <w:rsid w:val="00FE35EC"/>
    <w:rsid w:val="00FE3A54"/>
    <w:rsid w:val="00FE3A80"/>
    <w:rsid w:val="00FE3A8A"/>
    <w:rsid w:val="00FE3AB2"/>
    <w:rsid w:val="00FE3AF5"/>
    <w:rsid w:val="00FE3B29"/>
    <w:rsid w:val="00FE3C1B"/>
    <w:rsid w:val="00FE3C35"/>
    <w:rsid w:val="00FE3D3A"/>
    <w:rsid w:val="00FE3D76"/>
    <w:rsid w:val="00FE3E0A"/>
    <w:rsid w:val="00FE3E36"/>
    <w:rsid w:val="00FE3E62"/>
    <w:rsid w:val="00FE3F29"/>
    <w:rsid w:val="00FE3F9C"/>
    <w:rsid w:val="00FE4003"/>
    <w:rsid w:val="00FE4116"/>
    <w:rsid w:val="00FE419F"/>
    <w:rsid w:val="00FE428C"/>
    <w:rsid w:val="00FE42B3"/>
    <w:rsid w:val="00FE42C3"/>
    <w:rsid w:val="00FE4358"/>
    <w:rsid w:val="00FE4397"/>
    <w:rsid w:val="00FE439E"/>
    <w:rsid w:val="00FE448A"/>
    <w:rsid w:val="00FE449B"/>
    <w:rsid w:val="00FE45E4"/>
    <w:rsid w:val="00FE46A5"/>
    <w:rsid w:val="00FE46EA"/>
    <w:rsid w:val="00FE46F8"/>
    <w:rsid w:val="00FE4710"/>
    <w:rsid w:val="00FE475E"/>
    <w:rsid w:val="00FE47A7"/>
    <w:rsid w:val="00FE47E2"/>
    <w:rsid w:val="00FE47FC"/>
    <w:rsid w:val="00FE48D3"/>
    <w:rsid w:val="00FE48FE"/>
    <w:rsid w:val="00FE4950"/>
    <w:rsid w:val="00FE4986"/>
    <w:rsid w:val="00FE49EA"/>
    <w:rsid w:val="00FE4A86"/>
    <w:rsid w:val="00FE4AB6"/>
    <w:rsid w:val="00FE4AE8"/>
    <w:rsid w:val="00FE4B44"/>
    <w:rsid w:val="00FE4B72"/>
    <w:rsid w:val="00FE4BB5"/>
    <w:rsid w:val="00FE4D14"/>
    <w:rsid w:val="00FE4D83"/>
    <w:rsid w:val="00FE4DC1"/>
    <w:rsid w:val="00FE4DCC"/>
    <w:rsid w:val="00FE4F3A"/>
    <w:rsid w:val="00FE4F45"/>
    <w:rsid w:val="00FE4F60"/>
    <w:rsid w:val="00FE4F99"/>
    <w:rsid w:val="00FE4F9D"/>
    <w:rsid w:val="00FE5031"/>
    <w:rsid w:val="00FE505B"/>
    <w:rsid w:val="00FE50D2"/>
    <w:rsid w:val="00FE519C"/>
    <w:rsid w:val="00FE5205"/>
    <w:rsid w:val="00FE5297"/>
    <w:rsid w:val="00FE52AB"/>
    <w:rsid w:val="00FE52CB"/>
    <w:rsid w:val="00FE5344"/>
    <w:rsid w:val="00FE547A"/>
    <w:rsid w:val="00FE54B0"/>
    <w:rsid w:val="00FE554A"/>
    <w:rsid w:val="00FE5579"/>
    <w:rsid w:val="00FE55A6"/>
    <w:rsid w:val="00FE57C2"/>
    <w:rsid w:val="00FE5974"/>
    <w:rsid w:val="00FE5ACF"/>
    <w:rsid w:val="00FE5C2B"/>
    <w:rsid w:val="00FE5C2D"/>
    <w:rsid w:val="00FE5C8C"/>
    <w:rsid w:val="00FE5DB1"/>
    <w:rsid w:val="00FE6048"/>
    <w:rsid w:val="00FE6110"/>
    <w:rsid w:val="00FE6236"/>
    <w:rsid w:val="00FE6620"/>
    <w:rsid w:val="00FE6824"/>
    <w:rsid w:val="00FE6952"/>
    <w:rsid w:val="00FE6980"/>
    <w:rsid w:val="00FE69A5"/>
    <w:rsid w:val="00FE6AFB"/>
    <w:rsid w:val="00FE6AFE"/>
    <w:rsid w:val="00FE6B4A"/>
    <w:rsid w:val="00FE6B52"/>
    <w:rsid w:val="00FE6BDF"/>
    <w:rsid w:val="00FE6DE7"/>
    <w:rsid w:val="00FE6DF0"/>
    <w:rsid w:val="00FE6E01"/>
    <w:rsid w:val="00FE7030"/>
    <w:rsid w:val="00FE70C3"/>
    <w:rsid w:val="00FE713B"/>
    <w:rsid w:val="00FE7190"/>
    <w:rsid w:val="00FE7233"/>
    <w:rsid w:val="00FE72A8"/>
    <w:rsid w:val="00FE7342"/>
    <w:rsid w:val="00FE74D0"/>
    <w:rsid w:val="00FE75D6"/>
    <w:rsid w:val="00FE768B"/>
    <w:rsid w:val="00FE77E8"/>
    <w:rsid w:val="00FE78C1"/>
    <w:rsid w:val="00FE7A23"/>
    <w:rsid w:val="00FE7CC5"/>
    <w:rsid w:val="00FE7D5A"/>
    <w:rsid w:val="00FE7D9A"/>
    <w:rsid w:val="00FE7E5E"/>
    <w:rsid w:val="00FE7E9A"/>
    <w:rsid w:val="00FE7EFC"/>
    <w:rsid w:val="00FE7F6A"/>
    <w:rsid w:val="00FE7FC7"/>
    <w:rsid w:val="00FF00BE"/>
    <w:rsid w:val="00FF00D0"/>
    <w:rsid w:val="00FF00DD"/>
    <w:rsid w:val="00FF00F2"/>
    <w:rsid w:val="00FF00FF"/>
    <w:rsid w:val="00FF0140"/>
    <w:rsid w:val="00FF017F"/>
    <w:rsid w:val="00FF0192"/>
    <w:rsid w:val="00FF01F2"/>
    <w:rsid w:val="00FF01F6"/>
    <w:rsid w:val="00FF02C1"/>
    <w:rsid w:val="00FF03B9"/>
    <w:rsid w:val="00FF043B"/>
    <w:rsid w:val="00FF04DA"/>
    <w:rsid w:val="00FF05AA"/>
    <w:rsid w:val="00FF061C"/>
    <w:rsid w:val="00FF07BA"/>
    <w:rsid w:val="00FF0A1A"/>
    <w:rsid w:val="00FF0A37"/>
    <w:rsid w:val="00FF0BE0"/>
    <w:rsid w:val="00FF0C47"/>
    <w:rsid w:val="00FF0C65"/>
    <w:rsid w:val="00FF0CE2"/>
    <w:rsid w:val="00FF0D39"/>
    <w:rsid w:val="00FF0DE5"/>
    <w:rsid w:val="00FF0E0B"/>
    <w:rsid w:val="00FF0E2F"/>
    <w:rsid w:val="00FF0EA5"/>
    <w:rsid w:val="00FF0F23"/>
    <w:rsid w:val="00FF0FDF"/>
    <w:rsid w:val="00FF1025"/>
    <w:rsid w:val="00FF106A"/>
    <w:rsid w:val="00FF1135"/>
    <w:rsid w:val="00FF1260"/>
    <w:rsid w:val="00FF1313"/>
    <w:rsid w:val="00FF138D"/>
    <w:rsid w:val="00FF1420"/>
    <w:rsid w:val="00FF146B"/>
    <w:rsid w:val="00FF15D2"/>
    <w:rsid w:val="00FF166C"/>
    <w:rsid w:val="00FF1736"/>
    <w:rsid w:val="00FF177D"/>
    <w:rsid w:val="00FF17DB"/>
    <w:rsid w:val="00FF17FA"/>
    <w:rsid w:val="00FF18BC"/>
    <w:rsid w:val="00FF193C"/>
    <w:rsid w:val="00FF1A87"/>
    <w:rsid w:val="00FF1B61"/>
    <w:rsid w:val="00FF1C59"/>
    <w:rsid w:val="00FF1C68"/>
    <w:rsid w:val="00FF1CB8"/>
    <w:rsid w:val="00FF1CFB"/>
    <w:rsid w:val="00FF1E54"/>
    <w:rsid w:val="00FF1E74"/>
    <w:rsid w:val="00FF1EF5"/>
    <w:rsid w:val="00FF1FF5"/>
    <w:rsid w:val="00FF2012"/>
    <w:rsid w:val="00FF2051"/>
    <w:rsid w:val="00FF2052"/>
    <w:rsid w:val="00FF2117"/>
    <w:rsid w:val="00FF2193"/>
    <w:rsid w:val="00FF253C"/>
    <w:rsid w:val="00FF26E4"/>
    <w:rsid w:val="00FF26FE"/>
    <w:rsid w:val="00FF270D"/>
    <w:rsid w:val="00FF2746"/>
    <w:rsid w:val="00FF27BB"/>
    <w:rsid w:val="00FF27FF"/>
    <w:rsid w:val="00FF2878"/>
    <w:rsid w:val="00FF295A"/>
    <w:rsid w:val="00FF2ACC"/>
    <w:rsid w:val="00FF2BCF"/>
    <w:rsid w:val="00FF2D7D"/>
    <w:rsid w:val="00FF2D98"/>
    <w:rsid w:val="00FF2F29"/>
    <w:rsid w:val="00FF32A1"/>
    <w:rsid w:val="00FF3301"/>
    <w:rsid w:val="00FF3329"/>
    <w:rsid w:val="00FF3540"/>
    <w:rsid w:val="00FF364E"/>
    <w:rsid w:val="00FF36EA"/>
    <w:rsid w:val="00FF3882"/>
    <w:rsid w:val="00FF395A"/>
    <w:rsid w:val="00FF3AF6"/>
    <w:rsid w:val="00FF3B7A"/>
    <w:rsid w:val="00FF3B99"/>
    <w:rsid w:val="00FF3BCD"/>
    <w:rsid w:val="00FF3C78"/>
    <w:rsid w:val="00FF3CB7"/>
    <w:rsid w:val="00FF3D39"/>
    <w:rsid w:val="00FF3D8D"/>
    <w:rsid w:val="00FF3D9A"/>
    <w:rsid w:val="00FF3E2F"/>
    <w:rsid w:val="00FF3E41"/>
    <w:rsid w:val="00FF3FFC"/>
    <w:rsid w:val="00FF400F"/>
    <w:rsid w:val="00FF4021"/>
    <w:rsid w:val="00FF4111"/>
    <w:rsid w:val="00FF41BA"/>
    <w:rsid w:val="00FF423D"/>
    <w:rsid w:val="00FF435A"/>
    <w:rsid w:val="00FF437F"/>
    <w:rsid w:val="00FF43E9"/>
    <w:rsid w:val="00FF440B"/>
    <w:rsid w:val="00FF442A"/>
    <w:rsid w:val="00FF444D"/>
    <w:rsid w:val="00FF44FE"/>
    <w:rsid w:val="00FF468B"/>
    <w:rsid w:val="00FF46EB"/>
    <w:rsid w:val="00FF4780"/>
    <w:rsid w:val="00FF47BC"/>
    <w:rsid w:val="00FF480F"/>
    <w:rsid w:val="00FF4841"/>
    <w:rsid w:val="00FF492B"/>
    <w:rsid w:val="00FF4A95"/>
    <w:rsid w:val="00FF4BA9"/>
    <w:rsid w:val="00FF4C06"/>
    <w:rsid w:val="00FF4C28"/>
    <w:rsid w:val="00FF4CFA"/>
    <w:rsid w:val="00FF4E32"/>
    <w:rsid w:val="00FF4E38"/>
    <w:rsid w:val="00FF4E89"/>
    <w:rsid w:val="00FF4F8C"/>
    <w:rsid w:val="00FF4FD0"/>
    <w:rsid w:val="00FF5052"/>
    <w:rsid w:val="00FF5098"/>
    <w:rsid w:val="00FF5125"/>
    <w:rsid w:val="00FF51D1"/>
    <w:rsid w:val="00FF523A"/>
    <w:rsid w:val="00FF5264"/>
    <w:rsid w:val="00FF5292"/>
    <w:rsid w:val="00FF52B0"/>
    <w:rsid w:val="00FF5405"/>
    <w:rsid w:val="00FF5445"/>
    <w:rsid w:val="00FF5476"/>
    <w:rsid w:val="00FF551D"/>
    <w:rsid w:val="00FF5538"/>
    <w:rsid w:val="00FF5562"/>
    <w:rsid w:val="00FF5728"/>
    <w:rsid w:val="00FF5781"/>
    <w:rsid w:val="00FF578D"/>
    <w:rsid w:val="00FF57E9"/>
    <w:rsid w:val="00FF584C"/>
    <w:rsid w:val="00FF587A"/>
    <w:rsid w:val="00FF5880"/>
    <w:rsid w:val="00FF5A06"/>
    <w:rsid w:val="00FF5ADE"/>
    <w:rsid w:val="00FF5AE5"/>
    <w:rsid w:val="00FF5B37"/>
    <w:rsid w:val="00FF5B4D"/>
    <w:rsid w:val="00FF5B56"/>
    <w:rsid w:val="00FF5C23"/>
    <w:rsid w:val="00FF5D7A"/>
    <w:rsid w:val="00FF5DB5"/>
    <w:rsid w:val="00FF5E5D"/>
    <w:rsid w:val="00FF5F55"/>
    <w:rsid w:val="00FF5F84"/>
    <w:rsid w:val="00FF60E9"/>
    <w:rsid w:val="00FF62DF"/>
    <w:rsid w:val="00FF635D"/>
    <w:rsid w:val="00FF64C4"/>
    <w:rsid w:val="00FF6569"/>
    <w:rsid w:val="00FF65A5"/>
    <w:rsid w:val="00FF65D8"/>
    <w:rsid w:val="00FF65DB"/>
    <w:rsid w:val="00FF6621"/>
    <w:rsid w:val="00FF676B"/>
    <w:rsid w:val="00FF68C2"/>
    <w:rsid w:val="00FF68F2"/>
    <w:rsid w:val="00FF6A30"/>
    <w:rsid w:val="00FF6A96"/>
    <w:rsid w:val="00FF6A9F"/>
    <w:rsid w:val="00FF6AAE"/>
    <w:rsid w:val="00FF6B77"/>
    <w:rsid w:val="00FF6C79"/>
    <w:rsid w:val="00FF6D2A"/>
    <w:rsid w:val="00FF6FEA"/>
    <w:rsid w:val="00FF7271"/>
    <w:rsid w:val="00FF7273"/>
    <w:rsid w:val="00FF72AC"/>
    <w:rsid w:val="00FF745D"/>
    <w:rsid w:val="00FF7610"/>
    <w:rsid w:val="00FF768C"/>
    <w:rsid w:val="00FF7833"/>
    <w:rsid w:val="00FF7A46"/>
    <w:rsid w:val="00FF7AA6"/>
    <w:rsid w:val="00FF7AE7"/>
    <w:rsid w:val="00FF7B79"/>
    <w:rsid w:val="00FF7B81"/>
    <w:rsid w:val="00FF7BCA"/>
    <w:rsid w:val="00FF7D99"/>
    <w:rsid w:val="00FF7DCB"/>
    <w:rsid w:val="00FF7FE3"/>
    <w:rsid w:val="02635E99"/>
    <w:rsid w:val="159BE50E"/>
    <w:rsid w:val="5943ADC1"/>
    <w:rsid w:val="6203D4C1"/>
    <w:rsid w:val="64C97AB3"/>
    <w:rsid w:val="65CB41FD"/>
    <w:rsid w:val="69084E6D"/>
    <w:rsid w:val="6E2AEAFB"/>
    <w:rsid w:val="788EF7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CF1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1E676C"/>
    <w:pPr>
      <w:keepNext/>
      <w:keepLines/>
      <w:widowControl/>
      <w:numPr>
        <w:numId w:val="15"/>
      </w:numPr>
      <w:spacing w:line="480" w:lineRule="auto"/>
      <w:outlineLvl w:val="0"/>
    </w:pPr>
    <w:rPr>
      <w:rFonts w:eastAsiaTheme="majorEastAsia"/>
      <w:b/>
      <w:kern w:val="32"/>
      <w:szCs w:val="32"/>
    </w:rPr>
  </w:style>
  <w:style w:type="paragraph" w:styleId="Heading2">
    <w:name w:val="heading 2"/>
    <w:basedOn w:val="Normal"/>
    <w:next w:val="FERCparanumber"/>
    <w:link w:val="Heading2Char"/>
    <w:uiPriority w:val="9"/>
    <w:unhideWhenUsed/>
    <w:qFormat/>
    <w:rsid w:val="001E676C"/>
    <w:pPr>
      <w:keepNext/>
      <w:keepLines/>
      <w:widowControl/>
      <w:numPr>
        <w:ilvl w:val="1"/>
        <w:numId w:val="15"/>
      </w:numPr>
      <w:spacing w:line="480" w:lineRule="auto"/>
      <w:outlineLvl w:val="1"/>
    </w:pPr>
    <w:rPr>
      <w:rFonts w:eastAsiaTheme="majorEastAsia"/>
      <w:b/>
      <w:kern w:val="32"/>
      <w:szCs w:val="26"/>
    </w:rPr>
  </w:style>
  <w:style w:type="paragraph" w:styleId="Heading3">
    <w:name w:val="heading 3"/>
    <w:basedOn w:val="Normal"/>
    <w:next w:val="FERCparanumber"/>
    <w:uiPriority w:val="9"/>
    <w:unhideWhenUsed/>
    <w:qFormat/>
    <w:rsid w:val="001E676C"/>
    <w:pPr>
      <w:keepNext/>
      <w:keepLines/>
      <w:widowControl/>
      <w:numPr>
        <w:ilvl w:val="2"/>
        <w:numId w:val="15"/>
      </w:numPr>
      <w:spacing w:line="480" w:lineRule="auto"/>
      <w:outlineLvl w:val="2"/>
    </w:pPr>
    <w:rPr>
      <w:rFonts w:eastAsiaTheme="majorEastAsia"/>
      <w:b/>
      <w:kern w:val="32"/>
      <w:szCs w:val="24"/>
    </w:rPr>
  </w:style>
  <w:style w:type="paragraph" w:styleId="Heading4">
    <w:name w:val="heading 4"/>
    <w:basedOn w:val="Normal"/>
    <w:next w:val="FERCparanumber"/>
    <w:uiPriority w:val="9"/>
    <w:unhideWhenUsed/>
    <w:qFormat/>
    <w:rsid w:val="001E676C"/>
    <w:pPr>
      <w:keepNext/>
      <w:keepLines/>
      <w:widowControl/>
      <w:numPr>
        <w:ilvl w:val="3"/>
        <w:numId w:val="15"/>
      </w:numPr>
      <w:spacing w:line="480" w:lineRule="auto"/>
      <w:outlineLvl w:val="3"/>
    </w:pPr>
    <w:rPr>
      <w:rFonts w:eastAsiaTheme="majorEastAsia"/>
      <w:b/>
      <w:iCs/>
      <w:kern w:val="32"/>
    </w:rPr>
  </w:style>
  <w:style w:type="paragraph" w:styleId="Heading5">
    <w:name w:val="heading 5"/>
    <w:basedOn w:val="Normal"/>
    <w:next w:val="FERCparanumber"/>
    <w:uiPriority w:val="9"/>
    <w:unhideWhenUsed/>
    <w:qFormat/>
    <w:rsid w:val="001E676C"/>
    <w:pPr>
      <w:keepNext/>
      <w:keepLines/>
      <w:widowControl/>
      <w:numPr>
        <w:ilvl w:val="4"/>
        <w:numId w:val="15"/>
      </w:numPr>
      <w:spacing w:line="480" w:lineRule="auto"/>
      <w:outlineLvl w:val="4"/>
    </w:pPr>
    <w:rPr>
      <w:rFonts w:eastAsiaTheme="majorEastAsia"/>
      <w:b/>
      <w:kern w:val="32"/>
    </w:rPr>
  </w:style>
  <w:style w:type="paragraph" w:styleId="Heading6">
    <w:name w:val="heading 6"/>
    <w:basedOn w:val="Normal"/>
    <w:next w:val="FERCparanumber"/>
    <w:uiPriority w:val="9"/>
    <w:unhideWhenUsed/>
    <w:qFormat/>
    <w:rsid w:val="001E676C"/>
    <w:pPr>
      <w:keepNext/>
      <w:keepLines/>
      <w:widowControl/>
      <w:numPr>
        <w:ilvl w:val="5"/>
        <w:numId w:val="15"/>
      </w:numPr>
      <w:spacing w:line="480" w:lineRule="auto"/>
      <w:outlineLvl w:val="5"/>
    </w:pPr>
    <w:rPr>
      <w:rFonts w:eastAsiaTheme="majorEastAsia"/>
      <w:b/>
      <w:kern w:val="32"/>
    </w:rPr>
  </w:style>
  <w:style w:type="paragraph" w:styleId="Heading7">
    <w:name w:val="heading 7"/>
    <w:basedOn w:val="Normal"/>
    <w:next w:val="FERCparanumber"/>
    <w:uiPriority w:val="9"/>
    <w:unhideWhenUsed/>
    <w:qFormat/>
    <w:rsid w:val="001E676C"/>
    <w:pPr>
      <w:keepNext/>
      <w:keepLines/>
      <w:widowControl/>
      <w:numPr>
        <w:ilvl w:val="6"/>
        <w:numId w:val="15"/>
      </w:numPr>
      <w:spacing w:line="480" w:lineRule="auto"/>
      <w:outlineLvl w:val="6"/>
    </w:pPr>
    <w:rPr>
      <w:rFonts w:eastAsiaTheme="majorEastAsia"/>
      <w:b/>
      <w:iCs/>
      <w:kern w:val="32"/>
    </w:rPr>
  </w:style>
  <w:style w:type="paragraph" w:styleId="Heading8">
    <w:name w:val="heading 8"/>
    <w:basedOn w:val="Normal"/>
    <w:next w:val="FERCparanumber"/>
    <w:uiPriority w:val="9"/>
    <w:unhideWhenUsed/>
    <w:qFormat/>
    <w:rsid w:val="001E676C"/>
    <w:pPr>
      <w:keepNext/>
      <w:keepLines/>
      <w:widowControl/>
      <w:numPr>
        <w:ilvl w:val="7"/>
        <w:numId w:val="15"/>
      </w:numPr>
      <w:spacing w:line="480" w:lineRule="auto"/>
      <w:outlineLvl w:val="7"/>
    </w:pPr>
    <w:rPr>
      <w:rFonts w:eastAsiaTheme="majorEastAsia"/>
      <w:b/>
      <w:kern w:val="32"/>
      <w:szCs w:val="21"/>
    </w:rPr>
  </w:style>
  <w:style w:type="paragraph" w:styleId="Heading9">
    <w:name w:val="heading 9"/>
    <w:basedOn w:val="Normal"/>
    <w:next w:val="FERCparanumber"/>
    <w:uiPriority w:val="9"/>
    <w:unhideWhenUsed/>
    <w:qFormat/>
    <w:rsid w:val="001E676C"/>
    <w:pPr>
      <w:keepNext/>
      <w:keepLines/>
      <w:widowControl/>
      <w:numPr>
        <w:ilvl w:val="8"/>
        <w:numId w:val="15"/>
      </w:numPr>
      <w:spacing w:line="480" w:lineRule="auto"/>
      <w:outlineLvl w:val="8"/>
    </w:pPr>
    <w:rPr>
      <w:rFonts w:eastAsiaTheme="majorEastAsia"/>
      <w:b/>
      <w:iCs/>
      <w:kern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B243F0"/>
    <w:pPr>
      <w:widowControl/>
      <w:tabs>
        <w:tab w:val="right" w:leader="dot" w:pos="9360"/>
      </w:tabs>
      <w:autoSpaceDE w:val="0"/>
      <w:autoSpaceDN w:val="0"/>
      <w:adjustRightInd w:val="0"/>
      <w:spacing w:beforeLines="60"/>
    </w:pPr>
    <w:rPr>
      <w:rFonts w:eastAsia="Times New Roman"/>
      <w:szCs w:val="26"/>
    </w:rPr>
  </w:style>
  <w:style w:type="paragraph" w:customStyle="1" w:styleId="myTOC2">
    <w:name w:val="myTOC 2"/>
    <w:basedOn w:val="Normal"/>
    <w:next w:val="Normal"/>
    <w:rsid w:val="00B243F0"/>
    <w:pPr>
      <w:widowControl/>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B243F0"/>
    <w:pPr>
      <w:widowControl/>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B243F0"/>
    <w:pPr>
      <w:widowControl/>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B243F0"/>
    <w:pPr>
      <w:widowControl/>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B243F0"/>
    <w:pPr>
      <w:widowControl/>
      <w:tabs>
        <w:tab w:val="right" w:leader="dot" w:pos="9360"/>
      </w:tabs>
      <w:ind w:left="1440"/>
    </w:pPr>
    <w:rPr>
      <w:rFonts w:eastAsia="Times New Roman"/>
      <w:szCs w:val="26"/>
    </w:rPr>
  </w:style>
  <w:style w:type="paragraph" w:customStyle="1" w:styleId="myTOC7">
    <w:name w:val="myTOC 7"/>
    <w:basedOn w:val="Normal"/>
    <w:next w:val="Normal"/>
    <w:rsid w:val="00B243F0"/>
    <w:pPr>
      <w:widowControl/>
      <w:tabs>
        <w:tab w:val="right" w:leader="dot" w:pos="9360"/>
      </w:tabs>
      <w:ind w:left="1728"/>
    </w:pPr>
    <w:rPr>
      <w:rFonts w:eastAsia="Times New Roman"/>
      <w:szCs w:val="26"/>
    </w:rPr>
  </w:style>
  <w:style w:type="paragraph" w:customStyle="1" w:styleId="myTOC8">
    <w:name w:val="myTOC 8"/>
    <w:basedOn w:val="Normal"/>
    <w:next w:val="Normal"/>
    <w:rsid w:val="00B243F0"/>
    <w:pPr>
      <w:widowControl/>
      <w:tabs>
        <w:tab w:val="right" w:leader="dot" w:pos="9360"/>
      </w:tabs>
      <w:ind w:left="2016"/>
    </w:pPr>
    <w:rPr>
      <w:rFonts w:eastAsia="Times New Roman"/>
      <w:szCs w:val="26"/>
    </w:rPr>
  </w:style>
  <w:style w:type="paragraph" w:customStyle="1" w:styleId="myTOC9">
    <w:name w:val="myTOC 9"/>
    <w:basedOn w:val="Normal"/>
    <w:next w:val="Normal"/>
    <w:rsid w:val="00B243F0"/>
    <w:pPr>
      <w:widowControl/>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6"/>
    <w:unhideWhenUsed/>
    <w:rsid w:val="009E214D"/>
    <w:pPr>
      <w:spacing w:after="240"/>
      <w:ind w:firstLine="720"/>
    </w:pPr>
  </w:style>
  <w:style w:type="character" w:customStyle="1" w:styleId="BodyTextChar">
    <w:name w:val="Body Text Char"/>
    <w:basedOn w:val="DefaultParagraphFont"/>
    <w:link w:val="BodyText"/>
    <w:uiPriority w:val="6"/>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unhideWhenUsed/>
    <w:rsid w:val="00CE7F13"/>
    <w:pPr>
      <w:spacing w:after="100"/>
      <w:ind w:left="440"/>
    </w:pPr>
  </w:style>
  <w:style w:type="paragraph" w:styleId="TOC4">
    <w:name w:val="toc 4"/>
    <w:basedOn w:val="Normal"/>
    <w:next w:val="Normal"/>
    <w:uiPriority w:val="39"/>
    <w:unhideWhenUsed/>
    <w:rsid w:val="00CE7F13"/>
    <w:pPr>
      <w:spacing w:after="100"/>
      <w:ind w:left="660"/>
    </w:pPr>
  </w:style>
  <w:style w:type="paragraph" w:styleId="TOC5">
    <w:name w:val="toc 5"/>
    <w:basedOn w:val="Normal"/>
    <w:next w:val="Normal"/>
    <w:uiPriority w:val="39"/>
    <w:unhideWhenUsed/>
    <w:rsid w:val="00CE7F13"/>
    <w:pPr>
      <w:spacing w:after="100"/>
      <w:ind w:left="880"/>
    </w:pPr>
  </w:style>
  <w:style w:type="paragraph" w:styleId="TOC6">
    <w:name w:val="toc 6"/>
    <w:basedOn w:val="Normal"/>
    <w:next w:val="Normal"/>
    <w:uiPriority w:val="39"/>
    <w:unhideWhenUsed/>
    <w:rsid w:val="00CE7F13"/>
    <w:pPr>
      <w:spacing w:after="100"/>
      <w:ind w:left="1100"/>
    </w:pPr>
  </w:style>
  <w:style w:type="paragraph" w:styleId="TOC7">
    <w:name w:val="toc 7"/>
    <w:basedOn w:val="Normal"/>
    <w:next w:val="Normal"/>
    <w:uiPriority w:val="39"/>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1E22C0"/>
    <w:pPr>
      <w:widowControl/>
      <w:numPr>
        <w:numId w:val="11"/>
      </w:numPr>
      <w:spacing w:line="480" w:lineRule="auto"/>
    </w:pPr>
  </w:style>
  <w:style w:type="character" w:customStyle="1" w:styleId="FERCparanumberChar">
    <w:name w:val="FERC paranumber Char"/>
    <w:basedOn w:val="DefaultParagraphFont"/>
    <w:link w:val="FERCparanumber"/>
    <w:rsid w:val="001E22C0"/>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hAnsi="Times New Roman" w:eastAsiaTheme="majorEastAsia" w:cs="Times New Roman"/>
      <w:b/>
      <w:kern w:val="32"/>
      <w:sz w:val="26"/>
      <w:szCs w:val="32"/>
    </w:rPr>
  </w:style>
  <w:style w:type="character" w:customStyle="1" w:styleId="Heading2Char">
    <w:name w:val="Heading 2 Char"/>
    <w:basedOn w:val="DefaultParagraphFont"/>
    <w:link w:val="Heading2"/>
    <w:uiPriority w:val="9"/>
    <w:rsid w:val="00EB5D6A"/>
    <w:rPr>
      <w:rFonts w:ascii="Times New Roman" w:hAnsi="Times New Roman" w:eastAsiaTheme="majorEastAsia" w:cs="Times New Roman"/>
      <w:b/>
      <w:kern w:val="32"/>
      <w:sz w:val="26"/>
      <w:szCs w:val="26"/>
    </w:rPr>
  </w:style>
  <w:style w:type="paragraph" w:styleId="FootnoteText">
    <w:name w:val="footnote text"/>
    <w:aliases w:val="Footnote Text Char Char,Footnote Text Char Char Char,Footnote Text Char Char1,Footnote Text Char1,Footnote Text Char1 Char,Footnote Text Char1 Char Char Char1,Footnote Text Char2 Char,Footnote Text Char3,Footnote Text MRP,c,f,fn,ft,ft Char"/>
    <w:basedOn w:val="Normal"/>
    <w:link w:val="FootnoteTextChar"/>
    <w:uiPriority w:val="99"/>
    <w:unhideWhenUsed/>
    <w:qFormat/>
    <w:rsid w:val="00DD46EB"/>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character" w:customStyle="1" w:styleId="FootnoteTextChar">
    <w:name w:val="Footnote Text Char"/>
    <w:aliases w:val="Footnote Text Char Char Char Char,Footnote Text Char Char Char1,Footnote Text Char Char1 Char,Footnote Text Char1 Char Char,Footnote Text Char1 Char1,Footnote Text Char3 Char,Footnote Text MRP Char,f Char,fn Char,ft Char Char,ft Char1"/>
    <w:basedOn w:val="DefaultParagraphFont"/>
    <w:link w:val="FootnoteText"/>
    <w:uiPriority w:val="99"/>
    <w:rsid w:val="00673070"/>
    <w:rPr>
      <w:rFonts w:ascii="Times New Roman" w:hAnsi="Times New Roman" w:cs="Times New Roman"/>
      <w:sz w:val="26"/>
      <w:szCs w:val="20"/>
    </w:rPr>
  </w:style>
  <w:style w:type="paragraph" w:styleId="Revision">
    <w:name w:val="Revision"/>
    <w:hidden/>
    <w:uiPriority w:val="99"/>
    <w:semiHidden/>
    <w:rsid w:val="005B3817"/>
    <w:pPr>
      <w:spacing w:after="0" w:line="240" w:lineRule="auto"/>
    </w:pPr>
    <w:rPr>
      <w:rFonts w:ascii="Times New Roman" w:hAnsi="Times New Roman" w:cs="Times New Roman"/>
      <w:sz w:val="26"/>
    </w:rPr>
  </w:style>
  <w:style w:type="paragraph" w:customStyle="1" w:styleId="Default">
    <w:name w:val="Default"/>
    <w:rsid w:val="009E6B62"/>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667B4C"/>
    <w:rPr>
      <w:color w:val="2B579A"/>
      <w:shd w:val="clear" w:color="auto" w:fill="E1DFDD"/>
    </w:rPr>
  </w:style>
  <w:style w:type="table" w:customStyle="1" w:styleId="TableGrid1">
    <w:name w:val="Table Grid1"/>
    <w:basedOn w:val="TableNormal"/>
    <w:next w:val="TableGrid"/>
    <w:uiPriority w:val="59"/>
    <w:rsid w:val="004209EE"/>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2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nerc.com/comm/Other/essntlrlbltysrvcstskfrcDL/ERSTF%20Framework%20Report%20-%20Fin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5E7CA285-4730-497B-B817-AC88DA59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13A2404D-1694-401C-B92B-B174B419764E}">
  <ds:schemaRef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B1798CA-2BA5-4B51-B08E-49219E0DB0BF}">
  <ds:schemaRefs>
    <ds:schemaRef ds:uri="http://schemas.microsoft.com/sharepoint/v3/contenttype/forms"/>
  </ds:schemaRefs>
</ds:datastoreItem>
</file>

<file path=customXml/itemProps5.xml><?xml version="1.0" encoding="utf-8"?>
<ds:datastoreItem xmlns:ds="http://schemas.openxmlformats.org/officeDocument/2006/customXml" ds:itemID="{EFF04667-1072-41BB-BD52-C62E8838B0C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otalTime>0</TotalTime>
  <Pages>210</Pages>
  <Words>32343</Words>
  <Characters>188240</Characters>
  <Application>Microsoft Office Word</Application>
  <DocSecurity>0</DocSecurity>
  <Lines>3036</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2024-10-17T15:45:00Z</dcterms:created>
  <dcterms:modified xsi:type="dcterms:W3CDTF">2024-10-17T22:45:00Z</dcterms:modified>
</cp:coreProperties>
</file>