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RPr="009D22B1" w:rsidP="00D928FD" w14:paraId="38CF6102" w14:textId="77777777">
      <w:pPr>
        <w:rPr>
          <w:rFonts w:ascii="Calibri" w:hAnsi="Calibri" w:cs="Calibri"/>
        </w:rPr>
      </w:pPr>
    </w:p>
    <w:sdt>
      <w:sdtPr>
        <w:rPr>
          <w:rFonts w:ascii="Calibri" w:hAnsi="Calibri" w:cs="Calibr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9D22B1" w:rsidP="00711414" w14:paraId="06C95230" w14:textId="76EDF983">
          <w:pPr>
            <w:spacing w:line="240" w:lineRule="auto"/>
            <w:ind w:left="90"/>
            <w:rPr>
              <w:rFonts w:ascii="Calibri" w:hAnsi="Calibri" w:cs="Calibri"/>
              <w:color w:val="139CD8"/>
              <w:sz w:val="56"/>
              <w:szCs w:val="52"/>
            </w:rPr>
          </w:pPr>
          <w:r w:rsidRPr="009D22B1">
            <w:rPr>
              <w:rFonts w:ascii="Calibri" w:hAnsi="Calibri" w:cs="Calibri"/>
              <w:color w:val="139CD8"/>
              <w:sz w:val="56"/>
              <w:szCs w:val="52"/>
            </w:rPr>
            <w:t xml:space="preserve">Supporting Statement for </w:t>
          </w:r>
          <w:r w:rsidRPr="009D22B1" w:rsidR="00DE4F8B">
            <w:rPr>
              <w:rFonts w:ascii="Calibri" w:hAnsi="Calibri" w:cs="Calibri"/>
              <w:color w:val="139CD8"/>
              <w:sz w:val="56"/>
              <w:szCs w:val="52"/>
            </w:rPr>
            <w:t>Supplemental Labor Management Office (SLMO) Driver Attestation</w:t>
          </w:r>
        </w:p>
      </w:sdtContent>
    </w:sdt>
    <w:p w:rsidR="009D22B1" w:rsidRPr="009D22B1" w:rsidP="009D22B1" w14:paraId="12EEA92A" w14:textId="3BA76F66">
      <w:pPr>
        <w:pStyle w:val="Heading1"/>
        <w:rPr>
          <w:rFonts w:ascii="Calibri" w:hAnsi="Calibri" w:cs="Calibri"/>
        </w:rPr>
      </w:pPr>
      <w:bookmarkStart w:id="0" w:name="_Toc16271317"/>
      <w:r w:rsidRPr="009D22B1">
        <w:rPr>
          <w:rFonts w:ascii="Calibri" w:hAnsi="Calibri" w:cs="Calibri"/>
        </w:rPr>
        <w:t>Part A: Justification</w:t>
      </w:r>
      <w:bookmarkEnd w:id="0"/>
    </w:p>
    <w:p w:rsidR="009D22B1" w:rsidRPr="009D22B1" w:rsidP="009D22B1" w14:paraId="7309EA74" w14:textId="6055DA90">
      <w:pPr>
        <w:pStyle w:val="Heading1"/>
        <w:rPr>
          <w:rFonts w:ascii="Calibri" w:hAnsi="Calibri" w:cs="Calibri"/>
        </w:rPr>
      </w:pPr>
      <w:r w:rsidRPr="009D22B1">
        <w:rPr>
          <w:rFonts w:ascii="Calibri" w:hAnsi="Calibri" w:cs="Calibr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3219450</wp:posOffset>
                </wp:positionV>
                <wp:extent cx="6019800" cy="2414270"/>
                <wp:effectExtent l="0" t="0" r="0" b="508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24142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textId="77777777">
                            <w:pPr>
                              <w:rPr>
                                <w:i/>
                                <w:sz w:val="28"/>
                                <w:szCs w:val="28"/>
                              </w:rPr>
                            </w:pPr>
                          </w:p>
                          <w:p w:rsidR="008F16EC" w:rsidRPr="0059212D" w:rsidP="00FB6BF3" w14:textId="77777777">
                            <w:pPr>
                              <w:rPr>
                                <w:i/>
                                <w:sz w:val="28"/>
                                <w:szCs w:val="28"/>
                              </w:rPr>
                            </w:pPr>
                            <w:r>
                              <w:rPr>
                                <w:i/>
                                <w:sz w:val="28"/>
                                <w:szCs w:val="28"/>
                              </w:rPr>
                              <w:t>BPA F 5200.02e, Motor Vehicle Driver Attestation for Contract Personnel</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190.1pt;margin-top:253.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P="00FB6BF3" w14:paraId="7494B3BD" w14:textId="77777777">
                      <w:pPr>
                        <w:rPr>
                          <w:i/>
                          <w:sz w:val="28"/>
                          <w:szCs w:val="28"/>
                        </w:rPr>
                      </w:pPr>
                    </w:p>
                    <w:p w:rsidR="008F16EC" w:rsidRPr="0059212D" w:rsidP="00FB6BF3" w14:paraId="07C05D9D" w14:textId="77777777">
                      <w:pPr>
                        <w:rPr>
                          <w:i/>
                          <w:sz w:val="28"/>
                          <w:szCs w:val="28"/>
                        </w:rPr>
                      </w:pPr>
                      <w:r>
                        <w:rPr>
                          <w:i/>
                          <w:sz w:val="28"/>
                          <w:szCs w:val="28"/>
                        </w:rPr>
                        <w:t>BPA F 5200.02e, Motor Vehicle Driver Attestation for Contract Personnel</w:t>
                      </w:r>
                    </w:p>
                  </w:txbxContent>
                </v:textbox>
                <w10:wrap type="square"/>
              </v:shape>
            </w:pict>
          </mc:Fallback>
        </mc:AlternateContent>
      </w:r>
      <w:r w:rsidRPr="009D22B1" w:rsidR="00EE2CAF">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A59EC12">
                            <w:pPr>
                              <w:rPr>
                                <w:color w:val="A6A6A6" w:themeColor="background1" w:themeShade="A6"/>
                                <w:sz w:val="36"/>
                              </w:rPr>
                            </w:pPr>
                            <w:r>
                              <w:rPr>
                                <w:color w:val="A6A6A6" w:themeColor="background1" w:themeShade="A6"/>
                                <w:sz w:val="36"/>
                              </w:rPr>
                              <w:t>January</w:t>
                            </w:r>
                            <w:r w:rsidR="00DE4F8B">
                              <w:rPr>
                                <w:color w:val="A6A6A6" w:themeColor="background1" w:themeShade="A6"/>
                                <w:sz w:val="36"/>
                              </w:rPr>
                              <w:t xml:space="preserve"> 202</w:t>
                            </w:r>
                            <w:r>
                              <w:rPr>
                                <w:color w:val="A6A6A6" w:themeColor="background1" w:themeShade="A6"/>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7A59EC12">
                      <w:pPr>
                        <w:rPr>
                          <w:color w:val="A6A6A6" w:themeColor="background1" w:themeShade="A6"/>
                          <w:sz w:val="36"/>
                        </w:rPr>
                      </w:pPr>
                      <w:r>
                        <w:rPr>
                          <w:color w:val="A6A6A6" w:themeColor="background1" w:themeShade="A6"/>
                          <w:sz w:val="36"/>
                        </w:rPr>
                        <w:t>January</w:t>
                      </w:r>
                      <w:r w:rsidR="00DE4F8B">
                        <w:rPr>
                          <w:color w:val="A6A6A6" w:themeColor="background1" w:themeShade="A6"/>
                          <w:sz w:val="36"/>
                        </w:rPr>
                        <w:t xml:space="preserve"> 202</w:t>
                      </w:r>
                      <w:r>
                        <w:rPr>
                          <w:color w:val="A6A6A6" w:themeColor="background1" w:themeShade="A6"/>
                          <w:sz w:val="36"/>
                        </w:rPr>
                        <w:t>5</w:t>
                      </w:r>
                    </w:p>
                  </w:txbxContent>
                </v:textbox>
                <w10:wrap type="square"/>
              </v:shape>
            </w:pict>
          </mc:Fallback>
        </mc:AlternateContent>
      </w:r>
      <w:r w:rsidRPr="009D22B1" w:rsidR="00EE2CAF">
        <w:rPr>
          <w:rFonts w:ascii="Calibri" w:hAnsi="Calibri" w:cs="Calibr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9D22B1">
        <w:rPr>
          <w:rFonts w:ascii="Calibri" w:hAnsi="Calibri" w:cs="Calibri"/>
        </w:rPr>
        <w:t>OMB No. 1910-NEW</w:t>
      </w:r>
    </w:p>
    <w:p w:rsidR="001F3A8F" w:rsidRPr="00711414" w:rsidP="00711414" w14:paraId="2D3FC677" w14:textId="5E746517">
      <w:pPr>
        <w:rPr>
          <w:i/>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1EC177BB" w14:textId="77777777"/>
    <w:p w:rsidR="009D22B1" w:rsidP="00D928FD" w14:paraId="02ADA158"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color w:val="auto"/>
          <w:sz w:val="22"/>
          <w:szCs w:val="22"/>
        </w:rPr>
        <w:id w:val="819469860"/>
        <w:docPartObj>
          <w:docPartGallery w:val="Table of Contents"/>
          <w:docPartUnique/>
        </w:docPartObj>
      </w:sdtPr>
      <w:sdtEndPr>
        <w:rPr>
          <w:bCs w:val="0"/>
        </w:rPr>
      </w:sdtEndPr>
      <w:sdtContent>
        <w:p w:rsidR="0059212D" w:rsidP="009D22B1" w14:paraId="5A1365D7" w14:textId="77777777">
          <w:pPr>
            <w:pStyle w:val="TOCHeading"/>
          </w:pPr>
          <w:r>
            <w:t>Table of Contents</w:t>
          </w:r>
        </w:p>
        <w:p w:rsidR="00537A91" w14:paraId="3536BDC7" w14:textId="0D21C8A4">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4C69E8">
              <w:rPr>
                <w:noProof/>
                <w:webHidden/>
              </w:rPr>
              <w:t>i</w:t>
            </w:r>
            <w:r>
              <w:rPr>
                <w:noProof/>
                <w:webHidden/>
              </w:rPr>
              <w:fldChar w:fldCharType="end"/>
            </w:r>
          </w:hyperlink>
        </w:p>
        <w:p w:rsidR="00537A91" w:rsidP="004C69E8" w14:paraId="101B4F84" w14:textId="50A0FBD4">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4C69E8">
              <w:rPr>
                <w:noProof/>
                <w:webHidden/>
              </w:rPr>
              <w:t>2</w:t>
            </w:r>
            <w:r>
              <w:rPr>
                <w:noProof/>
                <w:webHidden/>
              </w:rPr>
              <w:fldChar w:fldCharType="end"/>
            </w:r>
          </w:hyperlink>
        </w:p>
        <w:p w:rsidR="00537A91" w:rsidP="004C69E8" w14:paraId="02C634BA" w14:textId="275A3E43">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4C69E8">
              <w:rPr>
                <w:noProof/>
                <w:webHidden/>
              </w:rPr>
              <w:t>3</w:t>
            </w:r>
            <w:r>
              <w:rPr>
                <w:noProof/>
                <w:webHidden/>
              </w:rPr>
              <w:fldChar w:fldCharType="end"/>
            </w:r>
          </w:hyperlink>
        </w:p>
        <w:p w:rsidR="00537A91" w:rsidP="004C69E8" w14:paraId="08E178C6" w14:textId="762966AC">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4C69E8">
              <w:rPr>
                <w:noProof/>
                <w:webHidden/>
              </w:rPr>
              <w:t>3</w:t>
            </w:r>
            <w:r>
              <w:rPr>
                <w:noProof/>
                <w:webHidden/>
              </w:rPr>
              <w:fldChar w:fldCharType="end"/>
            </w:r>
          </w:hyperlink>
        </w:p>
        <w:p w:rsidR="00537A91" w:rsidP="004C69E8" w14:paraId="4CE2F60F" w14:textId="6FFF55A2">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4C69E8">
              <w:rPr>
                <w:noProof/>
                <w:webHidden/>
              </w:rPr>
              <w:t>4</w:t>
            </w:r>
            <w:r>
              <w:rPr>
                <w:noProof/>
                <w:webHidden/>
              </w:rPr>
              <w:fldChar w:fldCharType="end"/>
            </w:r>
          </w:hyperlink>
        </w:p>
        <w:p w:rsidR="00537A91" w:rsidP="004C69E8" w14:paraId="3A067BC6" w14:textId="006956D0">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4C69E8">
              <w:rPr>
                <w:noProof/>
                <w:webHidden/>
              </w:rPr>
              <w:t>4</w:t>
            </w:r>
            <w:r>
              <w:rPr>
                <w:noProof/>
                <w:webHidden/>
              </w:rPr>
              <w:fldChar w:fldCharType="end"/>
            </w:r>
          </w:hyperlink>
        </w:p>
        <w:p w:rsidR="00537A91" w:rsidP="004C69E8" w14:paraId="25C73FC9" w14:textId="10DCCF70">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4C69E8">
              <w:rPr>
                <w:noProof/>
                <w:webHidden/>
              </w:rPr>
              <w:t>4</w:t>
            </w:r>
            <w:r>
              <w:rPr>
                <w:noProof/>
                <w:webHidden/>
              </w:rPr>
              <w:fldChar w:fldCharType="end"/>
            </w:r>
          </w:hyperlink>
        </w:p>
        <w:p w:rsidR="00537A91" w:rsidP="004C69E8" w14:paraId="67E6C83A" w14:textId="16C6ECA8">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4C69E8">
              <w:rPr>
                <w:noProof/>
                <w:webHidden/>
              </w:rPr>
              <w:t>4</w:t>
            </w:r>
            <w:r>
              <w:rPr>
                <w:noProof/>
                <w:webHidden/>
              </w:rPr>
              <w:fldChar w:fldCharType="end"/>
            </w:r>
          </w:hyperlink>
        </w:p>
        <w:p w:rsidR="00537A91" w:rsidP="004C69E8" w14:paraId="1B9C3A7B" w14:textId="0E9F1A6E">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4C69E8">
              <w:rPr>
                <w:noProof/>
                <w:webHidden/>
              </w:rPr>
              <w:t>4</w:t>
            </w:r>
            <w:r>
              <w:rPr>
                <w:noProof/>
                <w:webHidden/>
              </w:rPr>
              <w:fldChar w:fldCharType="end"/>
            </w:r>
          </w:hyperlink>
        </w:p>
        <w:p w:rsidR="00537A91" w:rsidP="004C69E8" w14:paraId="537C3941" w14:textId="660C3A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4C69E8">
              <w:rPr>
                <w:noProof/>
                <w:webHidden/>
              </w:rPr>
              <w:t>5</w:t>
            </w:r>
            <w:r>
              <w:rPr>
                <w:noProof/>
                <w:webHidden/>
              </w:rPr>
              <w:fldChar w:fldCharType="end"/>
            </w:r>
          </w:hyperlink>
        </w:p>
        <w:p w:rsidR="00537A91" w:rsidP="004C69E8" w14:paraId="5FAD51C5" w14:textId="3F789344">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4C69E8">
              <w:rPr>
                <w:noProof/>
                <w:webHidden/>
              </w:rPr>
              <w:t>6</w:t>
            </w:r>
            <w:r>
              <w:rPr>
                <w:noProof/>
                <w:webHidden/>
              </w:rPr>
              <w:fldChar w:fldCharType="end"/>
            </w:r>
          </w:hyperlink>
        </w:p>
        <w:p w:rsidR="00537A91" w:rsidP="004C69E8" w14:paraId="1726E6A2" w14:textId="72BD981B">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4C69E8">
              <w:rPr>
                <w:noProof/>
                <w:webHidden/>
              </w:rPr>
              <w:t>6</w:t>
            </w:r>
            <w:r>
              <w:rPr>
                <w:noProof/>
                <w:webHidden/>
              </w:rPr>
              <w:fldChar w:fldCharType="end"/>
            </w:r>
          </w:hyperlink>
        </w:p>
        <w:p w:rsidR="00537A91" w:rsidP="004C69E8" w14:paraId="4A6A9630" w14:textId="366CBD2F">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4C69E8">
              <w:rPr>
                <w:noProof/>
                <w:webHidden/>
              </w:rPr>
              <w:t>6</w:t>
            </w:r>
            <w:r>
              <w:rPr>
                <w:noProof/>
                <w:webHidden/>
              </w:rPr>
              <w:fldChar w:fldCharType="end"/>
            </w:r>
          </w:hyperlink>
        </w:p>
        <w:p w:rsidR="00537A91" w:rsidP="004C69E8" w14:paraId="76109842" w14:textId="1CF0FAEF">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4C69E8">
              <w:rPr>
                <w:noProof/>
                <w:webHidden/>
              </w:rPr>
              <w:t>6</w:t>
            </w:r>
            <w:r>
              <w:rPr>
                <w:noProof/>
                <w:webHidden/>
              </w:rPr>
              <w:fldChar w:fldCharType="end"/>
            </w:r>
          </w:hyperlink>
        </w:p>
        <w:p w:rsidR="00537A91" w:rsidP="004C69E8" w14:paraId="75AE2099" w14:textId="14E96F83">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4C69E8">
              <w:rPr>
                <w:noProof/>
                <w:webHidden/>
              </w:rPr>
              <w:t>7</w:t>
            </w:r>
            <w:r>
              <w:rPr>
                <w:noProof/>
                <w:webHidden/>
              </w:rPr>
              <w:fldChar w:fldCharType="end"/>
            </w:r>
          </w:hyperlink>
        </w:p>
        <w:p w:rsidR="00537A91" w:rsidP="004C69E8" w14:paraId="34257AE7" w14:textId="4FBA063A">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4C69E8">
              <w:rPr>
                <w:noProof/>
                <w:webHidden/>
              </w:rPr>
              <w:t>7</w:t>
            </w:r>
            <w:r>
              <w:rPr>
                <w:noProof/>
                <w:webHidden/>
              </w:rPr>
              <w:fldChar w:fldCharType="end"/>
            </w:r>
          </w:hyperlink>
        </w:p>
        <w:p w:rsidR="00537A91" w:rsidP="004C69E8" w14:paraId="1CE8CA5C" w14:textId="4FB5A5C0">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4C69E8">
              <w:rPr>
                <w:noProof/>
                <w:webHidden/>
              </w:rPr>
              <w:t>7</w:t>
            </w:r>
            <w:r>
              <w:rPr>
                <w:noProof/>
                <w:webHidden/>
              </w:rPr>
              <w:fldChar w:fldCharType="end"/>
            </w:r>
          </w:hyperlink>
        </w:p>
        <w:p w:rsidR="00537A91" w:rsidP="004C69E8" w14:paraId="29A7E81E" w14:textId="7EE2713F">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4C69E8">
              <w:rPr>
                <w:noProof/>
                <w:webHidden/>
              </w:rPr>
              <w:t>7</w:t>
            </w:r>
            <w:r>
              <w:rPr>
                <w:noProof/>
                <w:webHidden/>
              </w:rPr>
              <w:fldChar w:fldCharType="end"/>
            </w:r>
          </w:hyperlink>
        </w:p>
        <w:p w:rsidR="00537A91" w:rsidP="004C69E8" w14:paraId="29807F52" w14:textId="1B7EC666">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4C69E8">
              <w:rPr>
                <w:noProof/>
                <w:webHidden/>
              </w:rPr>
              <w:t>8</w:t>
            </w:r>
            <w:r>
              <w:rPr>
                <w:noProof/>
                <w:webHidden/>
              </w:rPr>
              <w:fldChar w:fldCharType="end"/>
            </w:r>
          </w:hyperlink>
        </w:p>
        <w:p w:rsidR="00537A91" w:rsidP="004C69E8" w14:paraId="41A13E03" w14:textId="4F9DD5EF">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4C69E8">
              <w:rPr>
                <w:noProof/>
                <w:webHidden/>
              </w:rPr>
              <w:t>8</w:t>
            </w:r>
            <w:r>
              <w:rPr>
                <w:noProof/>
                <w:webHidden/>
              </w:rPr>
              <w:fldChar w:fldCharType="end"/>
            </w:r>
          </w:hyperlink>
        </w:p>
        <w:p w:rsidR="00537A91" w:rsidP="004C69E8" w14:paraId="61D4CF08" w14:textId="0FB10C27">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4C69E8">
              <w:rPr>
                <w:noProof/>
                <w:webHidden/>
              </w:rPr>
              <w:t>8</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52FD1B10" w14:textId="77777777">
      <w:pPr>
        <w:pStyle w:val="Heading2"/>
      </w:pPr>
      <w:bookmarkStart w:id="1" w:name="_Toc1627131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DE4F8B" w:rsidP="00DE4F8B" w14:paraId="1B4CA292" w14:textId="32AA0DAD">
      <w:r>
        <w:t xml:space="preserve">BPA </w:t>
      </w:r>
      <w:r w:rsidR="005A0C55">
        <w:t xml:space="preserve">is submitting </w:t>
      </w:r>
      <w:r>
        <w:t>to the Office of Management and Budget (OMB) a proposal for collection of information pursuant to the Paperwork Reduction Act of 1995</w:t>
      </w:r>
      <w:r w:rsidR="006C5D17">
        <w:t xml:space="preserve"> (PRA)</w:t>
      </w:r>
      <w:r>
        <w:t xml:space="preserve">.  </w:t>
      </w:r>
      <w:r w:rsidR="005A0C55">
        <w:t>The purpos</w:t>
      </w:r>
      <w:r w:rsidR="003B2AD5">
        <w:t>e</w:t>
      </w:r>
      <w:r w:rsidR="005A0C55">
        <w:t xml:space="preserve"> of the Information Collection Request is to collect information from BPA contractors at Bonneville Power Administration (BPA) sites pertaining to authorization to operate BPA owned/leased/provided motor vehicles by contracted labor personnel. </w:t>
      </w:r>
      <w:r>
        <w:t xml:space="preserve">The proposed collection will allow BPA to gather information from contracting entities to ensure that safety </w:t>
      </w:r>
      <w:r w:rsidR="00EF534D">
        <w:t xml:space="preserve">and fiscal </w:t>
      </w:r>
      <w:r>
        <w:t xml:space="preserve">requirements are being met.  </w:t>
      </w:r>
    </w:p>
    <w:p w:rsidR="00DE4F8B" w:rsidP="00DE4F8B" w14:paraId="7C366F8C" w14:textId="0230854D">
      <w:r>
        <w:t xml:space="preserve">The Department published a 60-day Federal Register Notice and Request for Comments concerning this collection in the Federal Register on </w:t>
      </w:r>
      <w:r w:rsidRPr="009D36C1" w:rsidR="009D36C1">
        <w:t>July 2, 2024</w:t>
      </w:r>
      <w:r w:rsidRPr="009D36C1">
        <w:t>, volume 8</w:t>
      </w:r>
      <w:r w:rsidRPr="009D36C1" w:rsidR="009D36C1">
        <w:t>9</w:t>
      </w:r>
      <w:r w:rsidRPr="009D36C1">
        <w:t>, number 1</w:t>
      </w:r>
      <w:r w:rsidRPr="009D36C1" w:rsidR="009D36C1">
        <w:t>27</w:t>
      </w:r>
      <w:r w:rsidRPr="009D36C1">
        <w:t>, and page 5</w:t>
      </w:r>
      <w:r w:rsidRPr="009D36C1" w:rsidR="009D36C1">
        <w:t>4807</w:t>
      </w:r>
      <w:r>
        <w:t xml:space="preserve">.  The notice described the collection and invited interested parties to submit comments or recommendations regarding the collection.  </w:t>
      </w:r>
      <w:r w:rsidR="009D36C1">
        <w:t>One comment was received, but the content was unrelated to the notice</w:t>
      </w:r>
      <w:r>
        <w:t xml:space="preserve">. </w:t>
      </w:r>
    </w:p>
    <w:p w:rsidR="00DE4F8B" w:rsidP="00DE4F8B" w14:paraId="4F625B66" w14:textId="505E56CB">
      <w:r>
        <w:t xml:space="preserve">The Department published a 30-day Federal Register Notice and Request for Comments concerning this collection in the Federal Register on </w:t>
      </w:r>
      <w:r w:rsidRPr="00CF77F8">
        <w:t xml:space="preserve">November </w:t>
      </w:r>
      <w:r w:rsidR="00CF77F8">
        <w:t>27</w:t>
      </w:r>
      <w:r w:rsidRPr="00CF77F8">
        <w:t>, 202</w:t>
      </w:r>
      <w:r w:rsidR="00CF77F8">
        <w:t>4</w:t>
      </w:r>
      <w:r w:rsidRPr="00CF77F8">
        <w:t>, volume 8</w:t>
      </w:r>
      <w:r w:rsidR="00CF77F8">
        <w:t>9</w:t>
      </w:r>
      <w:r w:rsidRPr="00CF77F8">
        <w:t>, number 2</w:t>
      </w:r>
      <w:r w:rsidR="00CF77F8">
        <w:t>29</w:t>
      </w:r>
      <w:r w:rsidRPr="00CF77F8">
        <w:t xml:space="preserve">, and page </w:t>
      </w:r>
      <w:r w:rsidR="00CF77F8">
        <w:t>93568</w:t>
      </w:r>
      <w:r w:rsidRPr="00CF77F8">
        <w:t xml:space="preserve">.  </w:t>
      </w:r>
      <w:r w:rsidRPr="00CF77F8" w:rsidR="00EF534D">
        <w:t>No comments were received</w:t>
      </w:r>
      <w:r w:rsidRPr="00CF77F8">
        <w:t>.</w:t>
      </w:r>
    </w:p>
    <w:p w:rsidR="00A41763" w:rsidP="00DE4F8B" w14:paraId="5FFD53F5" w14:textId="029BCC38">
      <w:r>
        <w:t>Th</w:t>
      </w:r>
      <w:r w:rsidR="00797D78">
        <w:t>is</w:t>
      </w:r>
      <w:r>
        <w:t xml:space="preserve"> collection require</w:t>
      </w:r>
      <w:r w:rsidR="00797D78">
        <w:t>s</w:t>
      </w:r>
      <w:r>
        <w:t xml:space="preserve"> OMB approval under the </w:t>
      </w:r>
      <w:r w:rsidR="006C5D17">
        <w:t>PRA</w:t>
      </w:r>
      <w:r>
        <w:t xml:space="preserve"> because the form gather</w:t>
      </w:r>
      <w:r w:rsidR="00797D78">
        <w:t>s</w:t>
      </w:r>
      <w:r>
        <w:t xml:space="preserve"> information from contract employees.  This new collection contains </w:t>
      </w:r>
      <w:r w:rsidR="00EF534D">
        <w:t>one</w:t>
      </w:r>
      <w:r>
        <w:t xml:space="preserve"> collection instrument.  The relevant instrument for th</w:t>
      </w:r>
      <w:r w:rsidR="00EF534D">
        <w:t>is</w:t>
      </w:r>
      <w:r>
        <w:t xml:space="preserve"> collection </w:t>
      </w:r>
      <w:r w:rsidR="00EF534D">
        <w:t>is</w:t>
      </w:r>
      <w:r>
        <w:t xml:space="preserve"> the following form:</w:t>
      </w:r>
    </w:p>
    <w:p w:rsidR="00EF534D" w:rsidRPr="00A41763" w:rsidP="00DE4F8B" w14:paraId="6F2B3CE6" w14:textId="0EA0C8C2">
      <w:r>
        <w:t xml:space="preserve">BPA F 5200.02e, </w:t>
      </w:r>
      <w:r w:rsidRPr="00EF534D">
        <w:t>Motor Vehicle Driver Attestation for Contract Personnel</w:t>
      </w:r>
      <w:r>
        <w:t xml:space="preserve">: </w:t>
      </w:r>
      <w:r w:rsidRPr="00930EE2">
        <w:rPr>
          <w:b/>
          <w:bCs/>
        </w:rPr>
        <w:t>Form used to identify requirements for the use of government vehicles and collect attestation from contract personnel and contract company.</w:t>
      </w:r>
    </w:p>
    <w:p w:rsidR="008C734C" w:rsidP="008C734C" w14:paraId="148ABAB1" w14:textId="77777777">
      <w:pPr>
        <w:pStyle w:val="Heading2"/>
      </w:pPr>
      <w:bookmarkStart w:id="2" w:name="_Toc16271319"/>
      <w:r>
        <w:t>A.1. Legal Justification</w:t>
      </w:r>
      <w:bookmarkEnd w:id="2"/>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584318" w:rsidRPr="002A14D5" w:rsidP="00584318" w14:paraId="58A036EF" w14:textId="77777777">
      <w:pPr>
        <w:rPr>
          <w:rFonts w:cstheme="minorHAnsi"/>
        </w:rPr>
      </w:pPr>
      <w:r w:rsidRPr="002A14D5">
        <w:rPr>
          <w:rFonts w:cstheme="minorHAnsi"/>
        </w:rPr>
        <w:t>BPA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00584318" w:rsidRPr="002A14D5" w:rsidP="00584318" w14:paraId="15684C90" w14:textId="3878BAD6">
      <w:pPr>
        <w:rPr>
          <w:rFonts w:cstheme="minorHAnsi"/>
        </w:rPr>
      </w:pPr>
      <w:r w:rsidRPr="002A14D5">
        <w:rPr>
          <w:rFonts w:cstheme="minorHAnsi"/>
        </w:rPr>
        <w:t>BPA also operates and maintains about three-fourths of the high-voltage transmission</w:t>
      </w:r>
      <w:r>
        <w:rPr>
          <w:rFonts w:cstheme="minorHAnsi"/>
        </w:rPr>
        <w:t xml:space="preserve"> lines</w:t>
      </w:r>
      <w:r w:rsidRPr="002A14D5">
        <w:rPr>
          <w:rFonts w:cstheme="minorHAnsi"/>
        </w:rPr>
        <w:t xml:space="preserve"> in its service territory. BPA's service territory includes Idaho, Oregon, Washington, western Montana and small parts of eastern Montana, California, Nevada, Utah, and Wyoming.</w:t>
      </w:r>
    </w:p>
    <w:p w:rsidR="00584318" w:rsidRPr="002A14D5" w:rsidP="00584318" w14:paraId="5D4DECB4" w14:textId="77777777">
      <w:pPr>
        <w:rPr>
          <w:rFonts w:cstheme="minorHAnsi"/>
          <w:i/>
        </w:rPr>
      </w:pPr>
      <w:r w:rsidRPr="002A14D5">
        <w:rPr>
          <w:rFonts w:cstheme="minorHAnsi"/>
        </w:rPr>
        <w:t>As part of its responsibilities, BPA promotes energy efficiency, renewable resources, and new technologies. The agency also funds regional efforts to protect and rebuild fish and wildlife populations affected by hydroelectric power development in the Columbia River Basin.</w:t>
      </w:r>
      <w:r w:rsidRPr="002A14D5">
        <w:rPr>
          <w:rFonts w:cstheme="minorHAnsi"/>
          <w:i/>
        </w:rPr>
        <w:t xml:space="preserve">  </w:t>
      </w:r>
    </w:p>
    <w:p w:rsidR="00584318" w:rsidRPr="002A14D5" w:rsidP="00584318" w14:paraId="117E9EAB" w14:textId="3E40C7ED">
      <w:pPr>
        <w:rPr>
          <w:rFonts w:cstheme="minorHAnsi"/>
        </w:rPr>
      </w:pPr>
      <w:r w:rsidRPr="002A14D5">
        <w:rPr>
          <w:rFonts w:cstheme="minorHAnsi"/>
        </w:rPr>
        <w:t>BPA derives its contracting authority from several acts. The Bonneville Project Act, particularly Sections 2(f) and 8 (16 U.S.C. § 832</w:t>
      </w:r>
      <w:r>
        <w:rPr>
          <w:rFonts w:cstheme="minorHAnsi"/>
        </w:rPr>
        <w:t>a</w:t>
      </w:r>
      <w:r w:rsidRPr="002A14D5">
        <w:rPr>
          <w:rFonts w:cstheme="minorHAnsi"/>
        </w:rPr>
        <w:t>.), grants authority to the Bonneville Administrator to contract for supplies and services. The Federal Columbia River Transmission System Act of 1974, particularly Section 11(b) (16 U.S.C. § 838 et seq.), grants authority to the Bonneville Administrator to make expenditures without appropriations from Congress or limitation to</w:t>
      </w:r>
      <w:r w:rsidRPr="002A14D5">
        <w:rPr>
          <w:rFonts w:cstheme="minorHAnsi"/>
          <w:sz w:val="24"/>
          <w:szCs w:val="24"/>
        </w:rPr>
        <w:t xml:space="preserve"> </w:t>
      </w:r>
      <w:r w:rsidRPr="002A14D5">
        <w:rPr>
          <w:rFonts w:cstheme="minorHAnsi"/>
        </w:rPr>
        <w:t>fiscal year. The Pacific Northwest Electric Power Planning and Conservation Act, particularly Section 9(a) (16 U.S.C. § 839 et seq.), reaffirms the need for the special contracting authorities in Section 2(f) of the Bonneville Project Act.</w:t>
      </w:r>
      <w:r>
        <w:rPr>
          <w:rFonts w:cstheme="minorHAnsi"/>
        </w:rPr>
        <w:t xml:space="preserve">  Establishment of the Department of Energy Act (42 U.S.C. 7101 et seq.).  </w:t>
      </w:r>
      <w:r w:rsidR="00AB7C8E">
        <w:rPr>
          <w:rFonts w:cstheme="minorHAnsi"/>
        </w:rPr>
        <w:t xml:space="preserve">Additionally, </w:t>
      </w:r>
      <w:r w:rsidR="00F662BD">
        <w:rPr>
          <w:rFonts w:cstheme="minorHAnsi"/>
        </w:rPr>
        <w:t>(</w:t>
      </w:r>
      <w:r w:rsidR="00F3140F">
        <w:rPr>
          <w:rFonts w:cstheme="minorHAnsi"/>
        </w:rPr>
        <w:t>41 CFR § 101-39.300 (b)</w:t>
      </w:r>
      <w:r w:rsidR="00F662BD">
        <w:rPr>
          <w:rFonts w:cstheme="minorHAnsi"/>
        </w:rPr>
        <w:t>)</w:t>
      </w:r>
      <w:r w:rsidR="00AB7C8E">
        <w:rPr>
          <w:rFonts w:cstheme="minorHAnsi"/>
        </w:rPr>
        <w:t xml:space="preserve"> allows for the collection of information to authorize the operation and use of Government-owned, leased, or private vehicles for official business</w:t>
      </w:r>
      <w:r>
        <w:rPr>
          <w:rFonts w:cstheme="minorHAnsi"/>
        </w:rPr>
        <w:t xml:space="preserve">.  </w:t>
      </w:r>
    </w:p>
    <w:p w:rsidR="008C734C" w:rsidP="008C734C" w14:paraId="4CC8B66B" w14:textId="77777777">
      <w:pPr>
        <w:pStyle w:val="Heading2"/>
      </w:pPr>
      <w:bookmarkStart w:id="3" w:name="_Toc16271320"/>
      <w:r>
        <w:t>A.2. Needs and Uses of Data</w:t>
      </w:r>
      <w:bookmarkEnd w:id="3"/>
    </w:p>
    <w:p w:rsidR="00A41763" w:rsidRPr="00A41763" w:rsidP="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A41763" w:rsidRPr="00387E00" w:rsidP="00A41763" w14:paraId="00609535" w14:textId="3E957DE5">
      <w:r w:rsidRPr="00387E00">
        <w:t>T</w:t>
      </w:r>
      <w:r>
        <w:t xml:space="preserve">he information being collected in </w:t>
      </w:r>
      <w:r w:rsidRPr="00387E00">
        <w:rPr>
          <w:b/>
          <w:bCs/>
        </w:rPr>
        <w:t>BPA Form 5200.02e, Motor Vehicle Driver Attestation for Contract Personnel</w:t>
      </w:r>
      <w:r>
        <w:t xml:space="preserve"> consists of the</w:t>
      </w:r>
      <w:r w:rsidR="005A0C55">
        <w:t xml:space="preserve"> </w:t>
      </w:r>
      <w:r w:rsidR="003D3ECD">
        <w:t>respondent’s</w:t>
      </w:r>
      <w:r>
        <w:t xml:space="preserve"> name and attestations related to required training, the obligation to carry their license, and obligation to notify if any issues </w:t>
      </w:r>
      <w:r w:rsidR="003D3ECD">
        <w:t>arose</w:t>
      </w:r>
      <w:r>
        <w:t xml:space="preserve"> that would impact ability to safely and legally operate a motor vehicle.  This is to ensure that motor vehicle operators are correctly licensed and able to operate a government motor vehicle.</w:t>
      </w:r>
      <w:r w:rsidR="003F49D5">
        <w:t xml:space="preserve">  Contract workers are directed to complete the training outlined on the form, checking off each element as completed.  Since the contract workers may not have network access at the time that the requirement is identified the training elements are routed to them with the form as additional documents or weblinks as appropriate.  Question 1 asks the contract worker to certify that they have a valid driver's license or that a driver's license is not required for the position.  The second requirement is to certify that the contract worker has reviewed the </w:t>
      </w:r>
      <w:r w:rsidRPr="003F49D5" w:rsidR="003F49D5">
        <w:t xml:space="preserve">Fleet Users Guide and will comply with all rules and regulations governing the use of Government owned and leased motor vehicles and that </w:t>
      </w:r>
      <w:r w:rsidR="003F49D5">
        <w:t>they</w:t>
      </w:r>
      <w:r w:rsidRPr="003F49D5" w:rsidR="003F49D5">
        <w:t xml:space="preserve"> have read and understand the penalties for unofficial use</w:t>
      </w:r>
      <w:r w:rsidR="003F49D5">
        <w:t xml:space="preserve">.  The third requirement </w:t>
      </w:r>
      <w:r w:rsidRPr="003F49D5" w:rsidR="003F49D5">
        <w:t>certif</w:t>
      </w:r>
      <w:r w:rsidR="003F49D5">
        <w:t>ies</w:t>
      </w:r>
      <w:r w:rsidRPr="003F49D5" w:rsidR="003F49D5">
        <w:t xml:space="preserve"> that </w:t>
      </w:r>
      <w:r w:rsidR="003F49D5">
        <w:t>they</w:t>
      </w:r>
      <w:r w:rsidRPr="003F49D5" w:rsidR="003F49D5">
        <w:t xml:space="preserve"> have read and understand BPA's Asset Management Instructions, Section III.</w:t>
      </w:r>
      <w:r w:rsidR="003F49D5">
        <w:t xml:space="preserve">  The fourth requirement certifies that f</w:t>
      </w:r>
      <w:r w:rsidRPr="003F49D5" w:rsidR="003F49D5">
        <w:t xml:space="preserve">or GSA leased vehicles (G plated), </w:t>
      </w:r>
      <w:r w:rsidR="003F49D5">
        <w:t>they</w:t>
      </w:r>
      <w:r w:rsidRPr="003F49D5" w:rsidR="003F49D5">
        <w:t xml:space="preserve"> certify that </w:t>
      </w:r>
      <w:r w:rsidR="003F49D5">
        <w:t>they</w:t>
      </w:r>
      <w:r w:rsidRPr="003F49D5" w:rsidR="003F49D5">
        <w:t xml:space="preserve"> have read and understand the GSA Guide to Your Fleet Vehicle (also located in vehicle).</w:t>
      </w:r>
      <w:r w:rsidR="007E580A">
        <w:t xml:space="preserve">  The fifth requirement certifies that they</w:t>
      </w:r>
      <w:r w:rsidRPr="007E580A" w:rsidR="007E580A">
        <w:t xml:space="preserve"> have read and understand</w:t>
      </w:r>
      <w:r w:rsidR="007E580A">
        <w:t xml:space="preserve"> Chapter 19 of</w:t>
      </w:r>
      <w:r w:rsidRPr="007E580A" w:rsidR="007E580A">
        <w:t xml:space="preserve"> BPA's Safety Occupational Health Manual</w:t>
      </w:r>
      <w:r w:rsidR="007E580A">
        <w:t xml:space="preserve">.  The sixth requirement certifies that they </w:t>
      </w:r>
      <w:r w:rsidRPr="007E580A" w:rsidR="007E580A">
        <w:t xml:space="preserve">have watched the GSA Fleet Fuel Card Training and </w:t>
      </w:r>
      <w:r w:rsidR="007E580A">
        <w:t>are</w:t>
      </w:r>
      <w:r w:rsidRPr="007E580A" w:rsidR="007E580A">
        <w:t xml:space="preserve"> aware of the difference between authorized and unauthorized purchases, and that there may be serious repercussions for misuse.</w:t>
      </w:r>
      <w:r w:rsidR="007E580A">
        <w:t xml:space="preserve">  The seventh and final requirement for the contract worker is to certify that they </w:t>
      </w:r>
      <w:r w:rsidRPr="007E580A" w:rsidR="007E580A">
        <w:t xml:space="preserve">will notify </w:t>
      </w:r>
      <w:r w:rsidR="007E580A">
        <w:t>their</w:t>
      </w:r>
      <w:r w:rsidRPr="007E580A" w:rsidR="007E580A">
        <w:t xml:space="preserve"> employer immediately if any issues arise that would impact </w:t>
      </w:r>
      <w:r w:rsidR="007E580A">
        <w:t>their</w:t>
      </w:r>
      <w:r w:rsidRPr="007E580A" w:rsidR="007E580A">
        <w:t xml:space="preserve"> ability to safely and legally operate a government motor vehicle.</w:t>
      </w:r>
      <w:r w:rsidR="007E580A">
        <w:t xml:space="preserve">  The next section applies to the contract worker’s employer.  The employer must certify that the contract worker </w:t>
      </w:r>
      <w:r w:rsidRPr="007E580A" w:rsidR="007E580A">
        <w:t xml:space="preserve">has a valid, unexpired driver’s license without restrictions that would prevent them from carrying out the duties of the assignment as </w:t>
      </w:r>
      <w:r w:rsidRPr="007E580A" w:rsidR="008C1019">
        <w:t>outlined,</w:t>
      </w:r>
      <w:r w:rsidR="007E580A">
        <w:t xml:space="preserve"> and the employer</w:t>
      </w:r>
      <w:r w:rsidRPr="007E580A" w:rsidR="007E580A">
        <w:t xml:space="preserve"> will immediately notify SLMO if any issues </w:t>
      </w:r>
      <w:r w:rsidRPr="007E580A" w:rsidR="000D4C95">
        <w:t>arose</w:t>
      </w:r>
      <w:r w:rsidRPr="007E580A" w:rsidR="007E580A">
        <w:t xml:space="preserve"> that would impact their </w:t>
      </w:r>
      <w:r w:rsidRPr="007E580A" w:rsidR="007E580A">
        <w:t>ability to fulfill the duties of the assignment.</w:t>
      </w:r>
      <w:r w:rsidR="007E580A">
        <w:t xml:space="preserve">  Or the employer certifies that a drivers license is not required for the position.</w:t>
      </w:r>
      <w:r w:rsidR="0066664D">
        <w:t xml:space="preserve">  An hour is estimated in the burden statement to allow the contract worker to review the required training or review of required material outlined above.</w:t>
      </w:r>
    </w:p>
    <w:p w:rsidR="008C734C" w:rsidP="008C734C" w14:paraId="1448BF97" w14:textId="77777777">
      <w:pPr>
        <w:pStyle w:val="Heading2"/>
      </w:pPr>
      <w:bookmarkStart w:id="4" w:name="_Toc16271321"/>
      <w:r>
        <w:t>A.</w:t>
      </w:r>
      <w:r w:rsidRPr="00A41763" w:rsidR="00A41763">
        <w:t xml:space="preserve">3. </w:t>
      </w:r>
      <w:r>
        <w:t>Use of Technology</w:t>
      </w:r>
      <w:bookmarkEnd w:id="4"/>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387E00" w:rsidP="00A41763" w14:paraId="46E9AED9" w14:textId="1477A122">
      <w:r>
        <w:t>The form is digitally filled out</w:t>
      </w:r>
      <w:r w:rsidR="00BC6D1C">
        <w:t xml:space="preserve">, </w:t>
      </w:r>
      <w:r w:rsidR="0066664D">
        <w:t xml:space="preserve">electronically </w:t>
      </w:r>
      <w:r w:rsidR="009D22B1">
        <w:t>signed,</w:t>
      </w:r>
      <w:r w:rsidR="00BC6D1C">
        <w:t xml:space="preserve"> </w:t>
      </w:r>
      <w:r>
        <w:t xml:space="preserve">and submitted either via DocuSign.  </w:t>
      </w:r>
      <w:r w:rsidR="009F5635">
        <w:t>Necessary training information including links are provided as additional attachments that are routed with the form since contract personnel may not have access to the digital links used by BPA.  These attachments would be provided in a PDF format like the form or as links to public sites that contract personnel could access.</w:t>
      </w:r>
    </w:p>
    <w:p w:rsidR="008C734C" w:rsidP="008C734C" w14:paraId="0DE5859D"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39627" w14:textId="77777777">
      <w:r w:rsidRPr="00A41763">
        <w:rPr>
          <w:b/>
          <w:bCs/>
        </w:rPr>
        <w:t xml:space="preserve">Describe efforts to identify duplication. </w:t>
      </w:r>
    </w:p>
    <w:p w:rsidR="005118C3" w:rsidRPr="00302BB6" w:rsidP="005118C3" w14:paraId="1B5AF438" w14:textId="21F9D32A">
      <w:pPr>
        <w:rPr>
          <w:rFonts w:cstheme="minorHAnsi"/>
        </w:rPr>
      </w:pPr>
      <w:r>
        <w:rPr>
          <w:rFonts w:cstheme="minorHAnsi"/>
        </w:rPr>
        <w:t>This is a new collection, existing collection sources were reviewed, but none met the information requirements</w:t>
      </w:r>
      <w:r w:rsidRPr="00302BB6">
        <w:rPr>
          <w:rFonts w:cstheme="minorHAnsi"/>
        </w:rPr>
        <w:t>.</w:t>
      </w:r>
      <w:r w:rsidR="004C69E8">
        <w:rPr>
          <w:rFonts w:cstheme="minorHAnsi"/>
        </w:rPr>
        <w:t xml:space="preserve"> To BPA’s knowledge, </w:t>
      </w:r>
      <w:r w:rsidRPr="004C69E8" w:rsidR="004C69E8">
        <w:rPr>
          <w:rFonts w:cstheme="minorHAnsi"/>
        </w:rPr>
        <w:t>there is no other effort to collect this information.</w:t>
      </w:r>
    </w:p>
    <w:p w:rsidR="008C734C" w:rsidP="008C734C" w14:paraId="2ECACA07"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8C734C" w:rsidRPr="00A41763" w:rsidP="00A41763" w14:paraId="3AEA6811" w14:textId="128B0922">
      <w:r w:rsidRPr="005118C3">
        <w:t xml:space="preserve">The </w:t>
      </w:r>
      <w:r>
        <w:t xml:space="preserve">collection applies to businesses that provide supplemental labor contract personnel to BPA.  Some of those contracts require the use of a government vehicle and property rules require documentation of appropriate licensure for the use of vehicles.  Additionally, some training requirements have been shown to reduce the likelihood of accidents.  Thus, these training requirements apply to any users of government vehicles for BPA.  The requirements outlined in this attestation are nearly identical to those made of government employees to use a government vehicle.  This should not add undue burden to small businesses or other small </w:t>
      </w:r>
      <w:r w:rsidR="005A115C">
        <w:t>entities</w:t>
      </w:r>
      <w:r>
        <w:t>.</w:t>
      </w:r>
    </w:p>
    <w:p w:rsidR="008C734C" w:rsidP="008C734C" w14:paraId="4DA71ECE"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A41763" w:rsidRPr="008F7DF6" w:rsidP="00A41763" w14:paraId="3236AA36" w14:textId="5C86FEE9">
      <w:r w:rsidRPr="008F7DF6">
        <w:t xml:space="preserve">The </w:t>
      </w:r>
      <w:r>
        <w:t>collection is made as required to comply with regulations related to property accountability but would not occur more frequently than once a year.  If BPA did not conduct this collection, then contractors would not be able to operate government vehicles.</w:t>
      </w:r>
    </w:p>
    <w:p w:rsidR="008C734C" w:rsidP="008C734C" w14:paraId="2A49B40F"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w:t>
      </w:r>
      <w:r w:rsidRPr="00A41763">
        <w:rPr>
          <w:b/>
          <w:bCs/>
        </w:rPr>
        <w:t>quarterly;</w:t>
      </w:r>
      <w:r w:rsidRPr="00A41763">
        <w:rPr>
          <w:b/>
          <w:bCs/>
        </w:rPr>
        <w:t xml:space="preserve">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7CBBDBFA" w14:textId="77777777">
      <w:pPr>
        <w:rPr>
          <w:b/>
          <w:bCs/>
        </w:rPr>
      </w:pPr>
      <w:r w:rsidRPr="00A41763">
        <w:rPr>
          <w:b/>
          <w:bCs/>
        </w:rPr>
        <w:t xml:space="preserve">(c) requiring respondents to submit more than an original and two copies of any </w:t>
      </w:r>
      <w:r w:rsidRPr="00A41763">
        <w:rPr>
          <w:b/>
          <w:bCs/>
        </w:rPr>
        <w:t>document;</w:t>
      </w:r>
      <w:r w:rsidRPr="00A41763">
        <w:rPr>
          <w:b/>
          <w:bCs/>
        </w:rPr>
        <w:t xml:space="preserve"> </w:t>
      </w:r>
    </w:p>
    <w:p w:rsidR="00DB6FBD" w:rsidP="00A41763" w14:paraId="4DF3081F" w14:textId="77777777">
      <w:pPr>
        <w:rPr>
          <w:b/>
          <w:bCs/>
        </w:rPr>
      </w:pPr>
      <w:bookmarkStart w:id="9" w:name="_Hlk153181006"/>
      <w:r w:rsidRPr="005A115C">
        <w:rPr>
          <w:b/>
          <w:bCs/>
        </w:rPr>
        <w:t xml:space="preserve">(d) requiring respondents to retain records, other than health, medical government contract, grant-in-aid, or tax records, for more than three </w:t>
      </w:r>
      <w:r w:rsidRPr="005A115C">
        <w:rPr>
          <w:b/>
          <w:bCs/>
        </w:rPr>
        <w:t>years;</w:t>
      </w:r>
      <w:r w:rsidRPr="00A41763">
        <w:rPr>
          <w:b/>
          <w:bCs/>
        </w:rPr>
        <w:t xml:space="preserve"> </w:t>
      </w:r>
    </w:p>
    <w:bookmarkEnd w:id="9"/>
    <w:p w:rsidR="00DB6FBD" w:rsidP="00A41763" w14:paraId="7F8B624D" w14:textId="77777777">
      <w:pPr>
        <w:rPr>
          <w:b/>
          <w:bCs/>
        </w:rPr>
      </w:pPr>
      <w:r w:rsidRPr="00A41763">
        <w:rPr>
          <w:b/>
          <w:bCs/>
        </w:rPr>
        <w:t xml:space="preserve">(e) in connection with a statistical survey, that is not designed to product valid and reliable results that can be generalized to the universe of </w:t>
      </w:r>
      <w:r w:rsidRPr="00A41763">
        <w:rPr>
          <w:b/>
          <w:bCs/>
        </w:rPr>
        <w:t>study;</w:t>
      </w:r>
      <w:r w:rsidRPr="00A41763">
        <w:rPr>
          <w:b/>
          <w:bCs/>
        </w:rPr>
        <w:t xml:space="preserve"> </w:t>
      </w:r>
    </w:p>
    <w:p w:rsidR="00DB6FBD" w:rsidP="00A41763" w14:paraId="21472A65" w14:textId="77777777">
      <w:pPr>
        <w:rPr>
          <w:b/>
          <w:bCs/>
        </w:rPr>
      </w:pPr>
      <w:r w:rsidRPr="00A41763">
        <w:rPr>
          <w:b/>
          <w:bCs/>
        </w:rPr>
        <w:t xml:space="preserve">(f) requiring the use of statistical data classification that has not been reviewed and approved by </w:t>
      </w:r>
      <w:r w:rsidRPr="00A41763">
        <w:rPr>
          <w:b/>
          <w:bCs/>
        </w:rPr>
        <w:t>OMB;</w:t>
      </w:r>
      <w:r w:rsidRPr="00A41763">
        <w:rPr>
          <w:b/>
          <w:bCs/>
        </w:rPr>
        <w:t xml:space="preserve"> </w:t>
      </w:r>
    </w:p>
    <w:p w:rsidR="00DB6FBD" w:rsidP="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5A115C" w:rsidRPr="006345DD" w:rsidP="005A115C" w14:paraId="6D7E5BFC" w14:textId="77777777">
      <w:pPr>
        <w:rPr>
          <w:rFonts w:cstheme="minorHAnsi"/>
        </w:rPr>
      </w:pPr>
      <w:r w:rsidRPr="006345DD">
        <w:rPr>
          <w:rFonts w:cstheme="minorHAnsi"/>
        </w:rPr>
        <w:t>The information collection is conducted in a manner consistent with OMB guidelines.</w:t>
      </w:r>
    </w:p>
    <w:p w:rsidR="008C734C" w:rsidP="008C734C" w14:paraId="74C8DEA2" w14:textId="77777777">
      <w:pPr>
        <w:pStyle w:val="Heading2"/>
      </w:pPr>
      <w:bookmarkStart w:id="10" w:name="_Toc16271326"/>
      <w:r>
        <w:t>A.</w:t>
      </w:r>
      <w:r w:rsidRPr="00A41763" w:rsidR="00A41763">
        <w:t xml:space="preserve">8. </w:t>
      </w:r>
      <w:r w:rsidRPr="008C734C">
        <w:t>Summary of Consultations Outside of the Agency</w:t>
      </w:r>
      <w:bookmarkEnd w:id="10"/>
    </w:p>
    <w:p w:rsidR="00A41763" w:rsidRPr="00A41763" w:rsidP="00A41763" w14:paraId="5911F359"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5A115C" w:rsidP="005A115C" w14:paraId="37D5318D" w14:textId="6EBEC49F">
      <w:pPr>
        <w:rPr>
          <w:rFonts w:cstheme="minorHAnsi"/>
        </w:rPr>
      </w:pPr>
      <w:r w:rsidRPr="008645A9">
        <w:rPr>
          <w:rFonts w:cstheme="minorHAnsi"/>
        </w:rPr>
        <w:t xml:space="preserve">The Department published a 60-day Federal Register Notice and Request for Comments concerning this collection in the Federal Register on </w:t>
      </w:r>
      <w:r w:rsidRPr="009D36C1">
        <w:rPr>
          <w:rFonts w:cstheme="minorHAnsi"/>
        </w:rPr>
        <w:t xml:space="preserve">July </w:t>
      </w:r>
      <w:r w:rsidRPr="009D36C1" w:rsidR="009D36C1">
        <w:rPr>
          <w:rFonts w:cstheme="minorHAnsi"/>
        </w:rPr>
        <w:t>2</w:t>
      </w:r>
      <w:r w:rsidRPr="009D36C1">
        <w:rPr>
          <w:rFonts w:cstheme="minorHAnsi"/>
        </w:rPr>
        <w:t>, 202</w:t>
      </w:r>
      <w:r w:rsidRPr="009D36C1" w:rsidR="009D36C1">
        <w:rPr>
          <w:rFonts w:cstheme="minorHAnsi"/>
        </w:rPr>
        <w:t>4</w:t>
      </w:r>
      <w:r w:rsidRPr="009D36C1">
        <w:rPr>
          <w:rFonts w:cstheme="minorHAnsi"/>
        </w:rPr>
        <w:t>, (volume 8</w:t>
      </w:r>
      <w:r w:rsidRPr="009D36C1" w:rsidR="009D36C1">
        <w:rPr>
          <w:rFonts w:cstheme="minorHAnsi"/>
        </w:rPr>
        <w:t>9</w:t>
      </w:r>
      <w:r w:rsidRPr="009D36C1">
        <w:rPr>
          <w:rFonts w:cstheme="minorHAnsi"/>
        </w:rPr>
        <w:t>, number 12</w:t>
      </w:r>
      <w:r w:rsidRPr="009D36C1" w:rsidR="009D36C1">
        <w:rPr>
          <w:rFonts w:cstheme="minorHAnsi"/>
        </w:rPr>
        <w:t>7</w:t>
      </w:r>
      <w:r w:rsidRPr="009D36C1">
        <w:rPr>
          <w:rFonts w:cstheme="minorHAnsi"/>
        </w:rPr>
        <w:t xml:space="preserve">, and page number </w:t>
      </w:r>
      <w:r w:rsidRPr="009D36C1" w:rsidR="009D36C1">
        <w:rPr>
          <w:rFonts w:cstheme="minorHAnsi"/>
        </w:rPr>
        <w:t>54807</w:t>
      </w:r>
      <w:r w:rsidRPr="009D36C1">
        <w:rPr>
          <w:rFonts w:cstheme="minorHAnsi"/>
        </w:rPr>
        <w:t xml:space="preserve">). </w:t>
      </w:r>
      <w:r w:rsidR="009D36C1">
        <w:rPr>
          <w:rFonts w:cstheme="minorHAnsi"/>
        </w:rPr>
        <w:t>One comment was received, but the content of the response was unrelated to the notice.</w:t>
      </w:r>
      <w:r>
        <w:rPr>
          <w:rFonts w:cstheme="minorHAnsi"/>
        </w:rPr>
        <w:t xml:space="preserve"> </w:t>
      </w:r>
    </w:p>
    <w:p w:rsidR="000D4C95" w:rsidP="000D4C95" w14:paraId="249B490B" w14:textId="77777777">
      <w:r>
        <w:t xml:space="preserve">The Department published a 30-day Federal Register Notice and Request for Comments concerning this collection in the Federal Register on </w:t>
      </w:r>
      <w:r w:rsidRPr="00CF77F8">
        <w:t xml:space="preserve">November </w:t>
      </w:r>
      <w:r>
        <w:t>27</w:t>
      </w:r>
      <w:r w:rsidRPr="00CF77F8">
        <w:t>, 202</w:t>
      </w:r>
      <w:r>
        <w:t>4</w:t>
      </w:r>
      <w:r w:rsidRPr="00CF77F8">
        <w:t>, volume 8</w:t>
      </w:r>
      <w:r>
        <w:t>9</w:t>
      </w:r>
      <w:r w:rsidRPr="00CF77F8">
        <w:t>, number 2</w:t>
      </w:r>
      <w:r>
        <w:t>29</w:t>
      </w:r>
      <w:r w:rsidRPr="00CF77F8">
        <w:t xml:space="preserve">, and page </w:t>
      </w:r>
      <w:r>
        <w:t>93568</w:t>
      </w:r>
      <w:r w:rsidRPr="00CF77F8">
        <w:t>.  No comments were received.</w:t>
      </w:r>
    </w:p>
    <w:p w:rsidR="00D61078" w:rsidP="005A115C" w14:paraId="3F3D55F2" w14:textId="30EB500C">
      <w:pPr>
        <w:rPr>
          <w:b/>
          <w:bCs/>
        </w:rPr>
      </w:pPr>
      <w:r>
        <w:rPr>
          <w:rFonts w:cstheme="minorHAnsi"/>
        </w:rPr>
        <w:t>No other efforts were made to consult with persons outside DOE.</w:t>
      </w:r>
    </w:p>
    <w:p w:rsidR="008C734C" w:rsidP="008C734C" w14:paraId="72BD7E79" w14:textId="77777777">
      <w:pPr>
        <w:pStyle w:val="Heading2"/>
      </w:pPr>
      <w:bookmarkStart w:id="11" w:name="_Toc16271327"/>
      <w:r>
        <w:t>A.</w:t>
      </w:r>
      <w:r w:rsidRPr="00A41763" w:rsidR="00A41763">
        <w:t xml:space="preserve">9. </w:t>
      </w:r>
      <w:r w:rsidRPr="008C734C">
        <w:t>Payments or Gifts to Respondents</w:t>
      </w:r>
      <w:bookmarkEnd w:id="11"/>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5A115C" w:rsidRPr="001F5890" w:rsidP="005A115C" w14:paraId="2462EC94" w14:textId="06249BC4">
      <w:pPr>
        <w:widowControl w:val="0"/>
        <w:kinsoku w:val="0"/>
        <w:overflowPunct w:val="0"/>
        <w:spacing w:before="278" w:line="272" w:lineRule="exact"/>
        <w:textAlignment w:val="baseline"/>
        <w:rPr>
          <w:rFonts w:eastAsiaTheme="minorEastAsia" w:cstheme="minorHAnsi"/>
        </w:rPr>
      </w:pPr>
      <w:r w:rsidRPr="001F5890">
        <w:rPr>
          <w:rFonts w:eastAsiaTheme="minorEastAsia" w:cstheme="minorHAnsi"/>
        </w:rPr>
        <w:t>Respondents will not receive any payment</w:t>
      </w:r>
      <w:r w:rsidR="00802149">
        <w:rPr>
          <w:rFonts w:eastAsiaTheme="minorEastAsia" w:cstheme="minorHAnsi"/>
        </w:rPr>
        <w:t>s</w:t>
      </w:r>
      <w:r w:rsidRPr="001F5890">
        <w:rPr>
          <w:rFonts w:eastAsiaTheme="minorEastAsia" w:cstheme="minorHAnsi"/>
        </w:rPr>
        <w:t xml:space="preserve"> or gift</w:t>
      </w:r>
      <w:r w:rsidR="00802149">
        <w:rPr>
          <w:rFonts w:eastAsiaTheme="minorEastAsia" w:cstheme="minorHAnsi"/>
        </w:rPr>
        <w:t>s</w:t>
      </w:r>
      <w:r w:rsidRPr="001F5890">
        <w:rPr>
          <w:rFonts w:eastAsiaTheme="minorEastAsia" w:cstheme="minorHAnsi"/>
        </w:rPr>
        <w:t>.</w:t>
      </w:r>
    </w:p>
    <w:p w:rsidR="008C734C" w:rsidP="008C734C" w14:paraId="21C23607" w14:textId="77777777">
      <w:pPr>
        <w:pStyle w:val="Heading2"/>
      </w:pPr>
      <w:bookmarkStart w:id="12" w:name="_Toc16271328"/>
      <w:r>
        <w:t>A.</w:t>
      </w:r>
      <w:r w:rsidRPr="00A41763" w:rsidR="00A41763">
        <w:t xml:space="preserve">10. </w:t>
      </w:r>
      <w:r w:rsidRPr="008C734C">
        <w:t>Provisions for Protection of Information</w:t>
      </w:r>
      <w:bookmarkEnd w:id="12"/>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F056C3" w:rsidP="00A41763" w14:paraId="65F72007" w14:textId="62A55B88">
      <w:pPr>
        <w:rPr>
          <w:b/>
          <w:bCs/>
        </w:rPr>
      </w:pPr>
      <w:r w:rsidRPr="0034144A">
        <w:rPr>
          <w:rFonts w:cstheme="minorHAnsi"/>
          <w:iCs/>
        </w:rPr>
        <w:t xml:space="preserve">BPA provides notice that the proposed collection of information in this program will be part of a system of records covered by the Privacy Act and may not be available under the Freedom of Information Act.  </w:t>
      </w:r>
      <w:r>
        <w:rPr>
          <w:rFonts w:cstheme="minorHAnsi"/>
          <w:iCs/>
        </w:rPr>
        <w:t xml:space="preserve">The System of Records associated with this collection is DOE-23 Property Accountability System.  </w:t>
      </w:r>
      <w:r w:rsidRPr="0034144A">
        <w:rPr>
          <w:rFonts w:cstheme="minorHAnsi"/>
          <w:iCs/>
        </w:rPr>
        <w:t>Collection instruments requiring a Privacy Act statement contain that statement</w:t>
      </w:r>
      <w:r>
        <w:rPr>
          <w:rFonts w:cstheme="minorHAnsi"/>
          <w:iCs/>
        </w:rPr>
        <w:t>.</w:t>
      </w:r>
    </w:p>
    <w:p w:rsidR="00F056C3" w:rsidP="00F056C3" w14:paraId="54948D33" w14:textId="77777777">
      <w:pPr>
        <w:pStyle w:val="Heading2"/>
      </w:pPr>
      <w:bookmarkStart w:id="13" w:name="_Toc16271329"/>
      <w:r>
        <w:t>A.</w:t>
      </w:r>
      <w:r w:rsidRPr="00A41763" w:rsidR="00A41763">
        <w:t xml:space="preserve">11. </w:t>
      </w:r>
      <w:r w:rsidRPr="00F056C3">
        <w:t>Justification for Sensitive Questions</w:t>
      </w:r>
      <w:bookmarkEnd w:id="13"/>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2A205D" w:rsidRPr="0034144A" w:rsidP="002A205D" w14:paraId="4A74645A" w14:textId="77777777">
      <w:pPr>
        <w:rPr>
          <w:rFonts w:cstheme="minorHAnsi"/>
        </w:rPr>
      </w:pPr>
      <w:r w:rsidRPr="0034144A">
        <w:rPr>
          <w:rFonts w:cstheme="minorHAnsi"/>
          <w:iCs/>
        </w:rPr>
        <w:t>No questions of a sensitive nature are asked of respondents.</w:t>
      </w:r>
    </w:p>
    <w:p w:rsidR="00F056C3" w:rsidP="00F056C3" w14:paraId="78140148" w14:textId="77777777">
      <w:pPr>
        <w:pStyle w:val="Heading2"/>
      </w:pPr>
      <w:bookmarkStart w:id="14" w:name="_Toc16271330"/>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P="00AC69E8" w14:paraId="32821E38"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2E4FAD" w:rsidRPr="000D4C95" w:rsidP="00A41763" w14:paraId="4B5E24D8" w14:textId="21118148">
      <w:pPr>
        <w:rPr>
          <w:b/>
          <w:bCs/>
        </w:rPr>
      </w:pPr>
      <w:r>
        <w:rPr>
          <w:rFonts w:cstheme="minorHAnsi"/>
          <w:iCs/>
          <w:color w:val="000000"/>
          <w:sz w:val="24"/>
          <w:szCs w:val="24"/>
        </w:rPr>
        <w:br/>
      </w:r>
      <w:r w:rsidRPr="000D4C95" w:rsidR="00F341CD">
        <w:rPr>
          <w:rFonts w:cstheme="minorHAnsi"/>
          <w:iCs/>
          <w:color w:val="000000"/>
        </w:rPr>
        <w:t>The totals in the table below are averages provided by BPA’s Supplemental Labor Management Office staff.  Burden hours were estimated based upon staff timing while reviewing instructions and filling out the collection instrument.</w:t>
      </w:r>
    </w:p>
    <w:tbl>
      <w:tblPr>
        <w:tblW w:w="10020" w:type="dxa"/>
        <w:tblLook w:val="04A0"/>
      </w:tblPr>
      <w:tblGrid>
        <w:gridCol w:w="2848"/>
        <w:gridCol w:w="1296"/>
        <w:gridCol w:w="1296"/>
        <w:gridCol w:w="1158"/>
        <w:gridCol w:w="1157"/>
        <w:gridCol w:w="1155"/>
        <w:gridCol w:w="1110"/>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1E34118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4E9221FE" w14:textId="77777777">
            <w:pPr>
              <w:spacing w:after="0" w:line="240" w:lineRule="auto"/>
              <w:jc w:val="center"/>
              <w:rPr>
                <w:rFonts w:ascii="Calibri" w:eastAsia="Times New Roman" w:hAnsi="Calibri" w:cs="Arial"/>
                <w:b/>
                <w:bCs/>
                <w:color w:val="0070C0"/>
                <w:sz w:val="28"/>
                <w:szCs w:val="28"/>
              </w:rPr>
            </w:pPr>
          </w:p>
        </w:tc>
      </w:tr>
      <w:tr w14:paraId="4F69B1F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4DDBFE7" w14:textId="28B3064E">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A205D">
              <w:rPr>
                <w:rFonts w:ascii="Calibri" w:eastAsia="Times New Roman" w:hAnsi="Calibri" w:cs="Arial"/>
                <w:color w:val="000000"/>
                <w:sz w:val="20"/>
                <w:szCs w:val="20"/>
              </w:rPr>
              <w:t xml:space="preserve">BPA F 5200.02e - </w:t>
            </w:r>
            <w:r w:rsidRPr="002A205D" w:rsidR="002A205D">
              <w:rPr>
                <w:rFonts w:ascii="Calibri" w:eastAsia="Times New Roman" w:hAnsi="Calibri" w:cs="Arial"/>
                <w:color w:val="000000"/>
                <w:sz w:val="20"/>
                <w:szCs w:val="20"/>
              </w:rPr>
              <w:t>MOTOR VEHICLE DRIVER ATTESTATION FOR CONTRACT PERSONNEL</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A17D2F6" w14:textId="2C9DF13E">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A205D">
              <w:rPr>
                <w:rFonts w:ascii="Calibri" w:eastAsia="Times New Roman" w:hAnsi="Calibri" w:cs="Arial"/>
                <w:color w:val="000000"/>
                <w:sz w:val="20"/>
                <w:szCs w:val="20"/>
              </w:rPr>
              <w:t>contractors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D61078" w14:paraId="2F05239A" w14:textId="35FC2836">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8E3D94">
              <w:rPr>
                <w:rFonts w:ascii="Calibri" w:eastAsia="Times New Roman" w:hAnsi="Calibri" w:cs="Arial"/>
                <w:color w:val="000000"/>
                <w:sz w:val="20"/>
                <w:szCs w:val="20"/>
              </w:rPr>
              <w:t>250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73338490" w14:textId="1B578EF0">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250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D61078" w14:paraId="1A717C4E" w14:textId="423CB376">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A205D">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0EBA76B5" w14:textId="04BE391E">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250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D61078" w14:paraId="2268C457" w14:textId="53EDA458">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A205D">
              <w:rPr>
                <w:rFonts w:ascii="Calibri" w:eastAsia="Times New Roman" w:hAnsi="Calibri" w:cs="Arial"/>
                <w:color w:val="000000"/>
                <w:sz w:val="20"/>
                <w:szCs w:val="20"/>
              </w:rPr>
              <w:t>1</w:t>
            </w:r>
          </w:p>
        </w:tc>
      </w:tr>
      <w:tr w14:paraId="4131416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4067F12" w14:textId="3F0BCE48">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250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584584E5" w14:textId="579F13FA">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250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7E08173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7705508" w14:textId="4091D5DD">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250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B7ACDA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19A731A3" w14:textId="77777777"/>
    <w:p w:rsidR="006F3C12" w:rsidP="006F3C12" w14:paraId="3E28018C" w14:textId="77777777">
      <w:pPr>
        <w:pStyle w:val="Heading2"/>
      </w:pPr>
      <w:bookmarkStart w:id="15"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D61078" w:rsidP="000B43BF" w14:paraId="007592F9" w14:textId="39940372">
      <w:pPr>
        <w:pStyle w:val="Default"/>
        <w:rPr>
          <w:b/>
          <w:bCs/>
          <w:sz w:val="22"/>
          <w:szCs w:val="22"/>
        </w:rPr>
      </w:pPr>
    </w:p>
    <w:p w:rsidR="00F341CD" w:rsidRPr="00D61078" w:rsidP="00F341CD" w14:paraId="1F87F0CB" w14:textId="225B2C52">
      <w:pPr>
        <w:pStyle w:val="Default"/>
        <w:rPr>
          <w:rFonts w:asciiTheme="minorHAnsi" w:hAnsiTheme="minorHAnsi" w:cstheme="minorHAnsi"/>
          <w:iCs/>
          <w:sz w:val="22"/>
          <w:szCs w:val="22"/>
        </w:rPr>
      </w:pPr>
      <w:r w:rsidRPr="00D61078">
        <w:rPr>
          <w:rFonts w:asciiTheme="minorHAnsi" w:hAnsiTheme="minorHAnsi" w:cstheme="minorHAnsi"/>
          <w:iCs/>
          <w:sz w:val="22"/>
          <w:szCs w:val="22"/>
        </w:rPr>
        <w:t>Annual cost to the public is estimated to be $</w:t>
      </w:r>
      <w:r w:rsidR="00AB10F6">
        <w:rPr>
          <w:rFonts w:asciiTheme="minorHAnsi" w:hAnsiTheme="minorHAnsi" w:cstheme="minorHAnsi"/>
          <w:iCs/>
          <w:sz w:val="22"/>
          <w:szCs w:val="22"/>
        </w:rPr>
        <w:t>17,</w:t>
      </w:r>
      <w:r w:rsidR="008C1019">
        <w:rPr>
          <w:rFonts w:asciiTheme="minorHAnsi" w:hAnsiTheme="minorHAnsi" w:cstheme="minorHAnsi"/>
          <w:iCs/>
          <w:sz w:val="22"/>
          <w:szCs w:val="22"/>
        </w:rPr>
        <w:t>380</w:t>
      </w:r>
      <w:r w:rsidRPr="00D61078">
        <w:rPr>
          <w:rFonts w:asciiTheme="minorHAnsi" w:hAnsiTheme="minorHAnsi" w:cstheme="minorHAnsi"/>
          <w:iCs/>
          <w:sz w:val="22"/>
          <w:szCs w:val="22"/>
        </w:rPr>
        <w:t xml:space="preserve"> based on an average of $</w:t>
      </w:r>
      <w:r w:rsidRPr="00D61078" w:rsidR="008E3D94">
        <w:rPr>
          <w:rFonts w:asciiTheme="minorHAnsi" w:hAnsiTheme="minorHAnsi" w:cstheme="minorHAnsi"/>
          <w:iCs/>
          <w:sz w:val="22"/>
          <w:szCs w:val="22"/>
        </w:rPr>
        <w:t>6</w:t>
      </w:r>
      <w:r w:rsidR="008C1019">
        <w:rPr>
          <w:rFonts w:asciiTheme="minorHAnsi" w:hAnsiTheme="minorHAnsi" w:cstheme="minorHAnsi"/>
          <w:iCs/>
          <w:sz w:val="22"/>
          <w:szCs w:val="22"/>
        </w:rPr>
        <w:t>9</w:t>
      </w:r>
      <w:r w:rsidRPr="00D61078" w:rsidR="008E3D94">
        <w:rPr>
          <w:rFonts w:asciiTheme="minorHAnsi" w:hAnsiTheme="minorHAnsi" w:cstheme="minorHAnsi"/>
          <w:iCs/>
          <w:sz w:val="22"/>
          <w:szCs w:val="22"/>
        </w:rPr>
        <w:t>.</w:t>
      </w:r>
      <w:r w:rsidR="008C1019">
        <w:rPr>
          <w:rFonts w:asciiTheme="minorHAnsi" w:hAnsiTheme="minorHAnsi" w:cstheme="minorHAnsi"/>
          <w:iCs/>
          <w:sz w:val="22"/>
          <w:szCs w:val="22"/>
        </w:rPr>
        <w:t>52</w:t>
      </w:r>
      <w:r w:rsidRPr="00D61078">
        <w:rPr>
          <w:rFonts w:asciiTheme="minorHAnsi" w:hAnsiTheme="minorHAnsi" w:cstheme="minorHAnsi"/>
          <w:iCs/>
          <w:sz w:val="22"/>
          <w:szCs w:val="22"/>
        </w:rPr>
        <w:t xml:space="preserve">/hour using BLS data </w:t>
      </w:r>
      <w:hyperlink r:id="rId14" w:history="1">
        <w:r w:rsidRPr="00AB10F6" w:rsidR="00AB10F6">
          <w:rPr>
            <w:rStyle w:val="Hyperlink"/>
            <w:rFonts w:cstheme="minorHAnsi"/>
            <w:iCs/>
            <w:sz w:val="22"/>
            <w:szCs w:val="22"/>
          </w:rPr>
          <w:t>Table 2. Civilian workers by occupational and industry group - 2024 Q0</w:t>
        </w:r>
        <w:r w:rsidR="008C1019">
          <w:rPr>
            <w:rStyle w:val="Hyperlink"/>
            <w:rFonts w:cstheme="minorHAnsi"/>
            <w:iCs/>
            <w:sz w:val="22"/>
            <w:szCs w:val="22"/>
          </w:rPr>
          <w:t>4</w:t>
        </w:r>
        <w:r w:rsidRPr="00AB10F6" w:rsidR="00AB10F6">
          <w:rPr>
            <w:rStyle w:val="Hyperlink"/>
            <w:rFonts w:cstheme="minorHAnsi"/>
            <w:iCs/>
            <w:sz w:val="22"/>
            <w:szCs w:val="22"/>
          </w:rPr>
          <w:t xml:space="preserve"> Results (bls.gov)</w:t>
        </w:r>
      </w:hyperlink>
      <w:r w:rsidRPr="00D61078">
        <w:rPr>
          <w:rFonts w:asciiTheme="minorHAnsi" w:hAnsiTheme="minorHAnsi" w:cstheme="minorHAnsi"/>
          <w:iCs/>
          <w:sz w:val="22"/>
          <w:szCs w:val="22"/>
        </w:rPr>
        <w:t xml:space="preserve">using </w:t>
      </w:r>
      <w:r w:rsidRPr="00D61078" w:rsidR="008E3D94">
        <w:rPr>
          <w:rFonts w:asciiTheme="minorHAnsi" w:hAnsiTheme="minorHAnsi" w:cstheme="minorHAnsi"/>
          <w:iCs/>
          <w:sz w:val="22"/>
          <w:szCs w:val="22"/>
        </w:rPr>
        <w:t xml:space="preserve">Professional and Related Management occupational group fully </w:t>
      </w:r>
      <w:r w:rsidR="00B56DC4">
        <w:rPr>
          <w:rFonts w:asciiTheme="minorHAnsi" w:hAnsiTheme="minorHAnsi" w:cstheme="minorHAnsi"/>
          <w:iCs/>
          <w:sz w:val="22"/>
          <w:szCs w:val="22"/>
        </w:rPr>
        <w:t>burdened</w:t>
      </w:r>
      <w:r w:rsidRPr="00D61078" w:rsidR="00B56DC4">
        <w:rPr>
          <w:rFonts w:asciiTheme="minorHAnsi" w:hAnsiTheme="minorHAnsi" w:cstheme="minorHAnsi"/>
          <w:iCs/>
          <w:sz w:val="22"/>
          <w:szCs w:val="22"/>
        </w:rPr>
        <w:t xml:space="preserve"> </w:t>
      </w:r>
      <w:r w:rsidRPr="00D61078">
        <w:rPr>
          <w:rFonts w:asciiTheme="minorHAnsi" w:hAnsiTheme="minorHAnsi" w:cstheme="minorHAnsi"/>
          <w:iCs/>
          <w:sz w:val="22"/>
          <w:szCs w:val="22"/>
        </w:rPr>
        <w:t xml:space="preserve">compensation and </w:t>
      </w:r>
      <w:r w:rsidRPr="00D61078" w:rsidR="008E3D94">
        <w:rPr>
          <w:rFonts w:asciiTheme="minorHAnsi" w:hAnsiTheme="minorHAnsi" w:cstheme="minorHAnsi"/>
          <w:iCs/>
          <w:sz w:val="22"/>
          <w:szCs w:val="22"/>
        </w:rPr>
        <w:t>250</w:t>
      </w:r>
      <w:r w:rsidR="004C69E8">
        <w:rPr>
          <w:rFonts w:asciiTheme="minorHAnsi" w:hAnsiTheme="minorHAnsi" w:cstheme="minorHAnsi"/>
          <w:iCs/>
          <w:sz w:val="22"/>
          <w:szCs w:val="22"/>
        </w:rPr>
        <w:t xml:space="preserve"> annual</w:t>
      </w:r>
      <w:r w:rsidRPr="00D61078">
        <w:rPr>
          <w:rFonts w:asciiTheme="minorHAnsi" w:hAnsiTheme="minorHAnsi" w:cstheme="minorHAnsi"/>
          <w:iCs/>
          <w:sz w:val="22"/>
          <w:szCs w:val="22"/>
        </w:rPr>
        <w:t xml:space="preserve"> burden hours for the responses.  Capital and startup costs do not apply to these questionnaires.</w:t>
      </w:r>
    </w:p>
    <w:p w:rsidR="006F3C12" w:rsidP="006F3C12" w14:paraId="109C76E0" w14:textId="77777777"/>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4C69E8" w14:paraId="621326AF" w14:textId="3683DCBE">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Contractors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D61078" w14:paraId="13BFF413" w14:textId="7BB82622">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250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D61078" w14:paraId="460330FA" w14:textId="315DAFE2">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w:t>
            </w:r>
            <w:r w:rsidR="008C1019">
              <w:rPr>
                <w:rFonts w:ascii="Calibri" w:eastAsia="Times New Roman" w:hAnsi="Calibri" w:cs="Arial"/>
                <w:color w:val="000000"/>
                <w:sz w:val="20"/>
                <w:szCs w:val="20"/>
              </w:rPr>
              <w:t>9.52</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4C69E8" w14:paraId="037AC9E1" w14:textId="69986E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AB10F6">
              <w:rPr>
                <w:rFonts w:ascii="Calibri" w:eastAsia="Times New Roman" w:hAnsi="Calibri" w:cs="Arial"/>
                <w:color w:val="000000"/>
                <w:sz w:val="20"/>
                <w:szCs w:val="20"/>
              </w:rPr>
              <w:t>17,</w:t>
            </w:r>
            <w:r w:rsidR="008C1019">
              <w:rPr>
                <w:rFonts w:ascii="Calibri" w:eastAsia="Times New Roman" w:hAnsi="Calibri" w:cs="Arial"/>
                <w:color w:val="000000"/>
                <w:sz w:val="20"/>
                <w:szCs w:val="20"/>
              </w:rPr>
              <w:t>380</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4C69E8"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4C69E8" w14:paraId="23607E7E" w14:textId="419214DB">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250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D61078" w14:paraId="47E1642A" w14:textId="387C347A">
            <w:pPr>
              <w:spacing w:after="0" w:line="240" w:lineRule="auto"/>
              <w:jc w:val="right"/>
              <w:rPr>
                <w:rFonts w:ascii="Calibri" w:eastAsia="Times New Roman" w:hAnsi="Calibri" w:cs="Arial"/>
                <w:b/>
                <w:bCs/>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4C69E8" w14:paraId="2CCC8889" w14:textId="40F4D5BF">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AB10F6">
              <w:rPr>
                <w:rFonts w:ascii="Calibri" w:eastAsia="Times New Roman" w:hAnsi="Calibri" w:cs="Arial"/>
                <w:b/>
                <w:bCs/>
                <w:color w:val="000000"/>
                <w:sz w:val="20"/>
                <w:szCs w:val="20"/>
              </w:rPr>
              <w:t>17,</w:t>
            </w:r>
            <w:r w:rsidR="008C1019">
              <w:rPr>
                <w:rFonts w:ascii="Calibri" w:eastAsia="Times New Roman" w:hAnsi="Calibri" w:cs="Arial"/>
                <w:b/>
                <w:bCs/>
                <w:color w:val="000000"/>
                <w:sz w:val="20"/>
                <w:szCs w:val="20"/>
              </w:rPr>
              <w:t>380</w:t>
            </w:r>
          </w:p>
        </w:tc>
      </w:tr>
    </w:tbl>
    <w:p w:rsidR="00F056C3" w:rsidP="00A41763" w14:paraId="0B174BFC" w14:textId="77777777">
      <w:pPr>
        <w:rPr>
          <w:b/>
          <w:bCs/>
        </w:rPr>
      </w:pPr>
    </w:p>
    <w:p w:rsidR="00F056C3" w:rsidP="00F056C3" w14:paraId="17CAAADC" w14:textId="77777777">
      <w:pPr>
        <w:pStyle w:val="Heading2"/>
      </w:pPr>
      <w:bookmarkStart w:id="16" w:name="_Toc16271332"/>
      <w:r>
        <w:t>A.</w:t>
      </w:r>
      <w:r w:rsidRPr="00A41763" w:rsidR="00A41763">
        <w:t xml:space="preserve">13. </w:t>
      </w:r>
      <w:r w:rsidR="006F3C12">
        <w:t xml:space="preserve">Other Estimated </w:t>
      </w:r>
      <w:r w:rsidRPr="00F056C3">
        <w:t xml:space="preserve">Annual Cost to </w:t>
      </w:r>
      <w:r w:rsidR="00FE2197">
        <w:t>Respondents</w:t>
      </w:r>
      <w:bookmarkEnd w:id="16"/>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F341CD" w:rsidRPr="002A14D5" w:rsidP="00F341CD" w14:paraId="7EDEABAB" w14:textId="77777777">
      <w:pPr>
        <w:rPr>
          <w:rFonts w:cstheme="minorHAnsi"/>
        </w:rPr>
      </w:pPr>
      <w:bookmarkStart w:id="17" w:name="_Toc16271333"/>
      <w:r w:rsidRPr="00C320F5">
        <w:rPr>
          <w:rFonts w:cstheme="minorHAnsi"/>
          <w:iCs/>
        </w:rPr>
        <w:t>Other than those described above, BPA does not anticipate any additional annual cost burden to respondents. There will be no ongoing operation or maintenance costs for respondents.</w:t>
      </w:r>
    </w:p>
    <w:p w:rsidR="00F056C3" w:rsidP="00F056C3" w14:paraId="249D505C" w14:textId="77777777">
      <w:pPr>
        <w:pStyle w:val="Heading2"/>
      </w:pPr>
      <w:r>
        <w:t>A.</w:t>
      </w:r>
      <w:r w:rsidRPr="00A41763" w:rsidR="00A41763">
        <w:t xml:space="preserve">14. </w:t>
      </w:r>
      <w:r w:rsidR="00FE2197">
        <w:t>Annual Cost to the Federal Government</w:t>
      </w:r>
      <w:bookmarkEnd w:id="17"/>
      <w:r w:rsidRPr="00F056C3">
        <w:t xml:space="preserve"> </w:t>
      </w:r>
    </w:p>
    <w:p w:rsidR="00A41763" w:rsidRPr="00A41763" w:rsidP="00A41763" w14:paraId="42208E52" w14:textId="77777777">
      <w:bookmarkStart w:id="18" w:name="_Hlk57385461"/>
      <w:r w:rsidRPr="00A41763">
        <w:rPr>
          <w:b/>
          <w:bCs/>
        </w:rPr>
        <w:t xml:space="preserve">Provide estimates of annualized cost to the Federal government. </w:t>
      </w:r>
    </w:p>
    <w:p w:rsidR="00F341CD" w:rsidP="00F341CD" w14:paraId="5A28FA23" w14:textId="377209EB">
      <w:bookmarkStart w:id="19" w:name="_Toc16271334"/>
      <w:bookmarkEnd w:id="18"/>
      <w:r w:rsidRPr="009D22B1">
        <w:rPr>
          <w:rFonts w:cstheme="minorHAnsi"/>
          <w:iCs/>
        </w:rPr>
        <w:t>The estimated</w:t>
      </w:r>
      <w:r w:rsidRPr="009D22B1" w:rsidR="00891B72">
        <w:rPr>
          <w:rFonts w:cstheme="minorHAnsi"/>
          <w:iCs/>
        </w:rPr>
        <w:t xml:space="preserve"> annual</w:t>
      </w:r>
      <w:r w:rsidRPr="009D22B1">
        <w:rPr>
          <w:rFonts w:cstheme="minorHAnsi"/>
          <w:iCs/>
        </w:rPr>
        <w:t xml:space="preserve"> budget for the Supplemental Labor Management Office that </w:t>
      </w:r>
      <w:r w:rsidRPr="009D22B1" w:rsidR="00CF77F8">
        <w:rPr>
          <w:rFonts w:cstheme="minorHAnsi"/>
          <w:iCs/>
        </w:rPr>
        <w:t>processes</w:t>
      </w:r>
      <w:r w:rsidRPr="009D22B1">
        <w:rPr>
          <w:rFonts w:cstheme="minorHAnsi"/>
          <w:iCs/>
        </w:rPr>
        <w:t xml:space="preserve"> this information collection is $</w:t>
      </w:r>
      <w:r w:rsidRPr="009D22B1" w:rsidR="00CB6D56">
        <w:rPr>
          <w:rFonts w:cstheme="minorHAnsi"/>
          <w:iCs/>
        </w:rPr>
        <w:t>3,</w:t>
      </w:r>
      <w:r w:rsidRPr="009D22B1" w:rsidR="00CF77F8">
        <w:rPr>
          <w:rFonts w:cstheme="minorHAnsi"/>
          <w:iCs/>
        </w:rPr>
        <w:t>469</w:t>
      </w:r>
      <w:r w:rsidRPr="009D22B1" w:rsidR="00CB6D56">
        <w:rPr>
          <w:rFonts w:cstheme="minorHAnsi"/>
          <w:iCs/>
        </w:rPr>
        <w:t>.</w:t>
      </w:r>
      <w:r w:rsidRPr="009D22B1" w:rsidR="00CF77F8">
        <w:rPr>
          <w:rFonts w:cstheme="minorHAnsi"/>
          <w:iCs/>
        </w:rPr>
        <w:t>44</w:t>
      </w:r>
      <w:r w:rsidRPr="009D22B1">
        <w:rPr>
          <w:rFonts w:cstheme="minorHAnsi"/>
          <w:iCs/>
        </w:rPr>
        <w:t xml:space="preserve"> annually</w:t>
      </w:r>
      <w:r w:rsidRPr="009D22B1" w:rsidR="00891B72">
        <w:rPr>
          <w:rFonts w:eastAsiaTheme="minorEastAsia" w:cstheme="minorHAnsi"/>
        </w:rPr>
        <w:t xml:space="preserve">. </w:t>
      </w:r>
      <w:r w:rsidRPr="009D22B1" w:rsidR="00CB6D56">
        <w:rPr>
          <w:rFonts w:eastAsiaTheme="minorEastAsia" w:cstheme="minorHAnsi"/>
        </w:rPr>
        <w:t xml:space="preserve">This includes estimated federal burden for BPA personnel processing the completed forms, which is based on the total number of hours it would take to complete review and verification of information. </w:t>
      </w:r>
      <w:r w:rsidRPr="009D22B1" w:rsidR="00CB6D56">
        <w:rPr>
          <w:rFonts w:cstheme="minorHAnsi"/>
        </w:rPr>
        <w:t>The estimate for a fully burdened, General Schedule (GS) 12 full time equivalent (FTE) with locality pay is approximately $5</w:t>
      </w:r>
      <w:r w:rsidRPr="009D22B1" w:rsidR="00BF46B5">
        <w:rPr>
          <w:rFonts w:cstheme="minorHAnsi"/>
        </w:rPr>
        <w:t>2</w:t>
      </w:r>
      <w:r w:rsidRPr="009D22B1" w:rsidR="00CB6D56">
        <w:rPr>
          <w:rFonts w:cstheme="minorHAnsi"/>
        </w:rPr>
        <w:t>.0</w:t>
      </w:r>
      <w:r w:rsidRPr="009D22B1" w:rsidR="00BF46B5">
        <w:rPr>
          <w:rFonts w:cstheme="minorHAnsi"/>
        </w:rPr>
        <w:t>3</w:t>
      </w:r>
      <w:r w:rsidRPr="009D22B1" w:rsidR="00CB6D56">
        <w:rPr>
          <w:rFonts w:cstheme="minorHAnsi"/>
        </w:rPr>
        <w:t>/hour multiplied by 1.6 to establish a fully burdened rate of $8</w:t>
      </w:r>
      <w:r w:rsidRPr="009D22B1" w:rsidR="00BF46B5">
        <w:rPr>
          <w:rFonts w:cstheme="minorHAnsi"/>
        </w:rPr>
        <w:t>3</w:t>
      </w:r>
      <w:r w:rsidRPr="009D22B1" w:rsidR="00CB6D56">
        <w:rPr>
          <w:rFonts w:cstheme="minorHAnsi"/>
        </w:rPr>
        <w:t>.2</w:t>
      </w:r>
      <w:r w:rsidRPr="009D22B1" w:rsidR="00BF46B5">
        <w:rPr>
          <w:rFonts w:cstheme="minorHAnsi"/>
        </w:rPr>
        <w:t>5</w:t>
      </w:r>
      <w:r w:rsidRPr="009D22B1" w:rsidR="00CB6D56">
        <w:rPr>
          <w:rFonts w:cstheme="minorHAnsi"/>
        </w:rPr>
        <w:t xml:space="preserve"> (based on the OPM salary tables for 202</w:t>
      </w:r>
      <w:r w:rsidRPr="009D22B1" w:rsidR="00BF46B5">
        <w:rPr>
          <w:rFonts w:cstheme="minorHAnsi"/>
        </w:rPr>
        <w:t>5</w:t>
      </w:r>
      <w:r w:rsidRPr="009D22B1" w:rsidR="00CB6D56">
        <w:rPr>
          <w:rFonts w:cstheme="minorHAnsi"/>
        </w:rPr>
        <w:t xml:space="preserve"> </w:t>
      </w:r>
      <w:hyperlink r:id="rId15" w:history="1">
        <w:r w:rsidRPr="009D22B1" w:rsidR="00BF46B5">
          <w:rPr>
            <w:rStyle w:val="Hyperlink"/>
            <w:rFonts w:cstheme="minorHAnsi"/>
          </w:rPr>
          <w:t>Pay &amp; Leave : Salaries &amp; Wages - OPM.gov</w:t>
        </w:r>
        <w:r w:rsidRPr="009D22B1" w:rsidR="00CB6D56">
          <w:rPr>
            <w:rStyle w:val="Hyperlink"/>
            <w:rFonts w:cstheme="minorHAnsi"/>
          </w:rPr>
          <w:t>)</w:t>
        </w:r>
      </w:hyperlink>
      <w:r w:rsidRPr="009D22B1" w:rsidR="00CB6D56">
        <w:rPr>
          <w:rFonts w:cstheme="minorHAnsi"/>
        </w:rPr>
        <w:t xml:space="preserve">. </w:t>
      </w:r>
      <w:r w:rsidRPr="009D22B1">
        <w:t xml:space="preserve"> BPA approximates 1</w:t>
      </w:r>
      <w:r w:rsidRPr="009D22B1" w:rsidR="00CB6D56">
        <w:t>0</w:t>
      </w:r>
      <w:r w:rsidRPr="009D22B1">
        <w:t xml:space="preserve"> </w:t>
      </w:r>
      <w:r w:rsidRPr="009D22B1" w:rsidR="00CB6D56">
        <w:t>minutes</w:t>
      </w:r>
      <w:r w:rsidRPr="009D22B1">
        <w:t xml:space="preserve"> </w:t>
      </w:r>
      <w:r w:rsidRPr="009D22B1" w:rsidR="00891B72">
        <w:t xml:space="preserve">(0.1667 hours) </w:t>
      </w:r>
      <w:r w:rsidRPr="009D22B1">
        <w:t>to review each form</w:t>
      </w:r>
      <w:r w:rsidRPr="009D22B1" w:rsidR="00891B72">
        <w:t xml:space="preserve">. With an </w:t>
      </w:r>
      <w:r w:rsidRPr="009D22B1" w:rsidR="00BF46B5">
        <w:t>anticipated 250</w:t>
      </w:r>
      <w:r w:rsidRPr="009D22B1" w:rsidR="00CB6D56">
        <w:t xml:space="preserve"> </w:t>
      </w:r>
      <w:r w:rsidRPr="009D22B1">
        <w:t>forms submitted annually</w:t>
      </w:r>
      <w:r w:rsidRPr="009D22B1" w:rsidR="00891B72">
        <w:t>, this amounts to 41</w:t>
      </w:r>
      <w:r w:rsidRPr="009D22B1" w:rsidR="00B56DC4">
        <w:t>.</w:t>
      </w:r>
      <w:r w:rsidRPr="009D22B1" w:rsidR="00891B72">
        <w:t>675 burden hours, resulting in a total annualized cost of $3,</w:t>
      </w:r>
      <w:r w:rsidRPr="009D22B1" w:rsidR="00CF77F8">
        <w:t>469</w:t>
      </w:r>
      <w:r w:rsidRPr="009D22B1" w:rsidR="003B172E">
        <w:t>.</w:t>
      </w:r>
      <w:r w:rsidRPr="009D22B1" w:rsidR="00CF77F8">
        <w:t>44</w:t>
      </w:r>
    </w:p>
    <w:p w:rsidR="006D42EC" w:rsidP="006D42EC" w14:paraId="163CD763" w14:textId="77777777">
      <w:pPr>
        <w:pStyle w:val="Heading2"/>
      </w:pPr>
      <w:r>
        <w:t>A.</w:t>
      </w:r>
      <w:r w:rsidRPr="00A41763" w:rsidR="00A41763">
        <w:t xml:space="preserve">15. </w:t>
      </w:r>
      <w:r>
        <w:t>Reasons for Changes in Burden</w:t>
      </w:r>
      <w:bookmarkEnd w:id="19"/>
    </w:p>
    <w:p w:rsidR="00A41763" w:rsidRPr="00A41763" w:rsidP="00A41763" w14:paraId="371F9FF2" w14:textId="77777777">
      <w:bookmarkStart w:id="20" w:name="_Hlk57385469"/>
      <w:r w:rsidRPr="00A41763">
        <w:rPr>
          <w:b/>
          <w:bCs/>
        </w:rPr>
        <w:t xml:space="preserve">Explain the reasons for any program changes or adjustments reported in Items 13 (or 14) of OMB Form 83-I. </w:t>
      </w:r>
    </w:p>
    <w:bookmarkEnd w:id="20"/>
    <w:p w:rsidR="00D854D8" w:rsidRPr="00A41763" w:rsidP="00A41763" w14:paraId="43B7366A" w14:textId="55659187">
      <w:r w:rsidRPr="004560C3">
        <w:t>This is a new collection, therefore there are no changes or adjustments reported.</w:t>
      </w:r>
    </w:p>
    <w:p w:rsidR="00F056C3" w:rsidP="00F056C3" w14:paraId="66AF5147" w14:textId="77777777">
      <w:pPr>
        <w:pStyle w:val="Heading2"/>
      </w:pPr>
      <w:bookmarkStart w:id="21" w:name="_Toc16271335"/>
      <w:r>
        <w:t>A.</w:t>
      </w:r>
      <w:r w:rsidRPr="00A41763" w:rsidR="00A41763">
        <w:t xml:space="preserve">16. </w:t>
      </w:r>
      <w:r w:rsidRPr="00F056C3">
        <w:t>Collection, Tabulation, and Publication Plans</w:t>
      </w:r>
      <w:bookmarkEnd w:id="21"/>
      <w:r w:rsidRPr="00F056C3">
        <w:t xml:space="preserve"> </w:t>
      </w:r>
    </w:p>
    <w:p w:rsidR="00A41763" w:rsidRPr="00A41763" w:rsidP="00A41763" w14:paraId="6ECE09A6" w14:textId="77777777">
      <w:bookmarkStart w:id="22" w:name="_Hlk57385487"/>
      <w:r w:rsidRPr="00A41763">
        <w:rPr>
          <w:b/>
          <w:bCs/>
        </w:rPr>
        <w:t xml:space="preserve">For collections whose results will be published, outline the plans for tabulation and publication. </w:t>
      </w:r>
    </w:p>
    <w:bookmarkEnd w:id="22"/>
    <w:p w:rsidR="00F056C3" w:rsidRPr="004560C3" w:rsidP="00A41763" w14:paraId="6A789ECD" w14:textId="72B0856E">
      <w:pPr>
        <w:rPr>
          <w:rFonts w:cstheme="minorHAnsi"/>
          <w:i/>
        </w:rPr>
      </w:pPr>
      <w:r w:rsidRPr="00302BB6">
        <w:rPr>
          <w:rFonts w:cstheme="minorHAnsi"/>
        </w:rPr>
        <w:t>This information collection will not be published.</w:t>
      </w:r>
    </w:p>
    <w:p w:rsidR="00F056C3" w:rsidP="00F056C3" w14:paraId="307114C9" w14:textId="77777777">
      <w:pPr>
        <w:pStyle w:val="Heading2"/>
      </w:pPr>
      <w:bookmarkStart w:id="23" w:name="_Toc16271336"/>
      <w:r>
        <w:t>A.</w:t>
      </w:r>
      <w:r w:rsidRPr="00A41763" w:rsidR="00A41763">
        <w:t xml:space="preserve">17. </w:t>
      </w:r>
      <w:r w:rsidRPr="00F056C3">
        <w:t>OMB Number and Expiration Date</w:t>
      </w:r>
      <w:bookmarkEnd w:id="23"/>
      <w:r w:rsidRPr="00F056C3">
        <w:t xml:space="preserve"> </w:t>
      </w:r>
    </w:p>
    <w:p w:rsidR="00A41763" w:rsidRPr="00A41763" w:rsidP="00A41763" w14:paraId="7D373596" w14:textId="77777777">
      <w:bookmarkStart w:id="24" w:name="_Hlk57385506"/>
      <w:r w:rsidRPr="00A41763">
        <w:rPr>
          <w:b/>
          <w:bCs/>
        </w:rPr>
        <w:t xml:space="preserve">If seeking approval to not display the expiration date for OMB approval of the information collection, explain the reasons why display would be inappropriate. </w:t>
      </w:r>
    </w:p>
    <w:bookmarkEnd w:id="24"/>
    <w:p w:rsidR="00F056C3" w:rsidRPr="004560C3" w:rsidP="00A41763" w14:paraId="5997A24A" w14:textId="5344477F">
      <w:pPr>
        <w:rPr>
          <w:b/>
          <w:bCs/>
        </w:rPr>
      </w:pPr>
      <w:r w:rsidRPr="004560C3">
        <w:t>BPA will display the OMB Control Number and expiration date on all collection vehicles.</w:t>
      </w:r>
    </w:p>
    <w:p w:rsidR="00F056C3" w:rsidP="00F056C3" w14:paraId="2939C81A" w14:textId="77777777">
      <w:pPr>
        <w:pStyle w:val="Heading2"/>
      </w:pPr>
      <w:bookmarkStart w:id="25" w:name="_Toc16271337"/>
      <w:r>
        <w:t>A.</w:t>
      </w:r>
      <w:r w:rsidRPr="00A41763" w:rsidR="00A41763">
        <w:t xml:space="preserve">18. </w:t>
      </w:r>
      <w:r w:rsidRPr="00F056C3">
        <w:t>Certification Statement</w:t>
      </w:r>
      <w:bookmarkEnd w:id="25"/>
      <w:r w:rsidRPr="00F056C3">
        <w:t xml:space="preserve"> </w:t>
      </w:r>
    </w:p>
    <w:p w:rsidR="00A41763" w:rsidRPr="00A41763" w:rsidP="00A41763" w14:paraId="28BE5168" w14:textId="77777777">
      <w:bookmarkStart w:id="26" w:name="_Hlk57385515"/>
      <w:r w:rsidRPr="00A41763">
        <w:rPr>
          <w:b/>
          <w:bCs/>
        </w:rPr>
        <w:t xml:space="preserve">Explain each exception to the certification statement identified in Item 19 of OMB Form 83-I. </w:t>
      </w:r>
    </w:p>
    <w:bookmarkEnd w:id="26"/>
    <w:p w:rsidR="004560C3" w:rsidRPr="00302BB6" w:rsidP="004560C3" w14:paraId="0DEAF04A" w14:textId="77777777">
      <w:pPr>
        <w:widowControl w:val="0"/>
        <w:kinsoku w:val="0"/>
        <w:overflowPunct w:val="0"/>
        <w:spacing w:line="277" w:lineRule="exact"/>
        <w:textAlignment w:val="baseline"/>
        <w:rPr>
          <w:rFonts w:cstheme="minorHAnsi"/>
          <w:b/>
          <w:u w:val="single"/>
        </w:rPr>
      </w:pPr>
      <w:r w:rsidRPr="00302BB6">
        <w:rPr>
          <w:rFonts w:eastAsiaTheme="minorEastAsia" w:cstheme="minorHAnsi"/>
          <w:spacing w:val="1"/>
        </w:rPr>
        <w:t>There are no exceptions to the certification statement.</w:t>
      </w:r>
    </w:p>
    <w:p w:rsidR="00A41763" w:rsidRPr="00A41763" w:rsidP="004560C3" w14:paraId="2845D2F5" w14:textId="3CFE96C6"/>
    <w:sectPr w:rsidSect="00933D5D">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246E7488">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DE4F8B">
          <w:t>Supporting Statement for Supplemental Labor Management Office (SLMO) Driver Attestation</w:t>
        </w:r>
      </w:sdtContent>
    </w:sdt>
    <w:r>
      <w:t xml:space="preserve"> </w:t>
    </w:r>
    <w:r>
      <w:tab/>
      <w:t xml:space="preserve"> </w:t>
    </w:r>
    <w:r>
      <w:fldChar w:fldCharType="begin"/>
    </w:r>
    <w:r>
      <w:instrText xml:space="preserve"> PAGE   \* MERGEFORMAT </w:instrText>
    </w:r>
    <w:r>
      <w:fldChar w:fldCharType="separate"/>
    </w:r>
    <w:r w:rsidR="007F16A5">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3301B362">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DE4F8B">
          <w:t>Supporting Statement for Supplemental Labor Management Office (SLMO) Driver Attestation</w:t>
        </w:r>
      </w:sdtContent>
    </w:sdt>
    <w:r>
      <w:t xml:space="preserve"> </w:t>
    </w:r>
    <w:r>
      <w:tab/>
      <w:t xml:space="preserve"> </w:t>
    </w:r>
    <w:r>
      <w:fldChar w:fldCharType="begin"/>
    </w:r>
    <w:r>
      <w:instrText xml:space="preserve"> PAGE   \* MERGEFORMAT </w:instrText>
    </w:r>
    <w:r>
      <w:fldChar w:fldCharType="separate"/>
    </w:r>
    <w:r w:rsidR="007F16A5">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1FBE14C6"/>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303197522">
    <w:abstractNumId w:val="10"/>
  </w:num>
  <w:num w:numId="2" w16cid:durableId="791367947">
    <w:abstractNumId w:val="9"/>
  </w:num>
  <w:num w:numId="3" w16cid:durableId="1029068891">
    <w:abstractNumId w:val="7"/>
  </w:num>
  <w:num w:numId="4" w16cid:durableId="1741706324">
    <w:abstractNumId w:val="6"/>
  </w:num>
  <w:num w:numId="5" w16cid:durableId="302077772">
    <w:abstractNumId w:val="5"/>
  </w:num>
  <w:num w:numId="6" w16cid:durableId="1628707501">
    <w:abstractNumId w:val="4"/>
  </w:num>
  <w:num w:numId="7" w16cid:durableId="1330059068">
    <w:abstractNumId w:val="8"/>
  </w:num>
  <w:num w:numId="8" w16cid:durableId="1582526529">
    <w:abstractNumId w:val="3"/>
  </w:num>
  <w:num w:numId="9" w16cid:durableId="894240535">
    <w:abstractNumId w:val="2"/>
  </w:num>
  <w:num w:numId="10" w16cid:durableId="107284771">
    <w:abstractNumId w:val="1"/>
  </w:num>
  <w:num w:numId="11" w16cid:durableId="1013411381">
    <w:abstractNumId w:val="0"/>
  </w:num>
  <w:num w:numId="12" w16cid:durableId="392050504">
    <w:abstractNumId w:val="16"/>
  </w:num>
  <w:num w:numId="13" w16cid:durableId="896551819">
    <w:abstractNumId w:val="12"/>
  </w:num>
  <w:num w:numId="14" w16cid:durableId="1415935884">
    <w:abstractNumId w:val="13"/>
  </w:num>
  <w:num w:numId="15" w16cid:durableId="907958545">
    <w:abstractNumId w:val="15"/>
  </w:num>
  <w:num w:numId="16" w16cid:durableId="1507550788">
    <w:abstractNumId w:val="10"/>
  </w:num>
  <w:num w:numId="17" w16cid:durableId="1832020209">
    <w:abstractNumId w:val="10"/>
  </w:num>
  <w:num w:numId="18" w16cid:durableId="1417825543">
    <w:abstractNumId w:val="14"/>
  </w:num>
  <w:num w:numId="19" w16cid:durableId="48274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56472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787653234">
    <w:abstractNumId w:val="10"/>
  </w:num>
  <w:num w:numId="22" w16cid:durableId="71660287">
    <w:abstractNumId w:val="10"/>
  </w:num>
  <w:num w:numId="23" w16cid:durableId="1637292497">
    <w:abstractNumId w:val="10"/>
  </w:num>
  <w:num w:numId="24" w16cid:durableId="807864235">
    <w:abstractNumId w:val="10"/>
  </w:num>
  <w:num w:numId="25" w16cid:durableId="2041470504">
    <w:abstractNumId w:val="10"/>
  </w:num>
  <w:num w:numId="26" w16cid:durableId="332344878">
    <w:abstractNumId w:val="17"/>
  </w:num>
  <w:num w:numId="27" w16cid:durableId="1524368946">
    <w:abstractNumId w:val="10"/>
  </w:num>
  <w:num w:numId="28" w16cid:durableId="1592854802">
    <w:abstractNumId w:val="17"/>
  </w:num>
  <w:num w:numId="29" w16cid:durableId="1959141293">
    <w:abstractNumId w:val="17"/>
  </w:num>
  <w:num w:numId="30" w16cid:durableId="459304708">
    <w:abstractNumId w:val="17"/>
  </w:num>
  <w:num w:numId="31" w16cid:durableId="1028721511">
    <w:abstractNumId w:val="10"/>
  </w:num>
  <w:num w:numId="32" w16cid:durableId="2362155">
    <w:abstractNumId w:val="10"/>
  </w:num>
  <w:num w:numId="33" w16cid:durableId="235435597">
    <w:abstractNumId w:val="10"/>
  </w:num>
  <w:num w:numId="34" w16cid:durableId="1949846723">
    <w:abstractNumId w:val="9"/>
  </w:num>
  <w:num w:numId="35" w16cid:durableId="1777360582">
    <w:abstractNumId w:val="7"/>
  </w:num>
  <w:num w:numId="36" w16cid:durableId="1192498345">
    <w:abstractNumId w:val="6"/>
  </w:num>
  <w:num w:numId="37" w16cid:durableId="1095057919">
    <w:abstractNumId w:val="5"/>
  </w:num>
  <w:num w:numId="38" w16cid:durableId="1335454330">
    <w:abstractNumId w:val="12"/>
  </w:num>
  <w:num w:numId="39" w16cid:durableId="124856443">
    <w:abstractNumId w:val="17"/>
  </w:num>
  <w:num w:numId="40" w16cid:durableId="438643977">
    <w:abstractNumId w:val="17"/>
  </w:num>
  <w:num w:numId="41" w16cid:durableId="481583236">
    <w:abstractNumId w:val="17"/>
  </w:num>
  <w:num w:numId="42" w16cid:durableId="482088864">
    <w:abstractNumId w:val="12"/>
  </w:num>
  <w:num w:numId="43" w16cid:durableId="1455834452">
    <w:abstractNumId w:val="12"/>
  </w:num>
  <w:num w:numId="44" w16cid:durableId="1769035473">
    <w:abstractNumId w:val="12"/>
  </w:num>
  <w:num w:numId="45" w16cid:durableId="733699005">
    <w:abstractNumId w:val="12"/>
  </w:num>
  <w:num w:numId="46" w16cid:durableId="232854491">
    <w:abstractNumId w:val="11"/>
  </w:num>
  <w:num w:numId="47" w16cid:durableId="64301564">
    <w:abstractNumId w:val="18"/>
  </w:num>
  <w:num w:numId="48" w16cid:durableId="805970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401F"/>
    <w:rsid w:val="000548DC"/>
    <w:rsid w:val="00055769"/>
    <w:rsid w:val="00056EC3"/>
    <w:rsid w:val="00062CFE"/>
    <w:rsid w:val="0007129A"/>
    <w:rsid w:val="000831C4"/>
    <w:rsid w:val="000844CA"/>
    <w:rsid w:val="000A6F86"/>
    <w:rsid w:val="000B3FBE"/>
    <w:rsid w:val="000B43BF"/>
    <w:rsid w:val="000C28E1"/>
    <w:rsid w:val="000C5311"/>
    <w:rsid w:val="000D3237"/>
    <w:rsid w:val="000D4C95"/>
    <w:rsid w:val="000F040A"/>
    <w:rsid w:val="000F7623"/>
    <w:rsid w:val="001034E8"/>
    <w:rsid w:val="00110C0B"/>
    <w:rsid w:val="00112A69"/>
    <w:rsid w:val="0011541D"/>
    <w:rsid w:val="00132F4A"/>
    <w:rsid w:val="00144760"/>
    <w:rsid w:val="00154192"/>
    <w:rsid w:val="00160BC8"/>
    <w:rsid w:val="00167425"/>
    <w:rsid w:val="001807A3"/>
    <w:rsid w:val="001947D5"/>
    <w:rsid w:val="001A6E1E"/>
    <w:rsid w:val="001A6E9A"/>
    <w:rsid w:val="001B0E69"/>
    <w:rsid w:val="001B6585"/>
    <w:rsid w:val="001D03A8"/>
    <w:rsid w:val="001D546B"/>
    <w:rsid w:val="001E269F"/>
    <w:rsid w:val="001E2BB6"/>
    <w:rsid w:val="001F3A8F"/>
    <w:rsid w:val="001F5890"/>
    <w:rsid w:val="002008B4"/>
    <w:rsid w:val="00201F24"/>
    <w:rsid w:val="002127CE"/>
    <w:rsid w:val="00215842"/>
    <w:rsid w:val="002207DF"/>
    <w:rsid w:val="00221AC2"/>
    <w:rsid w:val="00227E4B"/>
    <w:rsid w:val="0023015A"/>
    <w:rsid w:val="002359B7"/>
    <w:rsid w:val="0023708A"/>
    <w:rsid w:val="002447B0"/>
    <w:rsid w:val="0025022D"/>
    <w:rsid w:val="002530BB"/>
    <w:rsid w:val="002556F3"/>
    <w:rsid w:val="00260EDF"/>
    <w:rsid w:val="00264148"/>
    <w:rsid w:val="002722D9"/>
    <w:rsid w:val="00274179"/>
    <w:rsid w:val="00292F4A"/>
    <w:rsid w:val="002A14D5"/>
    <w:rsid w:val="002A205D"/>
    <w:rsid w:val="002B0FD2"/>
    <w:rsid w:val="002C378C"/>
    <w:rsid w:val="002E3FD5"/>
    <w:rsid w:val="002E4FAD"/>
    <w:rsid w:val="002E7A38"/>
    <w:rsid w:val="00302BB6"/>
    <w:rsid w:val="00306516"/>
    <w:rsid w:val="00313B13"/>
    <w:rsid w:val="0032788B"/>
    <w:rsid w:val="0034144A"/>
    <w:rsid w:val="003469CB"/>
    <w:rsid w:val="00350627"/>
    <w:rsid w:val="00350C8B"/>
    <w:rsid w:val="00351313"/>
    <w:rsid w:val="00351A73"/>
    <w:rsid w:val="00363331"/>
    <w:rsid w:val="00371E14"/>
    <w:rsid w:val="00373208"/>
    <w:rsid w:val="003757C8"/>
    <w:rsid w:val="00383DB3"/>
    <w:rsid w:val="003854B2"/>
    <w:rsid w:val="00385AE6"/>
    <w:rsid w:val="00387C8D"/>
    <w:rsid w:val="00387E00"/>
    <w:rsid w:val="00392DD0"/>
    <w:rsid w:val="00393EA7"/>
    <w:rsid w:val="00396BCB"/>
    <w:rsid w:val="00397825"/>
    <w:rsid w:val="00397C48"/>
    <w:rsid w:val="003A1073"/>
    <w:rsid w:val="003A10F3"/>
    <w:rsid w:val="003A3906"/>
    <w:rsid w:val="003B03A4"/>
    <w:rsid w:val="003B172E"/>
    <w:rsid w:val="003B2AD5"/>
    <w:rsid w:val="003C03EA"/>
    <w:rsid w:val="003C5251"/>
    <w:rsid w:val="003C690C"/>
    <w:rsid w:val="003D3ECD"/>
    <w:rsid w:val="003E40FA"/>
    <w:rsid w:val="003F24ED"/>
    <w:rsid w:val="003F48A8"/>
    <w:rsid w:val="003F49D5"/>
    <w:rsid w:val="003F529E"/>
    <w:rsid w:val="00407CCE"/>
    <w:rsid w:val="00426481"/>
    <w:rsid w:val="00432966"/>
    <w:rsid w:val="0045608E"/>
    <w:rsid w:val="004560C3"/>
    <w:rsid w:val="0045662F"/>
    <w:rsid w:val="00466959"/>
    <w:rsid w:val="0047784B"/>
    <w:rsid w:val="004946F0"/>
    <w:rsid w:val="00497C2A"/>
    <w:rsid w:val="004B1075"/>
    <w:rsid w:val="004C277B"/>
    <w:rsid w:val="004C69E8"/>
    <w:rsid w:val="004C7170"/>
    <w:rsid w:val="004D05FB"/>
    <w:rsid w:val="004D29C7"/>
    <w:rsid w:val="00504119"/>
    <w:rsid w:val="005065CF"/>
    <w:rsid w:val="00506BB4"/>
    <w:rsid w:val="0050705F"/>
    <w:rsid w:val="005118C3"/>
    <w:rsid w:val="005170D3"/>
    <w:rsid w:val="0052493A"/>
    <w:rsid w:val="0052540F"/>
    <w:rsid w:val="00526AA2"/>
    <w:rsid w:val="0052783E"/>
    <w:rsid w:val="00535CAF"/>
    <w:rsid w:val="00536054"/>
    <w:rsid w:val="0053654B"/>
    <w:rsid w:val="00536CE1"/>
    <w:rsid w:val="00537A91"/>
    <w:rsid w:val="0054180D"/>
    <w:rsid w:val="00545C0F"/>
    <w:rsid w:val="00547B53"/>
    <w:rsid w:val="005515CD"/>
    <w:rsid w:val="00560DED"/>
    <w:rsid w:val="00571D8F"/>
    <w:rsid w:val="0057367D"/>
    <w:rsid w:val="00584318"/>
    <w:rsid w:val="00585BE3"/>
    <w:rsid w:val="0059212D"/>
    <w:rsid w:val="0059580A"/>
    <w:rsid w:val="005A0C55"/>
    <w:rsid w:val="005A115C"/>
    <w:rsid w:val="005B2B58"/>
    <w:rsid w:val="005C00FA"/>
    <w:rsid w:val="005C2D89"/>
    <w:rsid w:val="005C485B"/>
    <w:rsid w:val="005D39D7"/>
    <w:rsid w:val="005D4A5F"/>
    <w:rsid w:val="005D5956"/>
    <w:rsid w:val="005D6F63"/>
    <w:rsid w:val="005F4848"/>
    <w:rsid w:val="00616E46"/>
    <w:rsid w:val="0062008C"/>
    <w:rsid w:val="00620797"/>
    <w:rsid w:val="00625769"/>
    <w:rsid w:val="00626494"/>
    <w:rsid w:val="006345DD"/>
    <w:rsid w:val="00641DE2"/>
    <w:rsid w:val="00643384"/>
    <w:rsid w:val="00647413"/>
    <w:rsid w:val="0065406F"/>
    <w:rsid w:val="00663EC4"/>
    <w:rsid w:val="0066664D"/>
    <w:rsid w:val="00671E16"/>
    <w:rsid w:val="00677C5F"/>
    <w:rsid w:val="0069347F"/>
    <w:rsid w:val="006A0BC7"/>
    <w:rsid w:val="006C0062"/>
    <w:rsid w:val="006C097E"/>
    <w:rsid w:val="006C2DC3"/>
    <w:rsid w:val="006C5D17"/>
    <w:rsid w:val="006D0439"/>
    <w:rsid w:val="006D42EC"/>
    <w:rsid w:val="006D48F6"/>
    <w:rsid w:val="006F3C12"/>
    <w:rsid w:val="00704B7D"/>
    <w:rsid w:val="00711414"/>
    <w:rsid w:val="00714478"/>
    <w:rsid w:val="007252CE"/>
    <w:rsid w:val="00725453"/>
    <w:rsid w:val="00730DA0"/>
    <w:rsid w:val="00737591"/>
    <w:rsid w:val="007438F2"/>
    <w:rsid w:val="00755C3D"/>
    <w:rsid w:val="007576EF"/>
    <w:rsid w:val="00760677"/>
    <w:rsid w:val="00761C12"/>
    <w:rsid w:val="007658BA"/>
    <w:rsid w:val="00776CF4"/>
    <w:rsid w:val="00777E63"/>
    <w:rsid w:val="00784F89"/>
    <w:rsid w:val="00786336"/>
    <w:rsid w:val="0079024D"/>
    <w:rsid w:val="007951D6"/>
    <w:rsid w:val="00797D78"/>
    <w:rsid w:val="007A0E7F"/>
    <w:rsid w:val="007A4378"/>
    <w:rsid w:val="007C5CE9"/>
    <w:rsid w:val="007D39CC"/>
    <w:rsid w:val="007D6AAF"/>
    <w:rsid w:val="007E15EC"/>
    <w:rsid w:val="007E29F8"/>
    <w:rsid w:val="007E580A"/>
    <w:rsid w:val="007E5A11"/>
    <w:rsid w:val="007E73E6"/>
    <w:rsid w:val="007F16A5"/>
    <w:rsid w:val="007F1954"/>
    <w:rsid w:val="007F21D7"/>
    <w:rsid w:val="00802149"/>
    <w:rsid w:val="008057F8"/>
    <w:rsid w:val="00811910"/>
    <w:rsid w:val="00812C91"/>
    <w:rsid w:val="008213F9"/>
    <w:rsid w:val="008307E1"/>
    <w:rsid w:val="00836D62"/>
    <w:rsid w:val="00844524"/>
    <w:rsid w:val="008645A9"/>
    <w:rsid w:val="00867160"/>
    <w:rsid w:val="0087205B"/>
    <w:rsid w:val="00874FB8"/>
    <w:rsid w:val="00891B72"/>
    <w:rsid w:val="00895669"/>
    <w:rsid w:val="00897946"/>
    <w:rsid w:val="008A3276"/>
    <w:rsid w:val="008A3447"/>
    <w:rsid w:val="008A7E5F"/>
    <w:rsid w:val="008B722D"/>
    <w:rsid w:val="008C1019"/>
    <w:rsid w:val="008C6F26"/>
    <w:rsid w:val="008C734C"/>
    <w:rsid w:val="008E3D94"/>
    <w:rsid w:val="008E4BF2"/>
    <w:rsid w:val="008F16EC"/>
    <w:rsid w:val="008F4CBD"/>
    <w:rsid w:val="008F7DF6"/>
    <w:rsid w:val="009017AD"/>
    <w:rsid w:val="00901BED"/>
    <w:rsid w:val="00905735"/>
    <w:rsid w:val="009131B9"/>
    <w:rsid w:val="0091409C"/>
    <w:rsid w:val="00914C13"/>
    <w:rsid w:val="00930EE2"/>
    <w:rsid w:val="00933D5D"/>
    <w:rsid w:val="00935805"/>
    <w:rsid w:val="009368F3"/>
    <w:rsid w:val="00936BF8"/>
    <w:rsid w:val="00947C42"/>
    <w:rsid w:val="00950489"/>
    <w:rsid w:val="00957DE9"/>
    <w:rsid w:val="009616F7"/>
    <w:rsid w:val="00965A44"/>
    <w:rsid w:val="00967D7C"/>
    <w:rsid w:val="0097299A"/>
    <w:rsid w:val="0097548D"/>
    <w:rsid w:val="009757AD"/>
    <w:rsid w:val="00980B6A"/>
    <w:rsid w:val="009818F9"/>
    <w:rsid w:val="009846D9"/>
    <w:rsid w:val="0098618F"/>
    <w:rsid w:val="00987C32"/>
    <w:rsid w:val="00991646"/>
    <w:rsid w:val="0099448B"/>
    <w:rsid w:val="00997347"/>
    <w:rsid w:val="009A31C1"/>
    <w:rsid w:val="009A6BA1"/>
    <w:rsid w:val="009B19CE"/>
    <w:rsid w:val="009C202F"/>
    <w:rsid w:val="009C77F7"/>
    <w:rsid w:val="009D22B1"/>
    <w:rsid w:val="009D36C1"/>
    <w:rsid w:val="009E48F1"/>
    <w:rsid w:val="009E5ABC"/>
    <w:rsid w:val="009E5B9C"/>
    <w:rsid w:val="009E75B6"/>
    <w:rsid w:val="009F4ED1"/>
    <w:rsid w:val="009F5635"/>
    <w:rsid w:val="00A00D71"/>
    <w:rsid w:val="00A00EDF"/>
    <w:rsid w:val="00A26A17"/>
    <w:rsid w:val="00A30169"/>
    <w:rsid w:val="00A312A3"/>
    <w:rsid w:val="00A33D9F"/>
    <w:rsid w:val="00A37229"/>
    <w:rsid w:val="00A37F35"/>
    <w:rsid w:val="00A41763"/>
    <w:rsid w:val="00A418C9"/>
    <w:rsid w:val="00A4597C"/>
    <w:rsid w:val="00A568B1"/>
    <w:rsid w:val="00A62F0E"/>
    <w:rsid w:val="00A72AA8"/>
    <w:rsid w:val="00A74C9B"/>
    <w:rsid w:val="00A874E4"/>
    <w:rsid w:val="00A93478"/>
    <w:rsid w:val="00A97FE7"/>
    <w:rsid w:val="00AA3D91"/>
    <w:rsid w:val="00AA3FD0"/>
    <w:rsid w:val="00AA46CA"/>
    <w:rsid w:val="00AA7EFA"/>
    <w:rsid w:val="00AB10F6"/>
    <w:rsid w:val="00AB3B2F"/>
    <w:rsid w:val="00AB4870"/>
    <w:rsid w:val="00AB61B3"/>
    <w:rsid w:val="00AB7C8E"/>
    <w:rsid w:val="00AC323A"/>
    <w:rsid w:val="00AC69E8"/>
    <w:rsid w:val="00AD6357"/>
    <w:rsid w:val="00AD7F81"/>
    <w:rsid w:val="00AE4CA9"/>
    <w:rsid w:val="00AE6862"/>
    <w:rsid w:val="00AF367D"/>
    <w:rsid w:val="00AF45FD"/>
    <w:rsid w:val="00B2386E"/>
    <w:rsid w:val="00B35E2A"/>
    <w:rsid w:val="00B41F43"/>
    <w:rsid w:val="00B4263D"/>
    <w:rsid w:val="00B4735A"/>
    <w:rsid w:val="00B56DC4"/>
    <w:rsid w:val="00B56F49"/>
    <w:rsid w:val="00B7442A"/>
    <w:rsid w:val="00B84AE7"/>
    <w:rsid w:val="00B966A2"/>
    <w:rsid w:val="00B97002"/>
    <w:rsid w:val="00BB2F70"/>
    <w:rsid w:val="00BB6CF4"/>
    <w:rsid w:val="00BC14C3"/>
    <w:rsid w:val="00BC1ABE"/>
    <w:rsid w:val="00BC6D1C"/>
    <w:rsid w:val="00BD2F20"/>
    <w:rsid w:val="00BD4F62"/>
    <w:rsid w:val="00BE4AFD"/>
    <w:rsid w:val="00BF348B"/>
    <w:rsid w:val="00BF46B5"/>
    <w:rsid w:val="00C00590"/>
    <w:rsid w:val="00C04647"/>
    <w:rsid w:val="00C058CF"/>
    <w:rsid w:val="00C12551"/>
    <w:rsid w:val="00C211CD"/>
    <w:rsid w:val="00C25328"/>
    <w:rsid w:val="00C320F5"/>
    <w:rsid w:val="00C3744D"/>
    <w:rsid w:val="00C377A7"/>
    <w:rsid w:val="00C43A84"/>
    <w:rsid w:val="00C476DA"/>
    <w:rsid w:val="00C64137"/>
    <w:rsid w:val="00C658E4"/>
    <w:rsid w:val="00C711A2"/>
    <w:rsid w:val="00C7266E"/>
    <w:rsid w:val="00C76C66"/>
    <w:rsid w:val="00C82DF9"/>
    <w:rsid w:val="00C87190"/>
    <w:rsid w:val="00CA1564"/>
    <w:rsid w:val="00CA7C8A"/>
    <w:rsid w:val="00CB07CD"/>
    <w:rsid w:val="00CB180D"/>
    <w:rsid w:val="00CB44E8"/>
    <w:rsid w:val="00CB6D56"/>
    <w:rsid w:val="00CB7978"/>
    <w:rsid w:val="00CC1D12"/>
    <w:rsid w:val="00CE42E9"/>
    <w:rsid w:val="00CF77F8"/>
    <w:rsid w:val="00D001E4"/>
    <w:rsid w:val="00D00AA8"/>
    <w:rsid w:val="00D01BEA"/>
    <w:rsid w:val="00D022E0"/>
    <w:rsid w:val="00D02778"/>
    <w:rsid w:val="00D10F62"/>
    <w:rsid w:val="00D13E84"/>
    <w:rsid w:val="00D17918"/>
    <w:rsid w:val="00D300F4"/>
    <w:rsid w:val="00D3344B"/>
    <w:rsid w:val="00D40175"/>
    <w:rsid w:val="00D50FB3"/>
    <w:rsid w:val="00D55243"/>
    <w:rsid w:val="00D61078"/>
    <w:rsid w:val="00D62F90"/>
    <w:rsid w:val="00D63E74"/>
    <w:rsid w:val="00D701F6"/>
    <w:rsid w:val="00D715C4"/>
    <w:rsid w:val="00D854D8"/>
    <w:rsid w:val="00D87873"/>
    <w:rsid w:val="00D928FD"/>
    <w:rsid w:val="00DB6FBD"/>
    <w:rsid w:val="00DB7153"/>
    <w:rsid w:val="00DC16F0"/>
    <w:rsid w:val="00DC79E3"/>
    <w:rsid w:val="00DD51E1"/>
    <w:rsid w:val="00DE2D54"/>
    <w:rsid w:val="00DE4F8B"/>
    <w:rsid w:val="00E02BB0"/>
    <w:rsid w:val="00E03CE6"/>
    <w:rsid w:val="00E13716"/>
    <w:rsid w:val="00E266FF"/>
    <w:rsid w:val="00E27661"/>
    <w:rsid w:val="00E47DB3"/>
    <w:rsid w:val="00E509A9"/>
    <w:rsid w:val="00E51F8B"/>
    <w:rsid w:val="00E5242A"/>
    <w:rsid w:val="00E53398"/>
    <w:rsid w:val="00E66AE2"/>
    <w:rsid w:val="00E70964"/>
    <w:rsid w:val="00E74DA4"/>
    <w:rsid w:val="00E81B89"/>
    <w:rsid w:val="00E82356"/>
    <w:rsid w:val="00E9077F"/>
    <w:rsid w:val="00E910C4"/>
    <w:rsid w:val="00E91432"/>
    <w:rsid w:val="00E91B5A"/>
    <w:rsid w:val="00EB71F8"/>
    <w:rsid w:val="00EC5771"/>
    <w:rsid w:val="00ED6E45"/>
    <w:rsid w:val="00EE206D"/>
    <w:rsid w:val="00EE2CAF"/>
    <w:rsid w:val="00EE43E4"/>
    <w:rsid w:val="00EF3E50"/>
    <w:rsid w:val="00EF534D"/>
    <w:rsid w:val="00F001EA"/>
    <w:rsid w:val="00F056C3"/>
    <w:rsid w:val="00F16B90"/>
    <w:rsid w:val="00F3140F"/>
    <w:rsid w:val="00F341CD"/>
    <w:rsid w:val="00F34F19"/>
    <w:rsid w:val="00F44A21"/>
    <w:rsid w:val="00F5311C"/>
    <w:rsid w:val="00F575F0"/>
    <w:rsid w:val="00F5799E"/>
    <w:rsid w:val="00F662BD"/>
    <w:rsid w:val="00F6664C"/>
    <w:rsid w:val="00F750E7"/>
    <w:rsid w:val="00F80AF1"/>
    <w:rsid w:val="00F8298C"/>
    <w:rsid w:val="00F90245"/>
    <w:rsid w:val="00F920D9"/>
    <w:rsid w:val="00F94781"/>
    <w:rsid w:val="00FA5388"/>
    <w:rsid w:val="00FA788D"/>
    <w:rsid w:val="00FB08E3"/>
    <w:rsid w:val="00FB6BF3"/>
    <w:rsid w:val="00FD397B"/>
    <w:rsid w:val="00FD4B01"/>
    <w:rsid w:val="00FD52F2"/>
    <w:rsid w:val="00FD7CDC"/>
    <w:rsid w:val="00FE2197"/>
    <w:rsid w:val="00FE58E0"/>
    <w:rsid w:val="00FE74D0"/>
    <w:rsid w:val="0ADCE24F"/>
    <w:rsid w:val="3F6886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9D22B1"/>
    <w:pPr>
      <w:keepNext/>
      <w:keepLines/>
      <w:numPr>
        <w:numId w:val="41"/>
      </w:numPr>
      <w:pBdr>
        <w:bottom w:val="single" w:sz="8" w:space="1" w:color="A6A6A6" w:themeColor="background1" w:themeShade="A6"/>
      </w:pBdr>
      <w:spacing w:after="120" w:line="380" w:lineRule="atLeast"/>
      <w:jc w:val="both"/>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22B1"/>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4C69E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F341CD"/>
    <w:rPr>
      <w:color w:val="5D9732" w:themeColor="followedHyperlink"/>
      <w:u w:val="single"/>
    </w:rPr>
  </w:style>
  <w:style w:type="paragraph" w:styleId="Revision">
    <w:name w:val="Revision"/>
    <w:hidden/>
    <w:uiPriority w:val="99"/>
    <w:semiHidden/>
    <w:rsid w:val="005A0C55"/>
    <w:pPr>
      <w:spacing w:after="0"/>
    </w:pPr>
  </w:style>
  <w:style w:type="character" w:styleId="CommentReference">
    <w:name w:val="annotation reference"/>
    <w:basedOn w:val="DefaultParagraphFont"/>
    <w:uiPriority w:val="99"/>
    <w:semiHidden/>
    <w:unhideWhenUsed/>
    <w:locked/>
    <w:rsid w:val="005A0C55"/>
    <w:rPr>
      <w:sz w:val="16"/>
      <w:szCs w:val="16"/>
    </w:rPr>
  </w:style>
  <w:style w:type="paragraph" w:styleId="CommentText">
    <w:name w:val="annotation text"/>
    <w:basedOn w:val="Normal"/>
    <w:link w:val="CommentTextChar"/>
    <w:uiPriority w:val="99"/>
    <w:unhideWhenUsed/>
    <w:locked/>
    <w:rsid w:val="005A0C55"/>
    <w:pPr>
      <w:spacing w:line="240" w:lineRule="auto"/>
    </w:pPr>
    <w:rPr>
      <w:sz w:val="20"/>
      <w:szCs w:val="20"/>
    </w:rPr>
  </w:style>
  <w:style w:type="character" w:customStyle="1" w:styleId="CommentTextChar">
    <w:name w:val="Comment Text Char"/>
    <w:basedOn w:val="DefaultParagraphFont"/>
    <w:link w:val="CommentText"/>
    <w:uiPriority w:val="99"/>
    <w:rsid w:val="005A0C55"/>
    <w:rPr>
      <w:sz w:val="20"/>
      <w:szCs w:val="20"/>
    </w:rPr>
  </w:style>
  <w:style w:type="paragraph" w:styleId="CommentSubject">
    <w:name w:val="annotation subject"/>
    <w:basedOn w:val="CommentText"/>
    <w:next w:val="CommentText"/>
    <w:link w:val="CommentSubjectChar"/>
    <w:uiPriority w:val="99"/>
    <w:semiHidden/>
    <w:unhideWhenUsed/>
    <w:locked/>
    <w:rsid w:val="005A0C55"/>
    <w:rPr>
      <w:b/>
      <w:bCs/>
    </w:rPr>
  </w:style>
  <w:style w:type="character" w:customStyle="1" w:styleId="CommentSubjectChar">
    <w:name w:val="Comment Subject Char"/>
    <w:basedOn w:val="CommentTextChar"/>
    <w:link w:val="CommentSubject"/>
    <w:uiPriority w:val="99"/>
    <w:semiHidden/>
    <w:rsid w:val="005A0C55"/>
    <w:rPr>
      <w:b/>
      <w:bCs/>
      <w:sz w:val="20"/>
      <w:szCs w:val="20"/>
    </w:rPr>
  </w:style>
  <w:style w:type="character" w:styleId="UnresolvedMention">
    <w:name w:val="Unresolved Mention"/>
    <w:basedOn w:val="DefaultParagraphFont"/>
    <w:uiPriority w:val="99"/>
    <w:semiHidden/>
    <w:unhideWhenUsed/>
    <w:rsid w:val="00AB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bls.gov/news.release/ecec.t02.htm" TargetMode="External" /><Relationship Id="rId15" Type="http://schemas.openxmlformats.org/officeDocument/2006/relationships/hyperlink" Target="https://www.opm.gov/policy-data-oversight/pay-leave/salaries-wages/salary-tables/25Tables/html/POR.aspx" TargetMode="Externa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D3237"/>
    <w:rsid w:val="001E269F"/>
    <w:rsid w:val="00292F4A"/>
    <w:rsid w:val="00310F1E"/>
    <w:rsid w:val="00350627"/>
    <w:rsid w:val="00397C48"/>
    <w:rsid w:val="003C55DC"/>
    <w:rsid w:val="00401F95"/>
    <w:rsid w:val="00560DED"/>
    <w:rsid w:val="005D4A5F"/>
    <w:rsid w:val="00625769"/>
    <w:rsid w:val="0065501B"/>
    <w:rsid w:val="00671E16"/>
    <w:rsid w:val="00757C3D"/>
    <w:rsid w:val="0097548D"/>
    <w:rsid w:val="009E75B6"/>
    <w:rsid w:val="00AE5DA0"/>
    <w:rsid w:val="00B41F43"/>
    <w:rsid w:val="00D17918"/>
    <w:rsid w:val="00F5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fd2e654f4a3d7f615b75912ceefc8a33">
  <xsd:schema xmlns:xsd="http://www.w3.org/2001/XMLSchema" xmlns:xs="http://www.w3.org/2001/XMLSchema" xmlns:p="http://schemas.microsoft.com/office/2006/metadata/properties" xmlns:ns2="0a20205c-0631-4ff0-81c6-46eee12fe7e9" targetNamespace="http://schemas.microsoft.com/office/2006/metadata/properties" ma:root="true" ma:fieldsID="f4676448daf43add9074127aac7fe14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40C08-7178-45E4-AB95-E299791F453A}">
  <ds:schemaRefs>
    <ds:schemaRef ds:uri="http://schemas.microsoft.com/sharepoint/v3/contenttype/forms"/>
  </ds:schemaRefs>
</ds:datastoreItem>
</file>

<file path=customXml/itemProps3.xml><?xml version="1.0" encoding="utf-8"?>
<ds:datastoreItem xmlns:ds="http://schemas.openxmlformats.org/officeDocument/2006/customXml" ds:itemID="{33EC482C-C2FE-485B-86A1-45BB1D89D3D2}">
  <ds:schemaRefs>
    <ds:schemaRef ds:uri="Microsoft.SharePoint.Taxonomy.ContentTypeSync"/>
  </ds:schemaRefs>
</ds:datastoreItem>
</file>

<file path=customXml/itemProps4.xml><?xml version="1.0" encoding="utf-8"?>
<ds:datastoreItem xmlns:ds="http://schemas.openxmlformats.org/officeDocument/2006/customXml" ds:itemID="{108F6B3C-84C3-40A6-81AE-0C52921111C6}">
  <ds:schemaRefs>
    <ds:schemaRef ds:uri="http://schemas.openxmlformats.org/officeDocument/2006/bibliography"/>
  </ds:schemaRefs>
</ds:datastoreItem>
</file>

<file path=customXml/itemProps5.xml><?xml version="1.0" encoding="utf-8"?>
<ds:datastoreItem xmlns:ds="http://schemas.openxmlformats.org/officeDocument/2006/customXml" ds:itemID="{381F1A29-9724-4574-9B90-E12C690C4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6AE615-C569-47EF-BA41-CD11F3073BC4}">
  <ds:schemaRef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0a20205c-0631-4ff0-81c6-46eee12fe7e9"/>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Supplemental Labor Management Office (SLMO) Driver Attestation</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Supplemental Labor Management Office (SLMO) Driver Attestation</dc:title>
  <dc:subject>Improving the Quality and Scope of EIA Data</dc:subject>
  <dc:creator>Stroud, Lawrence</dc:creator>
  <cp:lastModifiedBy>Oparah, Alexus (CONTR)</cp:lastModifiedBy>
  <cp:revision>2</cp:revision>
  <cp:lastPrinted>2011-12-12T20:42:00Z</cp:lastPrinted>
  <dcterms:created xsi:type="dcterms:W3CDTF">2025-01-28T21:01:00Z</dcterms:created>
  <dcterms:modified xsi:type="dcterms:W3CDTF">2025-01-28T21:01:00Z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