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69A77F6E">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BD12196">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8C0B3D" w:rsidR="008C0B3D">
        <w:rPr>
          <w:rFonts w:cstheme="minorHAnsi"/>
        </w:rPr>
        <w:t xml:space="preserve">Proposed National Pollutant Discharge Elimination System </w:t>
      </w:r>
      <w:r w:rsidR="00C65BD0">
        <w:rPr>
          <w:rFonts w:cstheme="minorHAnsi"/>
        </w:rPr>
        <w:t xml:space="preserve">2026 </w:t>
      </w:r>
      <w:r w:rsidRPr="008C0B3D" w:rsidR="008C0B3D">
        <w:rPr>
          <w:rFonts w:cstheme="minorHAnsi"/>
        </w:rPr>
        <w:t>Multi-Sector General Permit for Industrial Stormwater Discharges</w:t>
      </w:r>
    </w:p>
    <w:p w:rsidR="00EE2403" w:rsidRPr="00BB3410" w:rsidP="4620F3F3" w14:paraId="71D5121E" w14:textId="79F62FCD">
      <w:pPr>
        <w:spacing w:line="240" w:lineRule="auto"/>
      </w:pPr>
      <w:r w:rsidRPr="4620F3F3">
        <w:rPr>
          <w:b/>
          <w:bCs/>
        </w:rPr>
        <w:t>OMB Control Number</w:t>
      </w:r>
      <w:r w:rsidR="00055755">
        <w:rPr>
          <w:b/>
          <w:bCs/>
        </w:rPr>
        <w:t xml:space="preserve">: </w:t>
      </w:r>
      <w:r w:rsidRPr="00055755" w:rsidR="00055755">
        <w:t>2040-NEW</w:t>
      </w:r>
      <w:r w:rsidR="00055755">
        <w:rPr>
          <w:b/>
          <w:bCs/>
        </w:rPr>
        <w:t xml:space="preserve"> </w:t>
      </w:r>
    </w:p>
    <w:p w:rsidR="00EE2403" w:rsidRPr="00BB3410" w:rsidP="00ED57A4" w14:paraId="4FB77BCA" w14:textId="2162CD20">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055755">
        <w:rPr>
          <w:rStyle w:val="normaltextrun"/>
        </w:rPr>
        <w:t>7801.01</w:t>
      </w:r>
    </w:p>
    <w:p w:rsidR="00444F00" w:rsidP="00444F00" w14:paraId="714ADE51" w14:textId="77777777">
      <w:pPr>
        <w:spacing w:before="240"/>
      </w:pPr>
      <w:r w:rsidRPr="00EE47E2">
        <w:rPr>
          <w:rStyle w:val="Heading1Char"/>
        </w:rPr>
        <w:t>Abstract:</w:t>
      </w:r>
      <w:r w:rsidRPr="4BDBF0A0" w:rsidR="00BB432F">
        <w:t xml:space="preserve"> </w:t>
      </w:r>
      <w:r>
        <w:t xml:space="preserve">This Information Collection Request (ICR) calculates the burden and costs associated with information collection and reporting activities associated with the U.S. Environmental Protection Agency (EPA) National Pollutant Discharge Elimination System (NPDES) Multi-Sector General Permit (MSGP) for stormwater discharges associated with industrial activity. </w:t>
      </w:r>
    </w:p>
    <w:p w:rsidR="00BB432F" w:rsidP="00444F00" w14:paraId="6A3E928D" w14:textId="69A8A2CD">
      <w:pPr>
        <w:spacing w:before="240"/>
      </w:pPr>
      <w:r>
        <w:t>The burden associated with the entire NPDES program, including the administration of the 2021 MSGP, are accounted for in the 2023 NPDES Program ICR (EPA ICR number 0229.25, OMB control no. 2040-0004). Consistent with the past approach of changes to a</w:t>
      </w:r>
      <w:r w:rsidR="00AC20FF">
        <w:t>n</w:t>
      </w:r>
      <w:r>
        <w:t xml:space="preserve"> NPDES program, EPA is reflecting the paperwork burden associated with the difference between the 2021 MSGP and 2026 MSGP in this ICR.</w:t>
      </w:r>
      <w:r w:rsidR="00922812">
        <w:t xml:space="preserve"> All </w:t>
      </w:r>
      <w:r w:rsidR="003D464B">
        <w:t xml:space="preserve">references to assumptions used in the 2021 MSGP ICR in the burden calculations were previously approved and </w:t>
      </w:r>
      <w:r w:rsidR="000A6602">
        <w:t>unchanged and</w:t>
      </w:r>
      <w:r w:rsidR="001534ED">
        <w:t xml:space="preserve"> have been consolidated into the 2023 NPDES programmatic ICR.</w:t>
      </w:r>
    </w:p>
    <w:p w:rsidR="005C2E6A" w:rsidRPr="00940BC2" w:rsidP="005C2E6A" w14:paraId="5E4E344C" w14:textId="64715CE5">
      <w:pPr>
        <w:pStyle w:val="BodyText"/>
        <w:spacing w:after="100" w:afterAutospacing="1"/>
        <w:contextualSpacing/>
        <w:rPr>
          <w:rFonts w:ascii="Calibri" w:eastAsia="MS Mincho" w:hAnsi="Calibri" w:cs="Calibri"/>
          <w:sz w:val="22"/>
          <w:szCs w:val="22"/>
          <w:lang w:eastAsia="ja-JP"/>
        </w:rPr>
      </w:pPr>
      <w:r w:rsidRPr="001E010D">
        <w:rPr>
          <w:rFonts w:ascii="Calibri" w:eastAsia="MS Mincho" w:hAnsi="Calibri" w:cs="Calibri"/>
          <w:sz w:val="22"/>
          <w:szCs w:val="22"/>
          <w:lang w:eastAsia="ja-JP"/>
        </w:rPr>
        <w:t xml:space="preserve">The information collection </w:t>
      </w:r>
      <w:r>
        <w:rPr>
          <w:rFonts w:ascii="Calibri" w:eastAsia="MS Mincho" w:hAnsi="Calibri" w:cs="Calibri"/>
          <w:sz w:val="22"/>
          <w:szCs w:val="22"/>
          <w:lang w:eastAsia="ja-JP"/>
        </w:rPr>
        <w:t>changes</w:t>
      </w:r>
      <w:r w:rsidRPr="001E010D">
        <w:rPr>
          <w:rFonts w:ascii="Calibri" w:eastAsia="MS Mincho" w:hAnsi="Calibri" w:cs="Calibri"/>
          <w:sz w:val="22"/>
          <w:szCs w:val="22"/>
          <w:lang w:eastAsia="ja-JP"/>
        </w:rPr>
        <w:t xml:space="preserve"> </w:t>
      </w:r>
      <w:r>
        <w:rPr>
          <w:rFonts w:ascii="Calibri" w:eastAsia="MS Mincho" w:hAnsi="Calibri" w:cs="Calibri"/>
          <w:sz w:val="22"/>
          <w:szCs w:val="22"/>
          <w:lang w:eastAsia="ja-JP"/>
        </w:rPr>
        <w:t xml:space="preserve">between the 2021 and </w:t>
      </w:r>
      <w:r w:rsidR="005C4282">
        <w:rPr>
          <w:rFonts w:ascii="Calibri" w:eastAsia="MS Mincho" w:hAnsi="Calibri" w:cs="Calibri"/>
          <w:sz w:val="22"/>
          <w:szCs w:val="22"/>
          <w:lang w:eastAsia="ja-JP"/>
        </w:rPr>
        <w:t>proposed</w:t>
      </w:r>
      <w:r>
        <w:rPr>
          <w:rFonts w:ascii="Calibri" w:eastAsia="MS Mincho" w:hAnsi="Calibri" w:cs="Calibri"/>
          <w:sz w:val="22"/>
          <w:szCs w:val="22"/>
          <w:lang w:eastAsia="ja-JP"/>
        </w:rPr>
        <w:t xml:space="preserve"> 2026 MSGP are </w:t>
      </w:r>
      <w:r w:rsidRPr="001E010D">
        <w:rPr>
          <w:rFonts w:ascii="Calibri" w:eastAsia="MS Mincho" w:hAnsi="Calibri" w:cs="Calibri"/>
          <w:sz w:val="22"/>
          <w:szCs w:val="22"/>
          <w:lang w:eastAsia="ja-JP"/>
        </w:rPr>
        <w:t xml:space="preserve">associated with the following: </w:t>
      </w:r>
    </w:p>
    <w:p w:rsidR="005C2E6A" w:rsidRPr="00D835A5" w:rsidP="005C2E6A" w14:paraId="793921F8" w14:textId="55EF142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New </w:t>
      </w:r>
      <w:r w:rsidR="00940528">
        <w:rPr>
          <w:rFonts w:ascii="Calibri" w:hAnsi="Calibri" w:cs="Calibri"/>
        </w:rPr>
        <w:t>N</w:t>
      </w:r>
      <w:r>
        <w:rPr>
          <w:rFonts w:ascii="Calibri" w:hAnsi="Calibri" w:cs="Calibri"/>
        </w:rPr>
        <w:t xml:space="preserve">otice of </w:t>
      </w:r>
      <w:r w:rsidR="00970C1B">
        <w:rPr>
          <w:rFonts w:ascii="Calibri" w:hAnsi="Calibri" w:cs="Calibri"/>
        </w:rPr>
        <w:t>I</w:t>
      </w:r>
      <w:r>
        <w:rPr>
          <w:rFonts w:ascii="Calibri" w:hAnsi="Calibri" w:cs="Calibri"/>
        </w:rPr>
        <w:t xml:space="preserve">ntent (NOI) questions; </w:t>
      </w:r>
    </w:p>
    <w:p w:rsidR="005C2E6A" w:rsidRPr="00D835A5" w:rsidP="005C2E6A" w14:paraId="1FD9298C" w14:textId="64AA1EDF">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New </w:t>
      </w:r>
      <w:r w:rsidRPr="00D835A5">
        <w:rPr>
          <w:rFonts w:ascii="Calibri" w:hAnsi="Calibri" w:cs="Calibri"/>
        </w:rPr>
        <w:t xml:space="preserve">NeT reporting requirements related to </w:t>
      </w:r>
      <w:r>
        <w:rPr>
          <w:rFonts w:ascii="Calibri" w:hAnsi="Calibri" w:cs="Calibri"/>
        </w:rPr>
        <w:t>Additional Implementation Measure (AIM) corrective action reporting and AIM Level 1</w:t>
      </w:r>
      <w:r w:rsidRPr="00D835A5">
        <w:rPr>
          <w:rFonts w:ascii="Calibri" w:hAnsi="Calibri" w:cs="Calibri"/>
        </w:rPr>
        <w:t xml:space="preserve"> inspections</w:t>
      </w:r>
      <w:r>
        <w:rPr>
          <w:rFonts w:ascii="Calibri" w:hAnsi="Calibri" w:cs="Calibri"/>
        </w:rPr>
        <w:t xml:space="preserve"> for both benchmark monitoring and </w:t>
      </w:r>
      <w:r w:rsidR="00461755">
        <w:rPr>
          <w:rFonts w:ascii="Calibri" w:hAnsi="Calibri" w:cs="Calibri"/>
        </w:rPr>
        <w:t>i</w:t>
      </w:r>
      <w:r>
        <w:rPr>
          <w:rFonts w:ascii="Calibri" w:hAnsi="Calibri" w:cs="Calibri"/>
        </w:rPr>
        <w:t xml:space="preserve">mpaired </w:t>
      </w:r>
      <w:r w:rsidR="00461755">
        <w:rPr>
          <w:rFonts w:ascii="Calibri" w:hAnsi="Calibri" w:cs="Calibri"/>
        </w:rPr>
        <w:t>w</w:t>
      </w:r>
      <w:r>
        <w:rPr>
          <w:rFonts w:ascii="Calibri" w:hAnsi="Calibri" w:cs="Calibri"/>
        </w:rPr>
        <w:t>aters monitoring</w:t>
      </w:r>
      <w:r w:rsidRPr="00D835A5">
        <w:rPr>
          <w:rFonts w:ascii="Calibri" w:hAnsi="Calibri" w:cs="Calibri"/>
        </w:rPr>
        <w:t>;</w:t>
      </w:r>
    </w:p>
    <w:p w:rsidR="005C2E6A" w:rsidP="005C2E6A" w14:paraId="691B9C79" w14:textId="313C8ACF">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E010D">
        <w:rPr>
          <w:rFonts w:ascii="Calibri" w:hAnsi="Calibri" w:cs="Calibri"/>
        </w:rPr>
        <w:t>Sampling and Discharge Monitoring Reports (DMRs)</w:t>
      </w:r>
      <w:r>
        <w:rPr>
          <w:rFonts w:ascii="Calibri" w:hAnsi="Calibri" w:cs="Calibri"/>
        </w:rPr>
        <w:t xml:space="preserve"> changes related to new collection schedules for </w:t>
      </w:r>
      <w:r w:rsidR="006B58BE">
        <w:rPr>
          <w:rFonts w:ascii="Calibri" w:hAnsi="Calibri" w:cs="Calibri"/>
        </w:rPr>
        <w:t>Polycyclic Aromatic Hydrocarbon (</w:t>
      </w:r>
      <w:r>
        <w:rPr>
          <w:rFonts w:ascii="Calibri" w:hAnsi="Calibri" w:cs="Calibri"/>
        </w:rPr>
        <w:t>PAH</w:t>
      </w:r>
      <w:r w:rsidR="006B58BE">
        <w:rPr>
          <w:rFonts w:ascii="Calibri" w:hAnsi="Calibri" w:cs="Calibri"/>
        </w:rPr>
        <w:t>)</w:t>
      </w:r>
      <w:r>
        <w:rPr>
          <w:rFonts w:ascii="Calibri" w:hAnsi="Calibri" w:cs="Calibri"/>
        </w:rPr>
        <w:t xml:space="preserve"> indicator monitoring, </w:t>
      </w:r>
      <w:r w:rsidR="000C46CD">
        <w:rPr>
          <w:rFonts w:ascii="Calibri" w:hAnsi="Calibri" w:cs="Calibri"/>
        </w:rPr>
        <w:t>i</w:t>
      </w:r>
      <w:r>
        <w:rPr>
          <w:rFonts w:ascii="Calibri" w:hAnsi="Calibri" w:cs="Calibri"/>
        </w:rPr>
        <w:t xml:space="preserve">mpaired </w:t>
      </w:r>
      <w:r w:rsidR="000C46CD">
        <w:rPr>
          <w:rFonts w:ascii="Calibri" w:hAnsi="Calibri" w:cs="Calibri"/>
        </w:rPr>
        <w:t>w</w:t>
      </w:r>
      <w:r>
        <w:rPr>
          <w:rFonts w:ascii="Calibri" w:hAnsi="Calibri" w:cs="Calibri"/>
        </w:rPr>
        <w:t xml:space="preserve">aters </w:t>
      </w:r>
      <w:r w:rsidR="000C46CD">
        <w:rPr>
          <w:rFonts w:ascii="Calibri" w:hAnsi="Calibri" w:cs="Calibri"/>
        </w:rPr>
        <w:t>m</w:t>
      </w:r>
      <w:r>
        <w:rPr>
          <w:rFonts w:ascii="Calibri" w:hAnsi="Calibri" w:cs="Calibri"/>
        </w:rPr>
        <w:t xml:space="preserve">onitoring, and </w:t>
      </w:r>
      <w:r w:rsidR="000C46CD">
        <w:rPr>
          <w:rFonts w:ascii="Calibri" w:hAnsi="Calibri" w:cs="Calibri"/>
        </w:rPr>
        <w:t>b</w:t>
      </w:r>
      <w:r>
        <w:rPr>
          <w:rFonts w:ascii="Calibri" w:hAnsi="Calibri" w:cs="Calibri"/>
        </w:rPr>
        <w:t xml:space="preserve">enchmark </w:t>
      </w:r>
      <w:r w:rsidR="000C46CD">
        <w:rPr>
          <w:rFonts w:ascii="Calibri" w:hAnsi="Calibri" w:cs="Calibri"/>
        </w:rPr>
        <w:t>m</w:t>
      </w:r>
      <w:r>
        <w:rPr>
          <w:rFonts w:ascii="Calibri" w:hAnsi="Calibri" w:cs="Calibri"/>
        </w:rPr>
        <w:t>onitoring;</w:t>
      </w:r>
    </w:p>
    <w:p w:rsidR="005C2E6A" w:rsidP="005C2E6A" w14:paraId="634ECC22" w14:textId="03C56B44">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Changes in respondent population related to </w:t>
      </w:r>
      <w:r w:rsidR="000C46CD">
        <w:rPr>
          <w:rFonts w:ascii="Calibri" w:hAnsi="Calibri" w:cs="Calibri"/>
        </w:rPr>
        <w:t>b</w:t>
      </w:r>
      <w:r>
        <w:rPr>
          <w:rFonts w:ascii="Calibri" w:hAnsi="Calibri" w:cs="Calibri"/>
        </w:rPr>
        <w:t xml:space="preserve">enchmark monitoring for new sectors, and </w:t>
      </w:r>
      <w:r w:rsidR="00355985">
        <w:rPr>
          <w:rFonts w:ascii="Calibri" w:hAnsi="Calibri" w:cs="Calibri"/>
        </w:rPr>
        <w:t>i</w:t>
      </w:r>
      <w:r>
        <w:rPr>
          <w:rFonts w:ascii="Calibri" w:hAnsi="Calibri" w:cs="Calibri"/>
        </w:rPr>
        <w:t xml:space="preserve">mpaired </w:t>
      </w:r>
      <w:r w:rsidR="00355985">
        <w:rPr>
          <w:rFonts w:ascii="Calibri" w:hAnsi="Calibri" w:cs="Calibri"/>
        </w:rPr>
        <w:t>w</w:t>
      </w:r>
      <w:r>
        <w:rPr>
          <w:rFonts w:ascii="Calibri" w:hAnsi="Calibri" w:cs="Calibri"/>
        </w:rPr>
        <w:t xml:space="preserve">aters monitoring for expanded </w:t>
      </w:r>
      <w:r w:rsidR="00AF38DC">
        <w:rPr>
          <w:rFonts w:ascii="Calibri" w:hAnsi="Calibri" w:cs="Calibri"/>
        </w:rPr>
        <w:t>Total Maximum Daily Load (</w:t>
      </w:r>
      <w:r>
        <w:rPr>
          <w:rFonts w:ascii="Calibri" w:hAnsi="Calibri" w:cs="Calibri"/>
        </w:rPr>
        <w:t>TMDL</w:t>
      </w:r>
      <w:r w:rsidR="00AF38DC">
        <w:rPr>
          <w:rFonts w:ascii="Calibri" w:hAnsi="Calibri" w:cs="Calibri"/>
        </w:rPr>
        <w:t>)</w:t>
      </w:r>
      <w:r>
        <w:rPr>
          <w:rFonts w:ascii="Calibri" w:hAnsi="Calibri" w:cs="Calibri"/>
        </w:rPr>
        <w:t xml:space="preserve"> requirements;</w:t>
      </w:r>
    </w:p>
    <w:p w:rsidR="005C2E6A" w:rsidRPr="00C624BA" w:rsidP="005C2E6A" w14:paraId="60FA300E" w14:textId="38BFECD8">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New Sampling and DMRs for </w:t>
      </w:r>
      <w:r w:rsidRPr="001F54B1" w:rsidR="001F54B1">
        <w:rPr>
          <w:rFonts w:ascii="Calibri" w:hAnsi="Calibri" w:cs="Calibri"/>
        </w:rPr>
        <w:t xml:space="preserve">Per- and </w:t>
      </w:r>
      <w:r w:rsidR="001F54B1">
        <w:rPr>
          <w:rFonts w:ascii="Calibri" w:hAnsi="Calibri" w:cs="Calibri"/>
        </w:rPr>
        <w:t>P</w:t>
      </w:r>
      <w:r w:rsidRPr="001F54B1" w:rsidR="001F54B1">
        <w:rPr>
          <w:rFonts w:ascii="Calibri" w:hAnsi="Calibri" w:cs="Calibri"/>
        </w:rPr>
        <w:t xml:space="preserve">olyfluoroalkyl </w:t>
      </w:r>
      <w:r w:rsidR="001F54B1">
        <w:rPr>
          <w:rFonts w:ascii="Calibri" w:hAnsi="Calibri" w:cs="Calibri"/>
        </w:rPr>
        <w:t>S</w:t>
      </w:r>
      <w:r w:rsidRPr="001F54B1" w:rsidR="001F54B1">
        <w:rPr>
          <w:rFonts w:ascii="Calibri" w:hAnsi="Calibri" w:cs="Calibri"/>
        </w:rPr>
        <w:t>ubstances</w:t>
      </w:r>
      <w:r w:rsidR="001F54B1">
        <w:rPr>
          <w:rFonts w:ascii="Calibri" w:hAnsi="Calibri" w:cs="Calibri"/>
        </w:rPr>
        <w:t xml:space="preserve"> (</w:t>
      </w:r>
      <w:r>
        <w:rPr>
          <w:rFonts w:ascii="Calibri" w:hAnsi="Calibri" w:cs="Calibri"/>
        </w:rPr>
        <w:t>PFAS</w:t>
      </w:r>
      <w:r w:rsidR="001F54B1">
        <w:rPr>
          <w:rFonts w:ascii="Calibri" w:hAnsi="Calibri" w:cs="Calibri"/>
        </w:rPr>
        <w:t>)</w:t>
      </w:r>
      <w:r>
        <w:rPr>
          <w:rFonts w:ascii="Calibri" w:hAnsi="Calibri" w:cs="Calibri"/>
        </w:rPr>
        <w:t xml:space="preserve"> indicator monitoring requirement; </w:t>
      </w:r>
    </w:p>
    <w:p w:rsidR="00C83679" w:rsidRPr="00182F6D" w:rsidP="00C83679" w14:paraId="1A828BB3" w14:textId="448C2BA3">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82F6D">
        <w:rPr>
          <w:rFonts w:ascii="Calibri" w:hAnsi="Calibri" w:cs="Calibri"/>
        </w:rPr>
        <w:t xml:space="preserve">Turbidity </w:t>
      </w:r>
      <w:r w:rsidRPr="00182F6D" w:rsidR="005E0819">
        <w:rPr>
          <w:rFonts w:ascii="Calibri" w:hAnsi="Calibri" w:cs="Calibri"/>
        </w:rPr>
        <w:t xml:space="preserve">benchmark </w:t>
      </w:r>
      <w:r w:rsidRPr="00182F6D">
        <w:rPr>
          <w:rFonts w:ascii="Calibri" w:hAnsi="Calibri" w:cs="Calibri"/>
        </w:rPr>
        <w:t xml:space="preserve">monitoring </w:t>
      </w:r>
      <w:r w:rsidRPr="00182F6D" w:rsidR="005E0819">
        <w:rPr>
          <w:rFonts w:ascii="Calibri" w:hAnsi="Calibri" w:cs="Calibri"/>
        </w:rPr>
        <w:t>requirements</w:t>
      </w:r>
      <w:r w:rsidRPr="00182F6D" w:rsidR="003B0D33">
        <w:rPr>
          <w:rFonts w:ascii="Calibri" w:hAnsi="Calibri" w:cs="Calibri"/>
        </w:rPr>
        <w:t xml:space="preserve"> for</w:t>
      </w:r>
      <w:r w:rsidR="00FF0413">
        <w:rPr>
          <w:rFonts w:ascii="Calibri" w:hAnsi="Calibri" w:cs="Calibri"/>
        </w:rPr>
        <w:t xml:space="preserve"> permittees covered by</w:t>
      </w:r>
      <w:r w:rsidRPr="00182F6D" w:rsidR="003B0D33">
        <w:rPr>
          <w:rFonts w:ascii="Calibri" w:hAnsi="Calibri" w:cs="Calibri"/>
        </w:rPr>
        <w:t xml:space="preserve"> Sectors G, H, and J </w:t>
      </w:r>
      <w:r w:rsidRPr="00182F6D" w:rsidR="005C0FC9">
        <w:rPr>
          <w:rFonts w:ascii="Calibri" w:hAnsi="Calibri" w:cs="Calibri"/>
        </w:rPr>
        <w:t xml:space="preserve">that discharge </w:t>
      </w:r>
      <w:r w:rsidR="00C41AAE">
        <w:rPr>
          <w:rFonts w:ascii="Calibri" w:hAnsi="Calibri" w:cs="Calibri"/>
        </w:rPr>
        <w:t xml:space="preserve">dewatering </w:t>
      </w:r>
      <w:r w:rsidRPr="00182F6D" w:rsidR="005C0FC9">
        <w:rPr>
          <w:rFonts w:ascii="Calibri" w:hAnsi="Calibri" w:cs="Calibri"/>
        </w:rPr>
        <w:t>water into sensitive waters</w:t>
      </w:r>
      <w:r w:rsidRPr="00182F6D" w:rsidR="00FA616F">
        <w:rPr>
          <w:rFonts w:ascii="Calibri" w:hAnsi="Calibri" w:cs="Calibri"/>
        </w:rPr>
        <w:t xml:space="preserve"> (</w:t>
      </w:r>
      <w:r w:rsidR="000926EC">
        <w:rPr>
          <w:rFonts w:ascii="Calibri" w:hAnsi="Calibri" w:cs="Calibri"/>
        </w:rPr>
        <w:t xml:space="preserve">to </w:t>
      </w:r>
      <w:r w:rsidR="000F1726">
        <w:rPr>
          <w:rFonts w:ascii="Calibri" w:hAnsi="Calibri" w:cs="Calibri"/>
        </w:rPr>
        <w:t>align with</w:t>
      </w:r>
      <w:r w:rsidR="007B353B">
        <w:rPr>
          <w:rFonts w:ascii="Calibri" w:hAnsi="Calibri" w:cs="Calibri"/>
        </w:rPr>
        <w:t xml:space="preserve"> </w:t>
      </w:r>
      <w:r w:rsidR="00AC484C">
        <w:rPr>
          <w:rFonts w:ascii="Calibri" w:hAnsi="Calibri" w:cs="Calibri"/>
        </w:rPr>
        <w:t>EPA’s Construction General Permit (</w:t>
      </w:r>
      <w:r w:rsidRPr="00182F6D" w:rsidR="00FA616F">
        <w:rPr>
          <w:rFonts w:ascii="Calibri" w:hAnsi="Calibri" w:cs="Calibri"/>
        </w:rPr>
        <w:t>CGP)</w:t>
      </w:r>
      <w:r w:rsidR="00D65425">
        <w:rPr>
          <w:rFonts w:ascii="Calibri" w:hAnsi="Calibri" w:cs="Calibri"/>
        </w:rPr>
        <w:t>)</w:t>
      </w:r>
      <w:r w:rsidRPr="00182F6D" w:rsidR="003306F8">
        <w:rPr>
          <w:rFonts w:ascii="Calibri" w:hAnsi="Calibri" w:cs="Calibri"/>
        </w:rPr>
        <w:t xml:space="preserve">; </w:t>
      </w:r>
    </w:p>
    <w:p w:rsidR="00C83679" w:rsidRPr="00182F6D" w:rsidP="00C83679" w14:paraId="57D88F90" w14:textId="19FC53B9">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82F6D">
        <w:rPr>
          <w:rFonts w:ascii="Calibri" w:hAnsi="Calibri" w:cs="Calibri"/>
        </w:rPr>
        <w:t xml:space="preserve">New dewatering </w:t>
      </w:r>
      <w:r w:rsidRPr="00182F6D">
        <w:rPr>
          <w:rFonts w:ascii="Calibri" w:hAnsi="Calibri" w:cs="Calibri"/>
        </w:rPr>
        <w:t>inspection requirements; and</w:t>
      </w:r>
    </w:p>
    <w:p w:rsidR="005C2E6A" w:rsidRPr="00182F6D" w:rsidP="005C2E6A" w14:paraId="33022BC8" w14:textId="3FC7BC05">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82F6D">
        <w:rPr>
          <w:rFonts w:ascii="Calibri" w:hAnsi="Calibri" w:cs="Calibri"/>
        </w:rPr>
        <w:t>Changes to Stormwater Pollution Prevention Plan (SWPPP) requirements</w:t>
      </w:r>
      <w:r w:rsidRPr="00182F6D" w:rsidR="003306F8">
        <w:rPr>
          <w:rFonts w:ascii="Calibri" w:hAnsi="Calibri" w:cs="Calibri"/>
        </w:rPr>
        <w:t xml:space="preserve"> for </w:t>
      </w:r>
      <w:r w:rsidR="00FF0413">
        <w:rPr>
          <w:rFonts w:ascii="Calibri" w:hAnsi="Calibri" w:cs="Calibri"/>
        </w:rPr>
        <w:t>permittees covered by</w:t>
      </w:r>
      <w:r w:rsidRPr="00182F6D" w:rsidR="003306F8">
        <w:rPr>
          <w:rFonts w:ascii="Calibri" w:hAnsi="Calibri" w:cs="Calibri"/>
        </w:rPr>
        <w:t xml:space="preserve"> Sectors G, H, and J</w:t>
      </w:r>
      <w:r w:rsidRPr="00182F6D">
        <w:rPr>
          <w:rFonts w:ascii="Calibri" w:hAnsi="Calibri" w:cs="Calibri"/>
        </w:rPr>
        <w:t xml:space="preserve"> </w:t>
      </w:r>
      <w:r w:rsidR="002A5580">
        <w:rPr>
          <w:rFonts w:ascii="Calibri" w:hAnsi="Calibri" w:cs="Calibri"/>
        </w:rPr>
        <w:t>to align with</w:t>
      </w:r>
      <w:r w:rsidRPr="00182F6D">
        <w:rPr>
          <w:rFonts w:ascii="Calibri" w:hAnsi="Calibri" w:cs="Calibri"/>
        </w:rPr>
        <w:t xml:space="preserve"> </w:t>
      </w:r>
      <w:r w:rsidR="002A5580">
        <w:rPr>
          <w:rFonts w:ascii="Calibri" w:hAnsi="Calibri" w:cs="Calibri"/>
        </w:rPr>
        <w:t xml:space="preserve">EPA’s </w:t>
      </w:r>
      <w:r w:rsidRPr="00182F6D" w:rsidR="00FA616F">
        <w:rPr>
          <w:rFonts w:ascii="Calibri" w:hAnsi="Calibri" w:cs="Calibri"/>
        </w:rPr>
        <w:t>CGP</w:t>
      </w:r>
      <w:r w:rsidRPr="00182F6D" w:rsidR="00C83679">
        <w:rPr>
          <w:rFonts w:ascii="Calibri" w:hAnsi="Calibri" w:cs="Calibri"/>
        </w:rPr>
        <w:t>.</w:t>
      </w:r>
      <w:r w:rsidRPr="00182F6D" w:rsidR="003306F8">
        <w:rPr>
          <w:rFonts w:ascii="Calibri" w:hAnsi="Calibri" w:cs="Calibri"/>
        </w:rPr>
        <w:t xml:space="preserve"> </w:t>
      </w:r>
    </w:p>
    <w:p w:rsidR="008B04B6" w:rsidP="004857C7" w14:paraId="5756563B" w14:textId="45D25083">
      <w:pPr>
        <w:spacing w:after="100" w:afterAutospacing="1" w:line="240" w:lineRule="auto"/>
        <w:rPr>
          <w:rFonts w:ascii="Calibri" w:hAnsi="Calibri" w:cs="Calibri"/>
        </w:rPr>
      </w:pPr>
      <w:r w:rsidRPr="00EB5DF1">
        <w:rPr>
          <w:rFonts w:ascii="Calibri" w:hAnsi="Calibri" w:cs="Calibri"/>
        </w:rPr>
        <w:t xml:space="preserve">Table 1 summarizes the total recordkeeping and reporting burden estimate for the </w:t>
      </w:r>
      <w:r w:rsidR="00AB5440">
        <w:rPr>
          <w:rFonts w:ascii="Calibri" w:hAnsi="Calibri" w:cs="Calibri"/>
        </w:rPr>
        <w:t xml:space="preserve">proposed </w:t>
      </w:r>
      <w:r w:rsidRPr="00EB5DF1">
        <w:rPr>
          <w:rFonts w:ascii="Calibri" w:hAnsi="Calibri" w:cs="Calibri"/>
        </w:rPr>
        <w:t xml:space="preserve">2026 MSGP. This ICR estimates a total annual incremental labor burden of </w:t>
      </w:r>
      <w:r w:rsidRPr="00353187" w:rsidR="3216EB37">
        <w:rPr>
          <w:rFonts w:ascii="Calibri" w:eastAsia="Calibri" w:hAnsi="Calibri" w:cs="Calibri"/>
        </w:rPr>
        <w:t>2</w:t>
      </w:r>
      <w:r w:rsidRPr="00353187" w:rsidR="00191466">
        <w:rPr>
          <w:rFonts w:ascii="Calibri" w:eastAsia="Calibri" w:hAnsi="Calibri" w:cs="Calibri"/>
        </w:rPr>
        <w:t>2</w:t>
      </w:r>
      <w:r w:rsidRPr="00353187" w:rsidR="3216EB37">
        <w:rPr>
          <w:rFonts w:ascii="Calibri" w:eastAsia="Calibri" w:hAnsi="Calibri" w:cs="Calibri"/>
        </w:rPr>
        <w:t>,</w:t>
      </w:r>
      <w:r w:rsidRPr="00353187" w:rsidR="00191466">
        <w:rPr>
          <w:rFonts w:ascii="Calibri" w:eastAsia="Calibri" w:hAnsi="Calibri" w:cs="Calibri"/>
        </w:rPr>
        <w:t>543</w:t>
      </w:r>
      <w:r w:rsidRPr="00EB5DF1">
        <w:rPr>
          <w:rFonts w:ascii="Calibri" w:hAnsi="Calibri" w:cs="Calibri"/>
        </w:rPr>
        <w:t xml:space="preserve"> hours for respondents at a </w:t>
      </w:r>
      <w:r w:rsidRPr="00EB5DF1">
        <w:rPr>
          <w:rFonts w:ascii="Calibri" w:hAnsi="Calibri" w:cs="Calibri"/>
        </w:rPr>
        <w:t xml:space="preserve">total incremental annual </w:t>
      </w:r>
      <w:r w:rsidR="002238C3">
        <w:rPr>
          <w:rFonts w:ascii="Calibri" w:hAnsi="Calibri" w:cs="Calibri"/>
        </w:rPr>
        <w:t>total</w:t>
      </w:r>
      <w:r w:rsidRPr="00EB5DF1" w:rsidR="00964832">
        <w:rPr>
          <w:rFonts w:ascii="Calibri" w:hAnsi="Calibri" w:cs="Calibri"/>
        </w:rPr>
        <w:t xml:space="preserve"> </w:t>
      </w:r>
      <w:r w:rsidRPr="00EB5DF1">
        <w:rPr>
          <w:rFonts w:ascii="Calibri" w:hAnsi="Calibri" w:cs="Calibri"/>
        </w:rPr>
        <w:t>cost of $</w:t>
      </w:r>
      <w:r w:rsidR="00FC6BB8">
        <w:rPr>
          <w:rFonts w:ascii="Calibri" w:eastAsia="Calibri" w:hAnsi="Calibri" w:cs="Calibri"/>
        </w:rPr>
        <w:t>1,014</w:t>
      </w:r>
      <w:r w:rsidR="00360C2B">
        <w:rPr>
          <w:rFonts w:ascii="Calibri" w:eastAsia="Calibri" w:hAnsi="Calibri" w:cs="Calibri"/>
        </w:rPr>
        <w:t>,989.56</w:t>
      </w:r>
      <w:r w:rsidRPr="0C5C3ED0">
        <w:rPr>
          <w:rFonts w:ascii="Calibri" w:hAnsi="Calibri" w:cs="Calibri"/>
        </w:rPr>
        <w:t>.</w:t>
      </w:r>
      <w:r w:rsidRPr="00EB5DF1">
        <w:rPr>
          <w:rFonts w:ascii="Calibri" w:hAnsi="Calibri" w:cs="Calibri"/>
        </w:rPr>
        <w:t xml:space="preserve"> The Agency incremental labor burden is </w:t>
      </w:r>
      <w:r w:rsidR="0005091D">
        <w:rPr>
          <w:rFonts w:ascii="Calibri" w:eastAsia="Times New Roman" w:hAnsi="Calibri" w:cs="Calibri"/>
          <w:color w:val="000000" w:themeColor="text1"/>
        </w:rPr>
        <w:t>198</w:t>
      </w:r>
      <w:r w:rsidRPr="0C5C3ED0">
        <w:rPr>
          <w:rFonts w:ascii="Calibri" w:eastAsia="Times New Roman" w:hAnsi="Calibri" w:cs="Calibri"/>
          <w:color w:val="000000" w:themeColor="text1"/>
        </w:rPr>
        <w:t xml:space="preserve"> </w:t>
      </w:r>
      <w:r w:rsidRPr="00EB5DF1">
        <w:rPr>
          <w:rFonts w:ascii="Calibri" w:hAnsi="Calibri" w:cs="Calibri"/>
        </w:rPr>
        <w:t xml:space="preserve">hours annually at an incremental annual </w:t>
      </w:r>
      <w:r w:rsidRPr="00EB5DF1">
        <w:rPr>
          <w:rFonts w:ascii="Calibri" w:hAnsi="Calibri" w:cs="Calibri"/>
        </w:rPr>
        <w:t>labor cost of $</w:t>
      </w:r>
      <w:r w:rsidR="00B52766">
        <w:rPr>
          <w:rFonts w:ascii="Calibri" w:hAnsi="Calibri" w:cs="Calibri"/>
        </w:rPr>
        <w:t>1</w:t>
      </w:r>
      <w:r w:rsidR="0005091D">
        <w:rPr>
          <w:rFonts w:ascii="Calibri" w:hAnsi="Calibri" w:cs="Calibri"/>
        </w:rPr>
        <w:t>0,165.38</w:t>
      </w:r>
      <w:r w:rsidRPr="00EB5DF1">
        <w:rPr>
          <w:rFonts w:ascii="Calibri" w:hAnsi="Calibri" w:cs="Calibri"/>
        </w:rPr>
        <w:t xml:space="preserve">. There are </w:t>
      </w:r>
      <w:r w:rsidR="000A6602">
        <w:rPr>
          <w:rFonts w:ascii="Calibri" w:hAnsi="Calibri" w:cs="Calibri"/>
        </w:rPr>
        <w:t>also</w:t>
      </w:r>
      <w:r w:rsidRPr="00EB5DF1" w:rsidR="000A6602">
        <w:rPr>
          <w:rFonts w:ascii="Calibri" w:hAnsi="Calibri" w:cs="Calibri"/>
        </w:rPr>
        <w:t xml:space="preserve"> </w:t>
      </w:r>
      <w:r w:rsidRPr="00EB5DF1">
        <w:rPr>
          <w:rFonts w:ascii="Calibri" w:hAnsi="Calibri" w:cs="Calibri"/>
        </w:rPr>
        <w:t xml:space="preserve">capital and operations and maintenance (O&amp;M) costs associated with this ICR. </w:t>
      </w:r>
    </w:p>
    <w:tbl>
      <w:tblPr>
        <w:tblStyle w:val="TableGrid"/>
        <w:tblW w:w="0" w:type="auto"/>
        <w:tblInd w:w="1072" w:type="dxa"/>
        <w:tblLook w:val="04A0"/>
      </w:tblPr>
      <w:tblGrid>
        <w:gridCol w:w="2306"/>
        <w:gridCol w:w="2557"/>
        <w:gridCol w:w="2070"/>
      </w:tblGrid>
      <w:tr w14:paraId="3AAA2620" w14:textId="77777777" w:rsidTr="000714BA">
        <w:tblPrEx>
          <w:tblW w:w="0" w:type="auto"/>
          <w:tblInd w:w="1072" w:type="dxa"/>
          <w:tblLook w:val="04A0"/>
        </w:tblPrEx>
        <w:tc>
          <w:tcPr>
            <w:tcW w:w="2306" w:type="dxa"/>
            <w:vMerge w:val="restart"/>
            <w:tcBorders>
              <w:top w:val="single" w:sz="4" w:space="0" w:color="auto"/>
            </w:tcBorders>
          </w:tcPr>
          <w:p w:rsidR="00666E79" w:rsidP="003C0399" w14:paraId="2636F6FE" w14:textId="77777777">
            <w:pPr>
              <w:spacing w:after="100" w:afterAutospacing="1"/>
              <w:contextualSpacing/>
              <w:rPr>
                <w:rFonts w:ascii="Calibri" w:hAnsi="Calibri" w:cs="Calibri"/>
                <w:b/>
              </w:rPr>
            </w:pPr>
            <w:r>
              <w:rPr>
                <w:rFonts w:ascii="Calibri" w:hAnsi="Calibri" w:cs="Calibri"/>
                <w:b/>
              </w:rPr>
              <w:t>Burden Category</w:t>
            </w:r>
          </w:p>
        </w:tc>
        <w:tc>
          <w:tcPr>
            <w:tcW w:w="4627" w:type="dxa"/>
            <w:gridSpan w:val="2"/>
            <w:tcBorders>
              <w:top w:val="single" w:sz="4" w:space="0" w:color="auto"/>
            </w:tcBorders>
          </w:tcPr>
          <w:p w:rsidR="00666E79" w:rsidP="003C0399" w14:paraId="28E37FCA" w14:textId="4B31C1EF">
            <w:pPr>
              <w:spacing w:after="100" w:afterAutospacing="1"/>
              <w:contextualSpacing/>
              <w:rPr>
                <w:rFonts w:ascii="Calibri" w:hAnsi="Calibri" w:cs="Calibri"/>
                <w:b/>
              </w:rPr>
            </w:pPr>
            <w:r>
              <w:rPr>
                <w:rFonts w:ascii="Calibri" w:hAnsi="Calibri" w:cs="Calibri"/>
                <w:b/>
              </w:rPr>
              <w:t>Incremental Increase in Burden from the NPDES Programmatic ICR (2023) to 2026 MSGP</w:t>
            </w:r>
          </w:p>
        </w:tc>
      </w:tr>
      <w:tr w14:paraId="447955E4" w14:textId="77777777" w:rsidTr="000714BA">
        <w:tblPrEx>
          <w:tblW w:w="0" w:type="auto"/>
          <w:tblInd w:w="1072" w:type="dxa"/>
          <w:tblLook w:val="04A0"/>
        </w:tblPrEx>
        <w:tc>
          <w:tcPr>
            <w:tcW w:w="2306" w:type="dxa"/>
            <w:vMerge/>
          </w:tcPr>
          <w:p w:rsidR="00666E79" w:rsidP="003C0399" w14:paraId="2C8566E1" w14:textId="77777777">
            <w:pPr>
              <w:spacing w:after="100" w:afterAutospacing="1"/>
              <w:contextualSpacing/>
              <w:rPr>
                <w:rFonts w:ascii="Calibri" w:hAnsi="Calibri" w:cs="Calibri"/>
                <w:b/>
              </w:rPr>
            </w:pPr>
          </w:p>
        </w:tc>
        <w:tc>
          <w:tcPr>
            <w:tcW w:w="2557" w:type="dxa"/>
          </w:tcPr>
          <w:p w:rsidR="00666E79" w:rsidP="003C0399" w14:paraId="0BFDD2DD" w14:textId="77777777">
            <w:pPr>
              <w:spacing w:after="100" w:afterAutospacing="1"/>
              <w:contextualSpacing/>
              <w:rPr>
                <w:rFonts w:ascii="Calibri" w:hAnsi="Calibri" w:cs="Calibri"/>
                <w:b/>
              </w:rPr>
            </w:pPr>
            <w:r>
              <w:rPr>
                <w:rFonts w:ascii="Calibri" w:hAnsi="Calibri" w:cs="Calibri"/>
                <w:b/>
              </w:rPr>
              <w:t>Labor Burden (hours)</w:t>
            </w:r>
          </w:p>
        </w:tc>
        <w:tc>
          <w:tcPr>
            <w:tcW w:w="2070" w:type="dxa"/>
          </w:tcPr>
          <w:p w:rsidR="00666E79" w:rsidP="003C0399" w14:paraId="238F1DDC" w14:textId="22D810E1">
            <w:pPr>
              <w:spacing w:after="100" w:afterAutospacing="1"/>
              <w:contextualSpacing/>
              <w:rPr>
                <w:rFonts w:ascii="Calibri" w:hAnsi="Calibri" w:cs="Calibri"/>
                <w:b/>
              </w:rPr>
            </w:pPr>
            <w:r>
              <w:rPr>
                <w:rFonts w:ascii="Calibri" w:hAnsi="Calibri" w:cs="Calibri"/>
                <w:b/>
              </w:rPr>
              <w:t>Total</w:t>
            </w:r>
            <w:r>
              <w:rPr>
                <w:rFonts w:ascii="Calibri" w:hAnsi="Calibri" w:cs="Calibri"/>
                <w:b/>
              </w:rPr>
              <w:t xml:space="preserve"> Cost ($)</w:t>
            </w:r>
          </w:p>
        </w:tc>
      </w:tr>
      <w:tr w14:paraId="40758B40" w14:textId="77777777" w:rsidTr="000714BA">
        <w:tblPrEx>
          <w:tblW w:w="0" w:type="auto"/>
          <w:tblInd w:w="1072" w:type="dxa"/>
          <w:tblLook w:val="04A0"/>
        </w:tblPrEx>
        <w:tc>
          <w:tcPr>
            <w:tcW w:w="2306" w:type="dxa"/>
          </w:tcPr>
          <w:p w:rsidR="00666E79" w:rsidRPr="00C949DA" w:rsidP="003C0399" w14:paraId="7DE0E4EA" w14:textId="7483F64B">
            <w:pPr>
              <w:spacing w:after="100" w:afterAutospacing="1"/>
              <w:contextualSpacing/>
              <w:rPr>
                <w:rFonts w:ascii="Calibri" w:eastAsia="Calibri" w:hAnsi="Calibri" w:cs="Calibri"/>
              </w:rPr>
            </w:pPr>
            <w:r w:rsidRPr="00C949DA">
              <w:rPr>
                <w:rFonts w:ascii="Calibri" w:hAnsi="Calibri" w:cs="Calibri"/>
                <w:bCs/>
              </w:rPr>
              <w:t>Total</w:t>
            </w:r>
            <w:r>
              <w:rPr>
                <w:rFonts w:ascii="Calibri" w:hAnsi="Calibri" w:cs="Calibri"/>
                <w:bCs/>
              </w:rPr>
              <w:t xml:space="preserve"> for Respondents</w:t>
            </w:r>
            <w:r w:rsidRPr="0C5C3ED0">
              <w:rPr>
                <w:rFonts w:ascii="Calibri" w:eastAsia="Calibri" w:hAnsi="Calibri" w:cs="Calibri"/>
                <w:vertAlign w:val="superscript"/>
              </w:rPr>
              <w:t xml:space="preserve"> 1</w:t>
            </w:r>
          </w:p>
        </w:tc>
        <w:tc>
          <w:tcPr>
            <w:tcW w:w="2557" w:type="dxa"/>
          </w:tcPr>
          <w:p w:rsidR="00666E79" w:rsidRPr="00353187" w:rsidP="003C0399" w14:paraId="2DF52DEA" w14:textId="4067C1FE">
            <w:pPr>
              <w:spacing w:after="100" w:afterAutospacing="1"/>
              <w:contextualSpacing/>
              <w:rPr>
                <w:rFonts w:ascii="Calibri" w:hAnsi="Calibri" w:cs="Calibri"/>
              </w:rPr>
            </w:pPr>
            <w:r w:rsidRPr="00353187">
              <w:rPr>
                <w:rFonts w:ascii="Calibri" w:hAnsi="Calibri" w:cs="Calibri"/>
              </w:rPr>
              <w:t>2</w:t>
            </w:r>
            <w:r w:rsidRPr="00353187" w:rsidR="00191466">
              <w:rPr>
                <w:rFonts w:ascii="Calibri" w:hAnsi="Calibri" w:cs="Calibri"/>
              </w:rPr>
              <w:t>2,543</w:t>
            </w:r>
          </w:p>
        </w:tc>
        <w:tc>
          <w:tcPr>
            <w:tcW w:w="2070" w:type="dxa"/>
          </w:tcPr>
          <w:p w:rsidR="00666E79" w:rsidRPr="00255BD8" w:rsidP="003C0399" w14:paraId="31EF329D" w14:textId="55BB45F6">
            <w:pPr>
              <w:spacing w:after="100" w:afterAutospacing="1"/>
              <w:contextualSpacing/>
              <w:rPr>
                <w:rFonts w:ascii="Calibri" w:hAnsi="Calibri" w:cs="Calibri"/>
              </w:rPr>
            </w:pPr>
            <w:r>
              <w:rPr>
                <w:rFonts w:ascii="Calibri" w:hAnsi="Calibri" w:cs="Calibri"/>
              </w:rPr>
              <w:t>1,014,989.56</w:t>
            </w:r>
          </w:p>
        </w:tc>
      </w:tr>
      <w:tr w14:paraId="0C89B91E" w14:textId="77777777" w:rsidTr="000714BA">
        <w:tblPrEx>
          <w:tblW w:w="0" w:type="auto"/>
          <w:tblInd w:w="1072" w:type="dxa"/>
          <w:tblLook w:val="04A0"/>
        </w:tblPrEx>
        <w:tc>
          <w:tcPr>
            <w:tcW w:w="2306" w:type="dxa"/>
          </w:tcPr>
          <w:p w:rsidR="00666E79" w:rsidP="003C0399" w14:paraId="786BE466" w14:textId="6DA55C30">
            <w:pPr>
              <w:spacing w:after="100" w:afterAutospacing="1"/>
              <w:contextualSpacing/>
              <w:rPr>
                <w:rFonts w:ascii="Calibri" w:eastAsia="Calibri" w:hAnsi="Calibri" w:cs="Calibri"/>
              </w:rPr>
            </w:pPr>
            <w:r>
              <w:rPr>
                <w:rFonts w:ascii="Calibri" w:hAnsi="Calibri" w:cs="Calibri"/>
                <w:bCs/>
              </w:rPr>
              <w:t>Total for Agency</w:t>
            </w:r>
            <w:r w:rsidRPr="0C5C3ED0">
              <w:rPr>
                <w:rFonts w:ascii="Calibri" w:eastAsia="Calibri" w:hAnsi="Calibri" w:cs="Calibri"/>
                <w:vertAlign w:val="superscript"/>
              </w:rPr>
              <w:t xml:space="preserve"> 2</w:t>
            </w:r>
          </w:p>
        </w:tc>
        <w:tc>
          <w:tcPr>
            <w:tcW w:w="2557" w:type="dxa"/>
          </w:tcPr>
          <w:p w:rsidR="00666E79" w:rsidRPr="00255BD8" w:rsidP="003C0399" w14:paraId="7854C428" w14:textId="62B7298E">
            <w:pPr>
              <w:spacing w:after="100" w:afterAutospacing="1"/>
              <w:contextualSpacing/>
              <w:rPr>
                <w:rFonts w:ascii="Calibri" w:hAnsi="Calibri" w:cs="Calibri"/>
              </w:rPr>
            </w:pPr>
            <w:r>
              <w:rPr>
                <w:rFonts w:ascii="Calibri" w:hAnsi="Calibri" w:cs="Calibri"/>
              </w:rPr>
              <w:t>198</w:t>
            </w:r>
          </w:p>
        </w:tc>
        <w:tc>
          <w:tcPr>
            <w:tcW w:w="2070" w:type="dxa"/>
          </w:tcPr>
          <w:p w:rsidR="00666E79" w:rsidRPr="00255BD8" w:rsidP="003C0399" w14:paraId="66F628D7" w14:textId="7AD0EAF7">
            <w:pPr>
              <w:spacing w:after="100" w:afterAutospacing="1"/>
              <w:contextualSpacing/>
              <w:rPr>
                <w:rFonts w:ascii="Calibri" w:hAnsi="Calibri" w:cs="Calibri"/>
              </w:rPr>
            </w:pPr>
            <w:r>
              <w:rPr>
                <w:rFonts w:ascii="Calibri" w:hAnsi="Calibri" w:cs="Calibri"/>
              </w:rPr>
              <w:t>10,165.38</w:t>
            </w:r>
          </w:p>
        </w:tc>
      </w:tr>
    </w:tbl>
    <w:p w:rsidR="008B04B6" w:rsidP="00932D56" w14:paraId="21B28CD7" w14:textId="14470CE3">
      <w:pPr>
        <w:spacing w:after="0" w:line="240" w:lineRule="auto"/>
        <w:ind w:left="1170"/>
        <w:rPr>
          <w:rFonts w:ascii="Calibri" w:eastAsia="Calibri" w:hAnsi="Calibri" w:cs="Calibri"/>
          <w:sz w:val="18"/>
          <w:szCs w:val="18"/>
        </w:rPr>
      </w:pPr>
      <w:r w:rsidRPr="0C5C3ED0">
        <w:rPr>
          <w:rFonts w:ascii="Calibri" w:eastAsia="Calibri" w:hAnsi="Calibri" w:cs="Calibri"/>
          <w:sz w:val="18"/>
          <w:szCs w:val="18"/>
          <w:vertAlign w:val="superscript"/>
        </w:rPr>
        <w:t>1</w:t>
      </w:r>
      <w:r w:rsidRPr="0C5C3ED0">
        <w:rPr>
          <w:rFonts w:ascii="Calibri" w:eastAsia="Calibri" w:hAnsi="Calibri" w:cs="Calibri"/>
          <w:sz w:val="18"/>
          <w:szCs w:val="18"/>
        </w:rPr>
        <w:t xml:space="preserve"> The cost for Respondents includes labor, capital and operations and maintenance (O&amp;M) costs. </w:t>
      </w:r>
    </w:p>
    <w:p w:rsidR="008B04B6" w:rsidP="00932D56" w14:paraId="31D3A706" w14:textId="6BADAEC0">
      <w:pPr>
        <w:spacing w:line="240" w:lineRule="auto"/>
        <w:ind w:left="1170"/>
        <w:rPr>
          <w:rFonts w:ascii="Calibri" w:eastAsia="Calibri" w:hAnsi="Calibri" w:cs="Calibri"/>
          <w:sz w:val="18"/>
          <w:szCs w:val="18"/>
        </w:rPr>
      </w:pPr>
      <w:r w:rsidRPr="0C5C3ED0">
        <w:rPr>
          <w:rFonts w:ascii="Calibri" w:eastAsia="Calibri" w:hAnsi="Calibri" w:cs="Calibri"/>
          <w:sz w:val="18"/>
          <w:szCs w:val="18"/>
          <w:vertAlign w:val="superscript"/>
        </w:rPr>
        <w:t xml:space="preserve">2 </w:t>
      </w:r>
      <w:r w:rsidRPr="0C5C3ED0">
        <w:rPr>
          <w:rFonts w:ascii="Calibri" w:eastAsia="Calibri" w:hAnsi="Calibri" w:cs="Calibri"/>
          <w:sz w:val="18"/>
          <w:szCs w:val="18"/>
        </w:rPr>
        <w:t>The cost for Agency includes labor only (no capital/O&amp;M costs).</w:t>
      </w:r>
    </w:p>
    <w:p w:rsidR="00BF7607" w:rsidP="00F44D66" w14:paraId="6D913BF9" w14:textId="77777777">
      <w:pPr>
        <w:spacing w:after="100" w:afterAutospacing="1" w:line="240" w:lineRule="auto"/>
        <w:contextualSpacing/>
        <w:rPr>
          <w:rFonts w:ascii="Calibri" w:hAnsi="Calibri" w:cs="Calibri"/>
          <w:bCs/>
        </w:rPr>
      </w:pPr>
    </w:p>
    <w:p w:rsidR="00F44D66" w:rsidP="00F44D66" w14:paraId="78080106" w14:textId="5450D704">
      <w:pPr>
        <w:spacing w:after="100" w:afterAutospacing="1" w:line="240" w:lineRule="auto"/>
        <w:contextualSpacing/>
        <w:rPr>
          <w:rFonts w:ascii="Calibri" w:hAnsi="Calibri" w:cs="Calibri"/>
          <w:bCs/>
        </w:rPr>
      </w:pPr>
      <w:r w:rsidRPr="00E2329D">
        <w:rPr>
          <w:rFonts w:ascii="Calibri" w:hAnsi="Calibri" w:cs="Calibri"/>
          <w:bCs/>
        </w:rPr>
        <w:t>The total burden in th</w:t>
      </w:r>
      <w:r w:rsidR="002768C7">
        <w:rPr>
          <w:rFonts w:ascii="Calibri" w:hAnsi="Calibri" w:cs="Calibri"/>
          <w:bCs/>
        </w:rPr>
        <w:t>is</w:t>
      </w:r>
      <w:r w:rsidRPr="00E2329D">
        <w:rPr>
          <w:rFonts w:ascii="Calibri" w:hAnsi="Calibri" w:cs="Calibri"/>
          <w:bCs/>
        </w:rPr>
        <w:t xml:space="preserve"> ICR is based on annual averages over </w:t>
      </w:r>
      <w:r w:rsidR="002768C7">
        <w:rPr>
          <w:rFonts w:ascii="Calibri" w:hAnsi="Calibri" w:cs="Calibri"/>
          <w:bCs/>
        </w:rPr>
        <w:t>the 5-</w:t>
      </w:r>
      <w:r w:rsidRPr="00E2329D">
        <w:rPr>
          <w:rFonts w:ascii="Calibri" w:hAnsi="Calibri" w:cs="Calibri"/>
          <w:bCs/>
        </w:rPr>
        <w:t>year</w:t>
      </w:r>
      <w:r w:rsidR="002768C7">
        <w:rPr>
          <w:rFonts w:ascii="Calibri" w:hAnsi="Calibri" w:cs="Calibri"/>
          <w:bCs/>
        </w:rPr>
        <w:t xml:space="preserve"> permit term</w:t>
      </w:r>
      <w:r w:rsidRPr="00E2329D">
        <w:rPr>
          <w:rFonts w:ascii="Calibri" w:hAnsi="Calibri" w:cs="Calibri"/>
          <w:bCs/>
        </w:rPr>
        <w:t xml:space="preserve">. </w:t>
      </w:r>
      <w:r w:rsidR="00904F20">
        <w:rPr>
          <w:rFonts w:ascii="Calibri" w:hAnsi="Calibri" w:cs="Calibri"/>
          <w:bCs/>
        </w:rPr>
        <w:t>Beca</w:t>
      </w:r>
      <w:r w:rsidR="009D11FC">
        <w:rPr>
          <w:rFonts w:ascii="Calibri" w:hAnsi="Calibri" w:cs="Calibri"/>
          <w:bCs/>
        </w:rPr>
        <w:t xml:space="preserve">use </w:t>
      </w:r>
      <w:r w:rsidR="00865152">
        <w:rPr>
          <w:rFonts w:ascii="Calibri" w:hAnsi="Calibri" w:cs="Calibri"/>
          <w:bCs/>
        </w:rPr>
        <w:t xml:space="preserve">this </w:t>
      </w:r>
      <w:r w:rsidR="009D11FC">
        <w:rPr>
          <w:rFonts w:ascii="Calibri" w:hAnsi="Calibri" w:cs="Calibri"/>
          <w:bCs/>
        </w:rPr>
        <w:t>ICR</w:t>
      </w:r>
      <w:r w:rsidR="007A1677">
        <w:rPr>
          <w:rFonts w:ascii="Calibri" w:hAnsi="Calibri" w:cs="Calibri"/>
          <w:bCs/>
        </w:rPr>
        <w:t>, once approved, would</w:t>
      </w:r>
      <w:r w:rsidR="009D11FC">
        <w:rPr>
          <w:rFonts w:ascii="Calibri" w:hAnsi="Calibri" w:cs="Calibri"/>
          <w:bCs/>
        </w:rPr>
        <w:t xml:space="preserve"> </w:t>
      </w:r>
      <w:r w:rsidR="004E594F">
        <w:rPr>
          <w:rFonts w:ascii="Calibri" w:hAnsi="Calibri" w:cs="Calibri"/>
          <w:bCs/>
        </w:rPr>
        <w:t xml:space="preserve">expire </w:t>
      </w:r>
      <w:r w:rsidR="00865152">
        <w:rPr>
          <w:rFonts w:ascii="Calibri" w:hAnsi="Calibri" w:cs="Calibri"/>
          <w:bCs/>
        </w:rPr>
        <w:t xml:space="preserve">in </w:t>
      </w:r>
      <w:r w:rsidR="004E594F">
        <w:rPr>
          <w:rFonts w:ascii="Calibri" w:hAnsi="Calibri" w:cs="Calibri"/>
          <w:bCs/>
        </w:rPr>
        <w:t>three years</w:t>
      </w:r>
      <w:r w:rsidR="00865152">
        <w:rPr>
          <w:rFonts w:ascii="Calibri" w:hAnsi="Calibri" w:cs="Calibri"/>
          <w:bCs/>
        </w:rPr>
        <w:t xml:space="preserve"> (</w:t>
      </w:r>
      <w:r w:rsidR="007A1677">
        <w:rPr>
          <w:rFonts w:ascii="Calibri" w:hAnsi="Calibri" w:cs="Calibri"/>
          <w:bCs/>
        </w:rPr>
        <w:t xml:space="preserve">estimated as </w:t>
      </w:r>
      <w:r w:rsidR="00865152">
        <w:rPr>
          <w:rFonts w:ascii="Calibri" w:hAnsi="Calibri" w:cs="Calibri"/>
          <w:bCs/>
        </w:rPr>
        <w:t>2029)</w:t>
      </w:r>
      <w:r w:rsidR="004E594F">
        <w:rPr>
          <w:rFonts w:ascii="Calibri" w:hAnsi="Calibri" w:cs="Calibri"/>
          <w:bCs/>
        </w:rPr>
        <w:t>, t</w:t>
      </w:r>
      <w:r w:rsidR="002768C7">
        <w:rPr>
          <w:rFonts w:ascii="Calibri" w:hAnsi="Calibri" w:cs="Calibri"/>
          <w:bCs/>
        </w:rPr>
        <w:t>he</w:t>
      </w:r>
      <w:r w:rsidRPr="00E2329D">
        <w:rPr>
          <w:rFonts w:ascii="Calibri" w:hAnsi="Calibri" w:cs="Calibri"/>
          <w:bCs/>
        </w:rPr>
        <w:t xml:space="preserve"> total burden </w:t>
      </w:r>
      <w:r w:rsidR="004E594F">
        <w:rPr>
          <w:rFonts w:ascii="Calibri" w:hAnsi="Calibri" w:cs="Calibri"/>
          <w:bCs/>
        </w:rPr>
        <w:t xml:space="preserve">included in </w:t>
      </w:r>
      <w:r w:rsidRPr="00E2329D">
        <w:rPr>
          <w:rFonts w:ascii="Calibri" w:hAnsi="Calibri" w:cs="Calibri"/>
          <w:bCs/>
        </w:rPr>
        <w:t xml:space="preserve">this ICR </w:t>
      </w:r>
      <w:r w:rsidR="00865152">
        <w:rPr>
          <w:rFonts w:ascii="Calibri" w:hAnsi="Calibri" w:cs="Calibri"/>
          <w:bCs/>
        </w:rPr>
        <w:t xml:space="preserve">is </w:t>
      </w:r>
      <w:r w:rsidR="004E594F">
        <w:rPr>
          <w:rFonts w:ascii="Calibri" w:hAnsi="Calibri" w:cs="Calibri"/>
          <w:bCs/>
        </w:rPr>
        <w:t>based on annual averages</w:t>
      </w:r>
      <w:r w:rsidR="00865152">
        <w:rPr>
          <w:rFonts w:ascii="Calibri" w:hAnsi="Calibri" w:cs="Calibri"/>
          <w:bCs/>
        </w:rPr>
        <w:t xml:space="preserve">, and years 1, 2, and 3 will be calculated based on </w:t>
      </w:r>
      <w:r w:rsidRPr="53F006E8" w:rsidR="00865152">
        <w:rPr>
          <w:rFonts w:ascii="Calibri" w:hAnsi="Calibri" w:cs="Calibri"/>
        </w:rPr>
        <w:t>th</w:t>
      </w:r>
      <w:r w:rsidRPr="53F006E8" w:rsidR="79D13773">
        <w:rPr>
          <w:rFonts w:ascii="Calibri" w:hAnsi="Calibri" w:cs="Calibri"/>
        </w:rPr>
        <w:t>o</w:t>
      </w:r>
      <w:r w:rsidRPr="53F006E8" w:rsidR="00826CE3">
        <w:rPr>
          <w:rFonts w:ascii="Calibri" w:hAnsi="Calibri" w:cs="Calibri"/>
        </w:rPr>
        <w:t>s</w:t>
      </w:r>
      <w:r w:rsidRPr="53F006E8" w:rsidR="006E6CB7">
        <w:rPr>
          <w:rFonts w:ascii="Calibri" w:hAnsi="Calibri" w:cs="Calibri"/>
        </w:rPr>
        <w:t>e</w:t>
      </w:r>
      <w:r w:rsidR="006E6CB7">
        <w:rPr>
          <w:rFonts w:ascii="Calibri" w:hAnsi="Calibri" w:cs="Calibri"/>
          <w:bCs/>
        </w:rPr>
        <w:t xml:space="preserve"> annual averages</w:t>
      </w:r>
      <w:r w:rsidR="004E594F">
        <w:rPr>
          <w:rFonts w:ascii="Calibri" w:hAnsi="Calibri" w:cs="Calibri"/>
          <w:bCs/>
        </w:rPr>
        <w:t>.</w:t>
      </w:r>
      <w:r w:rsidRPr="00E2329D">
        <w:rPr>
          <w:rFonts w:ascii="Calibri" w:hAnsi="Calibri" w:cs="Calibri"/>
          <w:bCs/>
        </w:rPr>
        <w:t xml:space="preserve"> </w:t>
      </w:r>
    </w:p>
    <w:p w:rsidR="00BF7607" w:rsidRPr="00E2329D" w:rsidP="00F44D66" w14:paraId="5349A2B2" w14:textId="77777777">
      <w:pPr>
        <w:spacing w:after="100" w:afterAutospacing="1" w:line="240" w:lineRule="auto"/>
        <w:contextualSpacing/>
        <w:rPr>
          <w:rFonts w:ascii="Calibri" w:hAnsi="Calibri" w:cs="Calibri"/>
          <w:bCs/>
        </w:rPr>
      </w:pPr>
    </w:p>
    <w:p w:rsidR="00DE4E0C" w:rsidRPr="00BB3410" w:rsidP="4BDBF0A0" w14:paraId="12DA0580" w14:textId="0AEE50D3">
      <w:pPr>
        <w:rPr>
          <w:b/>
          <w:bCs/>
          <w:u w:val="single"/>
        </w:rPr>
      </w:pPr>
      <w:r w:rsidRPr="4BDBF0A0">
        <w:rPr>
          <w:b/>
          <w:bCs/>
          <w:u w:val="single"/>
        </w:rPr>
        <w:t>Supporting Statement</w:t>
      </w:r>
      <w:bookmarkEnd w:id="0"/>
    </w:p>
    <w:p w:rsidR="00D47CB3" w:rsidRPr="00E3122D" w:rsidP="00EE47E2" w14:paraId="73FF37C3" w14:textId="4E1C4632">
      <w:pPr>
        <w:pStyle w:val="Heading1"/>
        <w:numPr>
          <w:ilvl w:val="0"/>
          <w:numId w:val="41"/>
        </w:numPr>
      </w:pPr>
      <w:bookmarkStart w:id="1" w:name="_Toc156593368"/>
      <w:r w:rsidRPr="00E3122D">
        <w:t>NEED AND AUTHORITY FOR THE COLLECTION</w:t>
      </w:r>
      <w:bookmarkEnd w:id="1"/>
    </w:p>
    <w:p w:rsidR="000606F7" w:rsidP="008052BF" w14:paraId="24CA6A01" w14:textId="77777777">
      <w:pPr>
        <w:spacing w:before="60"/>
        <w:rPr>
          <w:rFonts w:cstheme="minorHAnsi"/>
        </w:rPr>
      </w:pPr>
      <w:r w:rsidRPr="00D94EDF">
        <w:rPr>
          <w:rFonts w:cstheme="minorHAnsi"/>
        </w:rPr>
        <w:t xml:space="preserve">Congress passed the Federal Water Pollution Control Act of 1972 (Public Law 92-500, October 18, 1972) (hereinafter the Clean Water Act or CWA), 33 U.S.C. 1251 et </w:t>
      </w:r>
      <w:r w:rsidRPr="00D94EDF">
        <w:rPr>
          <w:rFonts w:cstheme="minorHAnsi"/>
        </w:rPr>
        <w:t xml:space="preserve">seq., with the stated objectives to "restore and maintain the chemical, physical, and biological integrity of the Nation's waters." Section 101(a), 33 U.S.C. 1251(a). To achieve this goal, the CWA provides that “the discharge of any pollutant by any person shall be unlawful” except in compliance with other provisions of the statute. CWA section 301(a). 33 U.S.C. 1311. The CWA defines “discharge of a pollutant” broadly to include “any addition of any pollutant to navigable waters from any point source.” CWA </w:t>
      </w:r>
      <w:r w:rsidRPr="00D94EDF">
        <w:rPr>
          <w:rFonts w:cstheme="minorHAnsi"/>
        </w:rPr>
        <w:t>section 502(12). 33 U.S.C. 1362(12). EPA is authorized under CWA section 402(a) to issue an NPDES permit for the discharge of any pollutant from a point source. These NPDES permits are issued by EPA or NPDES-authorized state or tribal agencies. Since 1972, EPA and the authorized states have issued NPDES permits to thousands of permittees, both industrial (e.g., manufacturing, energy, mining facilities, construction sites) and municipal (e.g., sewage treatment plants). As required under Title III of the CWA,</w:t>
      </w:r>
      <w:r w:rsidRPr="00D94EDF">
        <w:rPr>
          <w:rFonts w:cstheme="minorHAnsi"/>
        </w:rPr>
        <w:t xml:space="preserve"> EPA has promulgated Effluent Limitations Guidelines (ELGs) and New Source Performance Standards (NSPS) for many industrial point source categories and these requirements are incorporated into NPDES permits. The Water Quality Act (WQA) of 1987 (Public Law 100-4, February 4, 1987) amended the CWA, adding CWA section 402(p), requiring implementation of a comprehensive program for addressing stormwater discharges. 33 U.S.C. 1342(p). EPA published a final regulation on the first phase of this program on Novembe</w:t>
      </w:r>
      <w:r w:rsidRPr="00D94EDF">
        <w:rPr>
          <w:rFonts w:cstheme="minorHAnsi"/>
        </w:rPr>
        <w:t>r 16, 1990, establishing permit application requirements for “stormwater discharges associated with industrial activity”. See 55 FR 47990. EPA defined the term “stormwater discharge associated with industrial activity” in a comprehensive manner to cover a wide variety of facilities. See 40 CFR 122.26(b)(14). EPA issues the MSGP under this statutory and regulatory authority.</w:t>
      </w:r>
    </w:p>
    <w:p w:rsidR="000606F7" w:rsidRPr="008052BF" w:rsidP="008052BF" w14:paraId="721BFF63" w14:textId="27FCB577">
      <w:pPr>
        <w:spacing w:before="60"/>
        <w:rPr>
          <w:rFonts w:cstheme="minorHAnsi"/>
        </w:rPr>
      </w:pPr>
      <w:r w:rsidRPr="000606F7">
        <w:rPr>
          <w:rFonts w:cstheme="minorHAnsi"/>
        </w:rPr>
        <w:t>While the regulations establish EPA’s authority and requirement to collect information under the MSGP, EPA has specific needs for collecting the data, which include:</w:t>
      </w:r>
      <w:r w:rsidRPr="000606F7" w:rsidR="00465B77">
        <w:rPr>
          <w:rFonts w:cstheme="minorHAnsi"/>
        </w:rPr>
        <w:t xml:space="preserve"> </w:t>
      </w:r>
    </w:p>
    <w:p w:rsidR="000606F7" w:rsidP="000606F7" w14:paraId="08BB4CD2" w14:textId="1B644E49">
      <w:pPr>
        <w:pStyle w:val="ListParagraph"/>
        <w:numPr>
          <w:ilvl w:val="0"/>
          <w:numId w:val="29"/>
        </w:numPr>
        <w:spacing w:after="100" w:afterAutospacing="1" w:line="240" w:lineRule="auto"/>
        <w:rPr>
          <w:rFonts w:ascii="Calibri" w:hAnsi="Calibri" w:cs="Calibri"/>
        </w:rPr>
      </w:pPr>
      <w:r>
        <w:rPr>
          <w:rFonts w:ascii="Calibri" w:hAnsi="Calibri" w:cs="Calibri"/>
        </w:rPr>
        <w:t xml:space="preserve">To provide information supporting </w:t>
      </w:r>
      <w:r w:rsidRPr="00C860E0">
        <w:rPr>
          <w:rFonts w:ascii="Calibri" w:hAnsi="Calibri" w:cs="Calibri"/>
        </w:rPr>
        <w:t>respondent</w:t>
      </w:r>
      <w:r>
        <w:rPr>
          <w:rFonts w:ascii="Calibri" w:hAnsi="Calibri" w:cs="Calibri"/>
        </w:rPr>
        <w:t xml:space="preserve"> eligibility to be covered by the permit;</w:t>
      </w:r>
    </w:p>
    <w:p w:rsidR="000606F7" w:rsidRPr="001E010D" w:rsidP="000606F7" w14:paraId="147ED555"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To provide information on pollutant discharge trends for performance measures;</w:t>
      </w:r>
    </w:p>
    <w:p w:rsidR="000606F7" w:rsidRPr="001E010D" w:rsidP="000606F7" w14:paraId="60CADB75"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provide information to </w:t>
      </w:r>
      <w:r>
        <w:rPr>
          <w:rFonts w:ascii="Calibri" w:hAnsi="Calibri" w:cs="Calibri"/>
        </w:rPr>
        <w:t>EPA</w:t>
      </w:r>
      <w:r w:rsidRPr="001E010D">
        <w:rPr>
          <w:rFonts w:ascii="Calibri" w:hAnsi="Calibri" w:cs="Calibri"/>
        </w:rPr>
        <w:t xml:space="preserve"> and states to prioritize permit activities;</w:t>
      </w:r>
    </w:p>
    <w:p w:rsidR="000606F7" w:rsidRPr="001E010D" w:rsidP="000606F7" w14:paraId="6152144C"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determine whether </w:t>
      </w:r>
      <w:r w:rsidRPr="00E51ADA">
        <w:rPr>
          <w:rFonts w:ascii="Calibri" w:hAnsi="Calibri" w:cs="Calibri"/>
        </w:rPr>
        <w:t>respondent</w:t>
      </w:r>
      <w:r>
        <w:rPr>
          <w:rFonts w:ascii="Calibri" w:hAnsi="Calibri" w:cs="Calibri"/>
        </w:rPr>
        <w:t>s</w:t>
      </w:r>
      <w:r w:rsidRPr="00E51ADA">
        <w:rPr>
          <w:rFonts w:ascii="Calibri" w:hAnsi="Calibri" w:cs="Calibri"/>
        </w:rPr>
        <w:t xml:space="preserve"> </w:t>
      </w:r>
      <w:r w:rsidRPr="001E010D">
        <w:rPr>
          <w:rFonts w:ascii="Calibri" w:hAnsi="Calibri" w:cs="Calibri"/>
        </w:rPr>
        <w:t>are in compliance with permit conditions; and</w:t>
      </w:r>
    </w:p>
    <w:p w:rsidR="000606F7" w:rsidRPr="00EE47E2" w:rsidP="00EE47E2" w14:paraId="1EAF3AC6" w14:textId="70031311">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provide information to </w:t>
      </w:r>
      <w:r>
        <w:rPr>
          <w:rFonts w:ascii="Calibri" w:hAnsi="Calibri" w:cs="Calibri"/>
        </w:rPr>
        <w:t>EPA</w:t>
      </w:r>
      <w:r w:rsidRPr="001E010D">
        <w:rPr>
          <w:rFonts w:ascii="Calibri" w:hAnsi="Calibri" w:cs="Calibri"/>
        </w:rPr>
        <w:t xml:space="preserve"> to determine the need for and develop permit limits. </w:t>
      </w:r>
    </w:p>
    <w:p w:rsidR="00D47CB3" w:rsidRPr="00E3122D" w:rsidP="00EE47E2" w14:paraId="24F38A28" w14:textId="57010237">
      <w:pPr>
        <w:pStyle w:val="Heading1"/>
        <w:numPr>
          <w:ilvl w:val="0"/>
          <w:numId w:val="41"/>
        </w:numPr>
      </w:pPr>
      <w:bookmarkStart w:id="2" w:name="_Toc156593369"/>
      <w:r w:rsidRPr="00E3122D">
        <w:t>PRACTICAL UTILITY/USERS OF THE DATA</w:t>
      </w:r>
      <w:bookmarkEnd w:id="2"/>
    </w:p>
    <w:p w:rsidR="00802AB5" w:rsidRPr="00073D95" w:rsidP="00DE7E93" w14:paraId="39EABD4D" w14:textId="78C6C61D">
      <w:pPr>
        <w:spacing w:before="60"/>
        <w:rPr>
          <w:rFonts w:ascii="Calibri" w:hAnsi="Calibri" w:cs="Calibri"/>
          <w:color w:val="000000"/>
          <w:shd w:val="clear" w:color="auto" w:fill="FFFFFF"/>
        </w:rPr>
      </w:pPr>
      <w:r w:rsidRPr="00073D95">
        <w:rPr>
          <w:rFonts w:ascii="Calibri" w:hAnsi="Calibri" w:cs="Calibri"/>
          <w:color w:val="000000"/>
          <w:shd w:val="clear" w:color="auto" w:fill="FFFFFF"/>
        </w:rPr>
        <w:t xml:space="preserve">This ICR includes information used primarily by permittees and EPA. EPA anticipates that other government agencies (both state and federal), as well as public interest groups, private companies, and individuals, will also use the data. Much of these data must be submitted </w:t>
      </w:r>
      <w:r w:rsidRPr="68AD14FA" w:rsidR="00F71A1F">
        <w:rPr>
          <w:rFonts w:ascii="Calibri" w:hAnsi="Calibri" w:cs="Calibri"/>
          <w:color w:val="000000" w:themeColor="text1"/>
        </w:rPr>
        <w:t xml:space="preserve">electronically </w:t>
      </w:r>
      <w:r w:rsidRPr="00073D95">
        <w:rPr>
          <w:rFonts w:ascii="Calibri" w:hAnsi="Calibri" w:cs="Calibri"/>
          <w:color w:val="000000"/>
          <w:shd w:val="clear" w:color="auto" w:fill="FFFFFF"/>
        </w:rPr>
        <w:t>to EPA, while other information must be maintained on-site by the permittee.</w:t>
      </w:r>
      <w:bookmarkStart w:id="3" w:name="_Toc156593370"/>
    </w:p>
    <w:p w:rsidR="00074917" w:rsidRPr="00073D95" w:rsidP="00DC21ED" w14:paraId="1522D565" w14:textId="36BFBCA3">
      <w:pPr>
        <w:pStyle w:val="Heading1"/>
        <w:numPr>
          <w:ilvl w:val="0"/>
          <w:numId w:val="41"/>
        </w:numPr>
      </w:pPr>
      <w:r w:rsidRPr="00073D95">
        <w:t>USE OF TECHNOLOGY</w:t>
      </w:r>
      <w:bookmarkEnd w:id="3"/>
    </w:p>
    <w:p w:rsidR="004255BE" w:rsidRPr="004255BE" w:rsidP="004255BE" w14:paraId="5B97A32F" w14:textId="02CC8B32">
      <w:pPr>
        <w:pBdr>
          <w:top w:val="single" w:sz="6" w:space="0" w:color="FFFFFF"/>
          <w:left w:val="single" w:sz="6" w:space="0" w:color="FFFFFF"/>
          <w:bottom w:val="single" w:sz="6" w:space="0" w:color="FFFFFF"/>
          <w:right w:val="single" w:sz="6" w:space="0" w:color="FFFFFF"/>
        </w:pBdr>
        <w:rPr>
          <w:rFonts w:ascii="Calibri" w:hAnsi="Calibri" w:cs="Calibri"/>
          <w:color w:val="000000"/>
          <w:shd w:val="clear" w:color="auto" w:fill="FFFFFF"/>
        </w:rPr>
      </w:pPr>
      <w:r w:rsidRPr="004255BE">
        <w:rPr>
          <w:rFonts w:ascii="Calibri" w:hAnsi="Calibri" w:cs="Calibri"/>
          <w:color w:val="000000"/>
          <w:shd w:val="clear" w:color="auto" w:fill="FFFFFF"/>
        </w:rPr>
        <w:t xml:space="preserve">EPA collects most information generated under the MSGP through the Integrated Compliance Information System (ICIS-NPDES) database via NeT-MSGP. EPA uses this information to assess permit compliance and trends. This technology also reduces the burden to EPA and the states for gathering and analyzing national permit and water quality data. </w:t>
      </w:r>
    </w:p>
    <w:p w:rsidR="009F1E00" w:rsidRPr="004255BE" w:rsidP="004255BE" w14:paraId="7B30150C" w14:textId="3E943DBF">
      <w:pPr>
        <w:pBdr>
          <w:top w:val="single" w:sz="6" w:space="0" w:color="FFFFFF"/>
          <w:left w:val="single" w:sz="6" w:space="0" w:color="FFFFFF"/>
          <w:bottom w:val="single" w:sz="6" w:space="0" w:color="FFFFFF"/>
          <w:right w:val="single" w:sz="6" w:space="0" w:color="FFFFFF"/>
        </w:pBdr>
        <w:rPr>
          <w:rFonts w:cstheme="minorHAnsi"/>
        </w:rPr>
      </w:pPr>
      <w:r w:rsidRPr="004255BE">
        <w:rPr>
          <w:rFonts w:ascii="Calibri" w:hAnsi="Calibri" w:cs="Calibri"/>
          <w:color w:val="000000"/>
          <w:shd w:val="clear" w:color="auto" w:fill="FFFFFF"/>
        </w:rPr>
        <w:t xml:space="preserve">The public may access much of the information generated under the permit via EPA tool Enforcement and Compliance History Online (ECHO) and through the E-Enterprise Permit Lookup. </w:t>
      </w:r>
    </w:p>
    <w:p w:rsidR="005263EC" w:rsidRPr="00980B1B" w:rsidP="00980B1B" w14:paraId="2CB3B868" w14:textId="75E0DBD3">
      <w:pPr>
        <w:pStyle w:val="Heading1"/>
        <w:numPr>
          <w:ilvl w:val="0"/>
          <w:numId w:val="41"/>
        </w:numPr>
      </w:pPr>
      <w:bookmarkStart w:id="4" w:name="_Toc156593371"/>
      <w:r w:rsidRPr="00980B1B">
        <w:t>EFFORTS TO IDENTIFY DUPLICATION</w:t>
      </w:r>
      <w:bookmarkEnd w:id="4"/>
    </w:p>
    <w:p w:rsidR="00CD133E" w:rsidRPr="00CD133E" w:rsidP="007A4CC7" w14:paraId="07825E9E" w14:textId="2FBCD2FD">
      <w:pPr>
        <w:spacing w:before="240" w:after="0"/>
        <w:rPr>
          <w:b/>
          <w:bCs/>
        </w:rPr>
      </w:pPr>
      <w:bookmarkStart w:id="5" w:name="_Toc156593372"/>
      <w:r w:rsidRPr="00CD133E">
        <w:rPr>
          <w:rFonts w:ascii="Calibri" w:hAnsi="Calibri" w:cs="Calibri"/>
          <w:color w:val="000000"/>
          <w:shd w:val="clear" w:color="auto" w:fill="FFFFFF"/>
        </w:rPr>
        <w:t>All information requested from respondents under this ICR is required in order to comply with the permit and is not available from other sources.</w:t>
      </w:r>
    </w:p>
    <w:p w:rsidR="00251151" w:rsidRPr="00E3122D" w:rsidP="00DC21ED" w14:paraId="79D36B3F" w14:textId="053DFB8E">
      <w:pPr>
        <w:pStyle w:val="Heading1"/>
        <w:numPr>
          <w:ilvl w:val="0"/>
          <w:numId w:val="41"/>
        </w:numPr>
      </w:pPr>
      <w:r w:rsidRPr="4BDBF0A0">
        <w:t xml:space="preserve">MINIMIZING BURDEN ON SMALL </w:t>
      </w:r>
      <w:r w:rsidRPr="4BDBF0A0" w:rsidR="0F43C128">
        <w:t xml:space="preserve">BUSINESSES AND SMALL </w:t>
      </w:r>
      <w:r w:rsidRPr="4BDBF0A0">
        <w:t>ENTITIES</w:t>
      </w:r>
      <w:bookmarkEnd w:id="5"/>
    </w:p>
    <w:p w:rsidR="00ED57A4" w:rsidRPr="007A4CC7" w:rsidP="00854AAE" w14:paraId="518B46AB" w14:textId="2A318D58">
      <w:pPr>
        <w:rPr>
          <w:rFonts w:cstheme="minorHAnsi"/>
        </w:rPr>
      </w:pPr>
      <w:r>
        <w:rPr>
          <w:rFonts w:ascii="Calibri" w:hAnsi="Calibri" w:cs="Calibri"/>
          <w:color w:val="000000"/>
          <w:shd w:val="clear" w:color="auto" w:fill="FFFFFF"/>
        </w:rPr>
        <w:t>T</w:t>
      </w:r>
      <w:r w:rsidRPr="007A4CC7" w:rsidR="007A4CC7">
        <w:rPr>
          <w:rFonts w:ascii="Calibri" w:hAnsi="Calibri" w:cs="Calibri"/>
          <w:color w:val="000000"/>
          <w:shd w:val="clear" w:color="auto" w:fill="FFFFFF"/>
        </w:rPr>
        <w:t xml:space="preserve">he reporting requirements discussed in this ICR do not place an unreasonable burden on small business. EPA and states have made extensive use of general permits to streamline the permitting process for both the respondent and EPA.  General permit procedures reduce burden associated with the application process and information submittals for industrial stormwater facilities. </w:t>
      </w:r>
    </w:p>
    <w:p w:rsidR="004252C1" w:rsidRPr="00980B1B" w:rsidP="00980B1B" w14:paraId="1FF5A778" w14:textId="372F8CF4">
      <w:pPr>
        <w:pStyle w:val="Heading1"/>
        <w:numPr>
          <w:ilvl w:val="0"/>
          <w:numId w:val="41"/>
        </w:numPr>
      </w:pPr>
      <w:bookmarkStart w:id="6" w:name="_Toc156593373"/>
      <w:r w:rsidRPr="00980B1B">
        <w:t>CONSEQUENCES</w:t>
      </w:r>
      <w:r w:rsidRPr="00980B1B" w:rsidR="00061A77">
        <w:t xml:space="preserve"> OF LESS FREQUENT COLLECTION</w:t>
      </w:r>
      <w:bookmarkEnd w:id="6"/>
    </w:p>
    <w:p w:rsidR="007101B6" w:rsidRPr="00855CB5" w:rsidP="007101B6" w14:paraId="67B86EDC" w14:textId="1FA589BD">
      <w:pPr>
        <w:pBdr>
          <w:top w:val="single" w:sz="6" w:space="0" w:color="FFFFFF"/>
          <w:left w:val="single" w:sz="6" w:space="0" w:color="FFFFFF"/>
          <w:bottom w:val="single" w:sz="6" w:space="0" w:color="FFFFFF"/>
          <w:right w:val="single" w:sz="6" w:space="0" w:color="FFFFFF"/>
        </w:pBdr>
        <w:rPr>
          <w:rFonts w:ascii="Calibri" w:hAnsi="Calibri" w:cs="Calibri"/>
          <w:color w:val="000000"/>
          <w:shd w:val="clear" w:color="auto" w:fill="FFFFFF"/>
        </w:rPr>
      </w:pPr>
      <w:r w:rsidRPr="00855CB5">
        <w:rPr>
          <w:rFonts w:ascii="Calibri" w:hAnsi="Calibri" w:cs="Calibri"/>
          <w:color w:val="000000"/>
          <w:shd w:val="clear" w:color="auto" w:fill="FFFFFF"/>
        </w:rPr>
        <w:t>EPA recognizes the importance of balancing the need for data collection efforts against respondent burden and costs. From the inception of the NPDES program, cost has been one of the major factors</w:t>
      </w:r>
      <w:r w:rsidR="00855CB5">
        <w:rPr>
          <w:rFonts w:ascii="Calibri" w:hAnsi="Calibri" w:cs="Calibri"/>
          <w:color w:val="000000"/>
          <w:shd w:val="clear" w:color="auto" w:fill="FFFFFF"/>
        </w:rPr>
        <w:t xml:space="preserve"> </w:t>
      </w:r>
      <w:r w:rsidRPr="00855CB5">
        <w:rPr>
          <w:rFonts w:ascii="Calibri" w:hAnsi="Calibri" w:cs="Calibri"/>
          <w:color w:val="000000"/>
          <w:shd w:val="clear" w:color="auto" w:fill="FFFFFF"/>
        </w:rPr>
        <w:t>considered in establishing application requirements, monitoring conditions, and report contents and frequencies. EPA regularly seeks new opportunities to reduce burden on the regulated community.</w:t>
      </w:r>
    </w:p>
    <w:p w:rsidR="00ED57A4" w:rsidRPr="00855CB5" w:rsidP="007101B6" w14:paraId="5934FB28" w14:textId="64FD357F">
      <w:pPr>
        <w:pBdr>
          <w:top w:val="single" w:sz="6" w:space="0" w:color="FFFFFF"/>
          <w:left w:val="single" w:sz="6" w:space="0" w:color="FFFFFF"/>
          <w:bottom w:val="single" w:sz="6" w:space="0" w:color="FFFFFF"/>
          <w:right w:val="single" w:sz="6" w:space="0" w:color="FFFFFF"/>
        </w:pBdr>
        <w:rPr>
          <w:rFonts w:cstheme="minorHAnsi"/>
          <w:color w:val="000000"/>
        </w:rPr>
      </w:pPr>
      <w:r w:rsidRPr="00855CB5">
        <w:rPr>
          <w:rFonts w:ascii="Calibri" w:hAnsi="Calibri" w:cs="Calibri"/>
          <w:color w:val="000000"/>
          <w:shd w:val="clear" w:color="auto" w:fill="FFFFFF"/>
        </w:rPr>
        <w:t xml:space="preserve">EPA and other stakeholders need current </w:t>
      </w:r>
      <w:r w:rsidRPr="00855CB5">
        <w:rPr>
          <w:rFonts w:ascii="Calibri" w:hAnsi="Calibri" w:cs="Calibri"/>
          <w:color w:val="000000"/>
          <w:shd w:val="clear" w:color="auto" w:fill="FFFFFF"/>
        </w:rPr>
        <w:t>information about respondents and discharge characteristics to fulfill oversight responsibilities. The burden described in this ICR identifies the burden that EPA has determined is necessary. EPA has determined that the information currently required is the minimum that is necessary to adequately evaluate compliance.</w:t>
      </w:r>
    </w:p>
    <w:p w:rsidR="00A233E0" w:rsidRPr="00E3122D" w:rsidP="00DC21ED" w14:paraId="27596CC0" w14:textId="3115ADA8">
      <w:pPr>
        <w:pStyle w:val="Heading1"/>
        <w:numPr>
          <w:ilvl w:val="0"/>
          <w:numId w:val="41"/>
        </w:numPr>
      </w:pPr>
      <w:bookmarkStart w:id="7" w:name="_Toc156593374"/>
      <w:r w:rsidRPr="00E3122D">
        <w:t>GENERAL GUIDELINES</w:t>
      </w:r>
      <w:bookmarkEnd w:id="7"/>
    </w:p>
    <w:p w:rsidR="00111663" w:rsidRPr="00DA78FF" w:rsidP="00DA78FF" w14:paraId="775EDF16" w14:textId="7966175D">
      <w:pPr>
        <w:spacing w:before="60"/>
        <w:rPr>
          <w:rFonts w:cstheme="minorHAnsi"/>
        </w:rPr>
      </w:pPr>
      <w:r w:rsidRPr="00DA78FF">
        <w:rPr>
          <w:rFonts w:cstheme="minorHAnsi"/>
        </w:rPr>
        <w:t>This information collection is consistent with OMB guidelines contained in 5 CFR 1320.5(d)(2). Requests for supplemental information for the purposes of emergency response or enforcement activities are exempt from the Paperwork Reduction Act requirements</w:t>
      </w:r>
      <w:r w:rsidRPr="00DA78FF" w:rsidR="00A233E0">
        <w:rPr>
          <w:rFonts w:cstheme="minorHAnsi"/>
        </w:rPr>
        <w:t>.</w:t>
      </w:r>
    </w:p>
    <w:p w:rsidR="006036CD" w:rsidRPr="00E3122D" w:rsidP="00980B1B" w14:paraId="02EE9B8D" w14:textId="4B0310F2">
      <w:pPr>
        <w:pStyle w:val="Heading1"/>
        <w:numPr>
          <w:ilvl w:val="0"/>
          <w:numId w:val="41"/>
        </w:numPr>
      </w:pPr>
      <w:bookmarkStart w:id="8" w:name="_Toc156593375"/>
      <w:r w:rsidRPr="00E3122D">
        <w:t>PUBLIC COMMENT AND CONSULTATIONS</w:t>
      </w:r>
      <w:bookmarkStart w:id="9" w:name="_Toc156593376"/>
      <w:bookmarkEnd w:id="8"/>
    </w:p>
    <w:p w:rsidR="00DD2682" w:rsidRPr="00980B1B" w:rsidP="00980B1B" w14:paraId="4922639E" w14:textId="016E742A">
      <w:pPr>
        <w:pStyle w:val="Heading2"/>
      </w:pPr>
      <w:r w:rsidRPr="00980B1B">
        <w:t xml:space="preserve">8a. </w:t>
      </w:r>
      <w:r w:rsidRPr="00980B1B" w:rsidR="00A82647">
        <w:t>Public Comment</w:t>
      </w:r>
      <w:bookmarkStart w:id="10" w:name="_Toc156593377"/>
      <w:bookmarkEnd w:id="9"/>
    </w:p>
    <w:p w:rsidR="00A456EA" w:rsidP="00A456EA" w14:paraId="6E30BD2E" w14:textId="77777777">
      <w:pPr>
        <w:pStyle w:val="Heading2"/>
        <w:rPr>
          <w:rFonts w:ascii="Calibri" w:hAnsi="Calibri" w:cs="Calibri"/>
          <w:b w:val="0"/>
          <w:bCs w:val="0"/>
        </w:rPr>
      </w:pPr>
      <w:r w:rsidRPr="00A456EA">
        <w:rPr>
          <w:rFonts w:ascii="Calibri" w:hAnsi="Calibri" w:cs="Calibri"/>
          <w:b w:val="0"/>
          <w:bCs w:val="0"/>
        </w:rPr>
        <w:t>The proposed rulemaking serves as the public notice for this ICR. Interested parties should submit comments referencing Docket ID No. EPA-HQ-OPPT-2020-0642 to the address listed at the end of this document. EPA will address any comments received from OMB or the public concerning the information collection activities contained in the rule, and the agency’s response, when developing the final rule.</w:t>
      </w:r>
    </w:p>
    <w:p w:rsidR="00DB7775" w:rsidRPr="001C7DBF" w:rsidP="00A456EA" w14:paraId="71A9B3CC" w14:textId="60F9E771">
      <w:pPr>
        <w:pStyle w:val="Heading2"/>
      </w:pPr>
      <w:r w:rsidRPr="001C7DBF">
        <w:t xml:space="preserve">8b. </w:t>
      </w:r>
      <w:r w:rsidRPr="001C7DBF" w:rsidR="0061689C">
        <w:t>C</w:t>
      </w:r>
      <w:bookmarkEnd w:id="10"/>
      <w:r w:rsidRPr="001C7DBF" w:rsidR="005D140B">
        <w:t>onsultations</w:t>
      </w:r>
    </w:p>
    <w:p w:rsidR="00111663" w:rsidRPr="00700C3C" w:rsidP="00854AAE" w14:paraId="5E198479" w14:textId="61F75D8C">
      <w:pPr>
        <w:rPr>
          <w:rFonts w:cstheme="minorHAnsi"/>
        </w:rPr>
      </w:pPr>
      <w:r w:rsidRPr="00E2329D">
        <w:rPr>
          <w:rFonts w:cstheme="minorHAnsi"/>
        </w:rPr>
        <w:t xml:space="preserve">EPA met with </w:t>
      </w:r>
      <w:r w:rsidRPr="00E2329D" w:rsidR="00427BE4">
        <w:rPr>
          <w:rFonts w:cstheme="minorHAnsi"/>
        </w:rPr>
        <w:t>stakeholders and</w:t>
      </w:r>
      <w:r w:rsidRPr="00E2329D">
        <w:rPr>
          <w:rFonts w:cstheme="minorHAnsi"/>
        </w:rPr>
        <w:t xml:space="preserve"> the regulated community during the development of the proposed permit to discuss</w:t>
      </w:r>
      <w:r w:rsidRPr="00E2329D" w:rsidR="00654270">
        <w:rPr>
          <w:rFonts w:cstheme="minorHAnsi"/>
        </w:rPr>
        <w:t xml:space="preserve"> the permit</w:t>
      </w:r>
      <w:r w:rsidRPr="00E2329D">
        <w:rPr>
          <w:rFonts w:cstheme="minorHAnsi"/>
        </w:rPr>
        <w:t xml:space="preserve">. EPA </w:t>
      </w:r>
      <w:r w:rsidRPr="00E2329D" w:rsidR="00255F0A">
        <w:rPr>
          <w:rFonts w:cstheme="minorHAnsi"/>
        </w:rPr>
        <w:t xml:space="preserve">is planning </w:t>
      </w:r>
      <w:r w:rsidRPr="00E2329D" w:rsidR="00F80260">
        <w:rPr>
          <w:rFonts w:cstheme="minorHAnsi"/>
        </w:rPr>
        <w:t xml:space="preserve">to request public comment on the </w:t>
      </w:r>
      <w:r w:rsidRPr="00E2329D" w:rsidR="00DB0109">
        <w:rPr>
          <w:rFonts w:cstheme="minorHAnsi"/>
        </w:rPr>
        <w:t xml:space="preserve">proposed changes to the permit and </w:t>
      </w:r>
      <w:r w:rsidRPr="00E2329D" w:rsidR="008B5A65">
        <w:rPr>
          <w:rFonts w:cstheme="minorHAnsi"/>
        </w:rPr>
        <w:t>the burden estimates associated with those changes</w:t>
      </w:r>
      <w:r w:rsidR="00306E3F">
        <w:rPr>
          <w:rFonts w:cstheme="minorHAnsi"/>
        </w:rPr>
        <w:t xml:space="preserve"> which are reflected in this ICR</w:t>
      </w:r>
      <w:r w:rsidRPr="00E2329D" w:rsidR="008B5A65">
        <w:rPr>
          <w:rFonts w:cstheme="minorHAnsi"/>
        </w:rPr>
        <w:t xml:space="preserve">. </w:t>
      </w:r>
      <w:r w:rsidRPr="00E2329D" w:rsidR="00643919">
        <w:rPr>
          <w:rFonts w:cstheme="minorHAnsi"/>
        </w:rPr>
        <w:t xml:space="preserve">EPA </w:t>
      </w:r>
      <w:r w:rsidRPr="00E2329D" w:rsidR="0043108F">
        <w:rPr>
          <w:rFonts w:cstheme="minorHAnsi"/>
        </w:rPr>
        <w:t xml:space="preserve">will consider all comments submitted on the </w:t>
      </w:r>
      <w:r w:rsidRPr="00E2329D" w:rsidR="000D4D79">
        <w:rPr>
          <w:rFonts w:cstheme="minorHAnsi"/>
        </w:rPr>
        <w:t>draft permit and draft ICR</w:t>
      </w:r>
      <w:r w:rsidRPr="00E2329D" w:rsidR="001C72C1">
        <w:rPr>
          <w:rFonts w:cstheme="minorHAnsi"/>
        </w:rPr>
        <w:t xml:space="preserve"> prior to </w:t>
      </w:r>
      <w:r w:rsidRPr="00E2329D">
        <w:rPr>
          <w:rFonts w:cstheme="minorHAnsi"/>
        </w:rPr>
        <w:t xml:space="preserve">permit </w:t>
      </w:r>
      <w:r w:rsidRPr="00E2329D" w:rsidR="00E13543">
        <w:rPr>
          <w:rFonts w:cstheme="minorHAnsi"/>
        </w:rPr>
        <w:t>finalization.</w:t>
      </w:r>
    </w:p>
    <w:p w:rsidR="00A233E0" w:rsidRPr="00E3122D" w:rsidP="00980B1B" w14:paraId="191560B2" w14:textId="6CD6B05E">
      <w:pPr>
        <w:pStyle w:val="Heading1"/>
        <w:numPr>
          <w:ilvl w:val="0"/>
          <w:numId w:val="41"/>
        </w:numPr>
      </w:pPr>
      <w:bookmarkStart w:id="11" w:name="_Toc156593378"/>
      <w:r w:rsidRPr="00E3122D">
        <w:t xml:space="preserve">PAYMENTS OR GIFTS TO </w:t>
      </w:r>
      <w:r w:rsidRPr="00E3122D">
        <w:t>RESPONDENTS</w:t>
      </w:r>
      <w:bookmarkEnd w:id="11"/>
    </w:p>
    <w:p w:rsidR="00D47CB3" w:rsidRPr="00D40E68" w:rsidP="00177E84" w14:paraId="5B1B6C7F" w14:textId="0A012ABF">
      <w:pPr>
        <w:spacing w:before="60"/>
        <w:rPr>
          <w:rFonts w:cstheme="minorHAnsi"/>
        </w:rPr>
      </w:pPr>
      <w:r w:rsidRPr="00D40E68">
        <w:rPr>
          <w:rFonts w:cstheme="minorHAnsi"/>
        </w:rPr>
        <w:t xml:space="preserve">There are no </w:t>
      </w:r>
      <w:r w:rsidRPr="00D40E68" w:rsidR="00A233E0">
        <w:rPr>
          <w:rFonts w:cstheme="minorHAnsi"/>
        </w:rPr>
        <w:t>payments or gifts</w:t>
      </w:r>
      <w:r w:rsidRPr="00D40E68" w:rsidR="00D40E68">
        <w:rPr>
          <w:rFonts w:cstheme="minorHAnsi"/>
        </w:rPr>
        <w:t xml:space="preserve"> awarded</w:t>
      </w:r>
      <w:r w:rsidRPr="00D40E68" w:rsidR="00A233E0">
        <w:rPr>
          <w:rFonts w:cstheme="minorHAnsi"/>
        </w:rPr>
        <w:t xml:space="preserve"> to respondents</w:t>
      </w:r>
      <w:r w:rsidRPr="00D40E68" w:rsidR="00D40E68">
        <w:rPr>
          <w:rFonts w:cstheme="minorHAnsi"/>
        </w:rPr>
        <w:t xml:space="preserve"> of the 2026 MSGP.</w:t>
      </w:r>
    </w:p>
    <w:p w:rsidR="4C04BBF2" w:rsidP="00980B1B" w14:paraId="333FE36D" w14:textId="6ADCA915">
      <w:pPr>
        <w:pStyle w:val="Heading1"/>
        <w:numPr>
          <w:ilvl w:val="0"/>
          <w:numId w:val="41"/>
        </w:numPr>
      </w:pPr>
      <w:r w:rsidRPr="4BDBF0A0">
        <w:t>ASSURANCE OF CONFIDENTIALITY</w:t>
      </w:r>
    </w:p>
    <w:p w:rsidR="009F1E00" w:rsidRPr="00917E7D" w:rsidP="00854AAE" w14:paraId="3676EBC5" w14:textId="1E5C5E7D">
      <w:pPr>
        <w:pBdr>
          <w:top w:val="single" w:sz="6" w:space="0" w:color="FFFFFF"/>
          <w:left w:val="single" w:sz="6" w:space="0" w:color="FFFFFF"/>
          <w:bottom w:val="single" w:sz="6" w:space="0" w:color="FFFFFF"/>
          <w:right w:val="single" w:sz="6" w:space="0" w:color="FFFFFF"/>
        </w:pBdr>
        <w:rPr>
          <w:rFonts w:cstheme="minorHAnsi"/>
          <w:color w:val="000000"/>
        </w:rPr>
      </w:pPr>
      <w:r w:rsidRPr="00917E7D">
        <w:rPr>
          <w:rFonts w:cstheme="minorHAnsi"/>
        </w:rPr>
        <w:t>Respondent reports can contain confidential business information. If this is the case, the respondent may request that such information be treated as confidential. All confidential data will be handled in accordance with 40 CFR 122.7, 40 CFR Part 2, and EPA’s Security Manual Part III, Chapter 9, dated August 9, 1976. Any claim of confidentiality must be asserted at the time of submission. However, CWA section 308(b) specifically states that effluent data may not be treated as confidential.</w:t>
      </w:r>
    </w:p>
    <w:p w:rsidR="00A233E0" w:rsidRPr="00E3122D" w:rsidP="00435CDF" w14:paraId="36FBAEFB" w14:textId="424C39A7">
      <w:pPr>
        <w:pStyle w:val="Heading1"/>
        <w:numPr>
          <w:ilvl w:val="0"/>
          <w:numId w:val="41"/>
        </w:numPr>
        <w:rPr>
          <w:rFonts w:cstheme="minorHAnsi"/>
        </w:rPr>
      </w:pPr>
      <w:bookmarkStart w:id="12" w:name="_Toc156593380"/>
      <w:r w:rsidRPr="4BDBF0A0">
        <w:t>JUSTIFICATION FOR SENSITIVE QUESTIONS</w:t>
      </w:r>
      <w:bookmarkEnd w:id="12"/>
    </w:p>
    <w:p w:rsidR="009F1E00" w:rsidRPr="00601307" w:rsidP="00854AAE" w14:paraId="77467D05" w14:textId="3C158E22">
      <w:pPr>
        <w:pBdr>
          <w:top w:val="single" w:sz="6" w:space="0" w:color="FFFFFF"/>
          <w:left w:val="single" w:sz="6" w:space="0" w:color="FFFFFF"/>
          <w:bottom w:val="single" w:sz="6" w:space="0" w:color="FFFFFF"/>
          <w:right w:val="single" w:sz="6" w:space="0" w:color="FFFFFF"/>
        </w:pBdr>
        <w:rPr>
          <w:rFonts w:cstheme="minorHAnsi"/>
          <w:color w:val="000000"/>
        </w:rPr>
      </w:pPr>
      <w:r w:rsidRPr="00601307">
        <w:rPr>
          <w:rFonts w:cstheme="minorHAnsi"/>
        </w:rPr>
        <w:t>The requirements addressed in this ICR do not include sensitive questions</w:t>
      </w:r>
      <w:r w:rsidRPr="00601307">
        <w:rPr>
          <w:rFonts w:cstheme="minorHAnsi"/>
          <w:color w:val="000000"/>
        </w:rPr>
        <w:t>.</w:t>
      </w:r>
    </w:p>
    <w:p w:rsidR="001172FE" w:rsidRPr="00E3122D" w:rsidP="00CD2D40" w14:paraId="637A8E82" w14:textId="1DCDD22B">
      <w:pPr>
        <w:pStyle w:val="Heading1"/>
        <w:numPr>
          <w:ilvl w:val="0"/>
          <w:numId w:val="41"/>
        </w:numPr>
        <w:rPr>
          <w:rFonts w:cstheme="minorHAnsi"/>
        </w:rPr>
      </w:pPr>
      <w:bookmarkStart w:id="13" w:name="_Toc156593381"/>
      <w:r w:rsidRPr="4BDBF0A0">
        <w:t>RESPONDENT BURDEN HOURS</w:t>
      </w:r>
      <w:r w:rsidRPr="4BDBF0A0" w:rsidR="00DB799B">
        <w:t xml:space="preserve"> &amp; LABOR COSTS</w:t>
      </w:r>
      <w:bookmarkStart w:id="14" w:name="_Toc156593382"/>
      <w:bookmarkEnd w:id="13"/>
    </w:p>
    <w:p w:rsidR="00A233E0" w:rsidRPr="00EC0326" w:rsidP="00EC0326" w14:paraId="7EF5894F" w14:textId="22D8A5F0">
      <w:pPr>
        <w:pStyle w:val="ListParagraph"/>
        <w:ind w:left="0"/>
        <w:rPr>
          <w:rFonts w:cstheme="minorHAnsi"/>
        </w:rPr>
      </w:pPr>
      <w:r w:rsidRPr="00EC0326">
        <w:rPr>
          <w:rFonts w:cstheme="minorHAnsi"/>
        </w:rPr>
        <w:t>This section provides estimates of the hour burden of the collection of information for changes associated with the 2026 MSGP.</w:t>
      </w:r>
    </w:p>
    <w:p w:rsidR="001172FE" w:rsidRPr="00E3122D" w:rsidP="00CD2D40" w14:paraId="571186E5" w14:textId="2917827F">
      <w:pPr>
        <w:pStyle w:val="Heading2"/>
      </w:pPr>
      <w:r w:rsidRPr="00E3122D">
        <w:t xml:space="preserve">12a. </w:t>
      </w:r>
      <w:r w:rsidRPr="00E3122D" w:rsidR="00557E8F">
        <w:t>Respondents/NAICS Codes</w:t>
      </w:r>
      <w:bookmarkStart w:id="15" w:name="_Toc156593383"/>
      <w:bookmarkEnd w:id="14"/>
    </w:p>
    <w:p w:rsidR="00184715" w:rsidRPr="00184715" w:rsidP="00184715" w14:paraId="6437B68A" w14:textId="02A09A60">
      <w:pPr>
        <w:spacing w:before="120" w:after="0"/>
        <w:rPr>
          <w:rFonts w:cstheme="minorHAnsi"/>
          <w:color w:val="000000"/>
        </w:rPr>
      </w:pPr>
      <w:r w:rsidRPr="00184715">
        <w:rPr>
          <w:rFonts w:cstheme="minorHAnsi"/>
          <w:color w:val="000000"/>
        </w:rPr>
        <w:t xml:space="preserve">Coverage under the 2026 MSGP is available to respondents of eligible facilities located in areas where EPA is the permitting authority and where the general permit is available for use. A list of eligible areas is included in Appendix C of the 2026 MSGP. Appendix N of the 2026 MSGP also includes Standard Industrial Classification (SIC) and North American Industry Classification System (NAICS) codes that fall within each regulated industrial sector.  </w:t>
      </w:r>
    </w:p>
    <w:p w:rsidR="00184715" w:rsidP="00184715" w14:paraId="239FAF5E" w14:textId="3D185503">
      <w:pPr>
        <w:spacing w:before="120" w:after="0"/>
        <w:rPr>
          <w:rFonts w:cstheme="minorHAnsi"/>
          <w:color w:val="000000"/>
        </w:rPr>
      </w:pPr>
      <w:r w:rsidRPr="00184715">
        <w:rPr>
          <w:rFonts w:cstheme="minorHAnsi"/>
          <w:color w:val="000000"/>
        </w:rPr>
        <w:t xml:space="preserve">EPA anticipates that approximately 2,076 existing respondents will initially be covered under this 2026 reissuance of the MSGP. The 2021 MSGP NOI data indicated that there is an average of 105 new </w:t>
      </w:r>
      <w:r w:rsidRPr="00184715">
        <w:rPr>
          <w:rFonts w:cstheme="minorHAnsi"/>
          <w:color w:val="000000"/>
        </w:rPr>
        <w:t>respondents</w:t>
      </w:r>
      <w:r w:rsidR="00E961AF">
        <w:rPr>
          <w:rFonts w:cstheme="minorHAnsi"/>
          <w:color w:val="000000"/>
        </w:rPr>
        <w:t xml:space="preserve"> per year</w:t>
      </w:r>
      <w:r w:rsidRPr="00184715">
        <w:rPr>
          <w:rFonts w:cstheme="minorHAnsi"/>
          <w:color w:val="000000"/>
        </w:rPr>
        <w:t xml:space="preserve"> and 50 terminations </w:t>
      </w:r>
      <w:r w:rsidR="00E961AF">
        <w:rPr>
          <w:rFonts w:cstheme="minorHAnsi"/>
          <w:color w:val="000000"/>
        </w:rPr>
        <w:t xml:space="preserve">per year </w:t>
      </w:r>
      <w:r w:rsidRPr="00184715">
        <w:rPr>
          <w:rFonts w:cstheme="minorHAnsi"/>
          <w:color w:val="000000"/>
        </w:rPr>
        <w:t xml:space="preserve">during representative 2021 MSGP years (2022 and 2023). EPA estimates that the respondent population under the 2026 MSGP will grow by roughly this same amount over the five-year permit term. At the time of this </w:t>
      </w:r>
      <w:r w:rsidRPr="00124F4A" w:rsidR="00EC0326">
        <w:rPr>
          <w:rFonts w:cstheme="minorHAnsi"/>
          <w:color w:val="000000"/>
        </w:rPr>
        <w:t>proposed</w:t>
      </w:r>
      <w:r w:rsidR="00EC0326">
        <w:rPr>
          <w:rFonts w:cstheme="minorHAnsi"/>
          <w:color w:val="000000"/>
        </w:rPr>
        <w:t xml:space="preserve"> </w:t>
      </w:r>
      <w:r w:rsidRPr="00184715">
        <w:rPr>
          <w:rFonts w:cstheme="minorHAnsi"/>
          <w:color w:val="000000"/>
        </w:rPr>
        <w:t>2026 MSGP ICR, there are 1</w:t>
      </w:r>
      <w:r w:rsidR="00712EDF">
        <w:rPr>
          <w:rFonts w:cstheme="minorHAnsi"/>
          <w:color w:val="000000"/>
        </w:rPr>
        <w:t>,</w:t>
      </w:r>
      <w:r w:rsidRPr="00184715">
        <w:rPr>
          <w:rFonts w:cstheme="minorHAnsi"/>
          <w:color w:val="000000"/>
        </w:rPr>
        <w:t>967 active respondents. Based on the 105 new respondents and 50 terminations</w:t>
      </w:r>
      <w:r w:rsidR="00993E4C">
        <w:rPr>
          <w:rFonts w:cstheme="minorHAnsi"/>
          <w:color w:val="000000"/>
        </w:rPr>
        <w:t xml:space="preserve"> per year</w:t>
      </w:r>
      <w:r w:rsidRPr="00184715">
        <w:rPr>
          <w:rFonts w:cstheme="minorHAnsi"/>
          <w:color w:val="000000"/>
        </w:rPr>
        <w:t>, growth was calculated from 2024 (current day) to the end of the 2026 MSGP. Therefore, EPA anticipates that over the five-year MSG</w:t>
      </w:r>
      <w:r w:rsidRPr="00184715">
        <w:rPr>
          <w:rFonts w:cstheme="minorHAnsi"/>
          <w:color w:val="000000"/>
        </w:rPr>
        <w:t>P period, there will be an average of approximately 2,</w:t>
      </w:r>
      <w:r w:rsidR="00314572">
        <w:rPr>
          <w:rFonts w:cstheme="minorHAnsi"/>
          <w:color w:val="000000"/>
        </w:rPr>
        <w:t>240</w:t>
      </w:r>
      <w:r w:rsidRPr="00184715">
        <w:rPr>
          <w:rFonts w:cstheme="minorHAnsi"/>
          <w:color w:val="000000"/>
        </w:rPr>
        <w:t xml:space="preserve"> respondents subject to the 2026 MSGP (see Table 2).</w:t>
      </w:r>
      <w:r w:rsidR="004A7809">
        <w:rPr>
          <w:rFonts w:cstheme="minorHAnsi"/>
          <w:color w:val="000000"/>
        </w:rPr>
        <w:t xml:space="preserve"> </w:t>
      </w:r>
      <w:r w:rsidRPr="004A7809" w:rsidR="004A7809">
        <w:rPr>
          <w:rFonts w:cstheme="minorHAnsi"/>
          <w:color w:val="000000"/>
        </w:rPr>
        <w:t>This average number of respondents is used in this ICR to calculate burden for items that generally affect the population of active operators at any given time</w:t>
      </w:r>
      <w:r w:rsidR="008F10F6">
        <w:rPr>
          <w:rFonts w:cstheme="minorHAnsi"/>
          <w:color w:val="000000"/>
        </w:rPr>
        <w:t>.</w:t>
      </w:r>
    </w:p>
    <w:tbl>
      <w:tblPr>
        <w:tblW w:w="9849" w:type="dxa"/>
        <w:jc w:val="center"/>
        <w:tblLook w:val="04A0"/>
      </w:tblPr>
      <w:tblGrid>
        <w:gridCol w:w="1620"/>
        <w:gridCol w:w="1421"/>
        <w:gridCol w:w="2007"/>
        <w:gridCol w:w="2079"/>
        <w:gridCol w:w="1257"/>
        <w:gridCol w:w="1465"/>
      </w:tblGrid>
      <w:tr w14:paraId="6D7BB9CF" w14:textId="77777777" w:rsidTr="00E2329D">
        <w:tblPrEx>
          <w:tblW w:w="9849" w:type="dxa"/>
          <w:jc w:val="center"/>
          <w:tblLook w:val="04A0"/>
        </w:tblPrEx>
        <w:trPr>
          <w:trHeight w:val="227"/>
          <w:tblHeader/>
          <w:jc w:val="center"/>
        </w:trPr>
        <w:tc>
          <w:tcPr>
            <w:tcW w:w="9849" w:type="dxa"/>
            <w:gridSpan w:val="6"/>
            <w:tcBorders>
              <w:bottom w:val="single" w:sz="4" w:space="0" w:color="auto"/>
            </w:tcBorders>
            <w:shd w:val="clear" w:color="auto" w:fill="auto"/>
            <w:noWrap/>
            <w:vAlign w:val="bottom"/>
          </w:tcPr>
          <w:p w:rsidR="000B2446" w:rsidRPr="004B309C" w:rsidP="000B2446" w14:paraId="47178CA7" w14:textId="04110364">
            <w:pPr>
              <w:spacing w:after="0" w:line="240" w:lineRule="auto"/>
              <w:jc w:val="center"/>
              <w:rPr>
                <w:rFonts w:ascii="Aptos Narrow" w:hAnsi="Aptos Narrow"/>
                <w:b/>
                <w:bCs/>
                <w:color w:val="000000"/>
              </w:rPr>
            </w:pPr>
            <w:bookmarkStart w:id="16" w:name="_Ref59270881"/>
            <w:r w:rsidRPr="004B309C">
              <w:rPr>
                <w:b/>
                <w:bCs/>
              </w:rPr>
              <w:t>Table 2</w:t>
            </w:r>
            <w:bookmarkEnd w:id="16"/>
            <w:r w:rsidRPr="004B309C">
              <w:rPr>
                <w:b/>
                <w:bCs/>
              </w:rPr>
              <w:t xml:space="preserve"> - Projected Number of Respondents</w:t>
            </w:r>
          </w:p>
        </w:tc>
      </w:tr>
      <w:tr w14:paraId="14E77FDF" w14:textId="77777777" w:rsidTr="00E2329D">
        <w:tblPrEx>
          <w:tblW w:w="9849" w:type="dxa"/>
          <w:jc w:val="center"/>
          <w:tblLook w:val="04A0"/>
        </w:tblPrEx>
        <w:trPr>
          <w:trHeight w:val="227"/>
          <w:tblHeader/>
          <w:jc w:val="center"/>
        </w:trPr>
        <w:tc>
          <w:tcPr>
            <w:tcW w:w="16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446" w:rsidRPr="004B309C" w:rsidP="000B2446" w14:paraId="0BD02C50" w14:textId="77777777">
            <w:pPr>
              <w:spacing w:after="0" w:line="240" w:lineRule="auto"/>
              <w:jc w:val="center"/>
              <w:rPr>
                <w:rFonts w:ascii="Calibri" w:eastAsia="Times New Roman" w:hAnsi="Calibri" w:cs="Calibri"/>
                <w:b/>
                <w:bCs/>
                <w:color w:val="000000"/>
              </w:rPr>
            </w:pPr>
            <w:r w:rsidRPr="004B309C">
              <w:rPr>
                <w:rFonts w:ascii="Calibri" w:eastAsia="Times New Roman" w:hAnsi="Calibri" w:cs="Calibri"/>
                <w:b/>
                <w:bCs/>
                <w:color w:val="000000"/>
              </w:rPr>
              <w:t>MSGP Year</w:t>
            </w:r>
          </w:p>
        </w:tc>
        <w:tc>
          <w:tcPr>
            <w:tcW w:w="1421" w:type="dxa"/>
            <w:tcBorders>
              <w:top w:val="single" w:sz="4" w:space="0" w:color="auto"/>
              <w:left w:val="nil"/>
              <w:bottom w:val="single" w:sz="4" w:space="0" w:color="auto"/>
              <w:right w:val="single" w:sz="4" w:space="0" w:color="auto"/>
            </w:tcBorders>
            <w:shd w:val="clear" w:color="000000" w:fill="BFBFBF"/>
            <w:noWrap/>
            <w:vAlign w:val="bottom"/>
            <w:hideMark/>
          </w:tcPr>
          <w:p w:rsidR="000B2446" w:rsidRPr="004B309C" w:rsidP="000B2446" w14:paraId="4C40B142"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Total NOIs (cumulative)</w:t>
            </w:r>
          </w:p>
        </w:tc>
        <w:tc>
          <w:tcPr>
            <w:tcW w:w="2007" w:type="dxa"/>
            <w:tcBorders>
              <w:top w:val="single" w:sz="4" w:space="0" w:color="auto"/>
              <w:left w:val="nil"/>
              <w:bottom w:val="single" w:sz="4" w:space="0" w:color="auto"/>
              <w:right w:val="single" w:sz="4" w:space="0" w:color="auto"/>
            </w:tcBorders>
            <w:shd w:val="clear" w:color="000000" w:fill="BFBFBF"/>
            <w:noWrap/>
            <w:vAlign w:val="bottom"/>
            <w:hideMark/>
          </w:tcPr>
          <w:p w:rsidR="000B2446" w:rsidRPr="004B309C" w:rsidP="000B2446" w14:paraId="68DD13A8"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Existing respondents</w:t>
            </w:r>
          </w:p>
        </w:tc>
        <w:tc>
          <w:tcPr>
            <w:tcW w:w="2079" w:type="dxa"/>
            <w:tcBorders>
              <w:top w:val="single" w:sz="4" w:space="0" w:color="auto"/>
              <w:left w:val="nil"/>
              <w:bottom w:val="single" w:sz="4" w:space="0" w:color="auto"/>
              <w:right w:val="single" w:sz="4" w:space="0" w:color="auto"/>
            </w:tcBorders>
            <w:shd w:val="clear" w:color="000000" w:fill="BFBFBF"/>
            <w:noWrap/>
            <w:vAlign w:val="bottom"/>
            <w:hideMark/>
          </w:tcPr>
          <w:p w:rsidR="000B2446" w:rsidRPr="004B309C" w:rsidP="000B2446" w14:paraId="0447F657"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New NOIs</w:t>
            </w:r>
          </w:p>
        </w:tc>
        <w:tc>
          <w:tcPr>
            <w:tcW w:w="1257" w:type="dxa"/>
            <w:tcBorders>
              <w:top w:val="single" w:sz="4" w:space="0" w:color="auto"/>
              <w:left w:val="nil"/>
              <w:bottom w:val="single" w:sz="4" w:space="0" w:color="auto"/>
              <w:right w:val="single" w:sz="4" w:space="0" w:color="auto"/>
            </w:tcBorders>
            <w:shd w:val="clear" w:color="000000" w:fill="BFBFBF"/>
            <w:vAlign w:val="bottom"/>
          </w:tcPr>
          <w:p w:rsidR="000B2446" w:rsidRPr="004B309C" w:rsidP="000B2446" w14:paraId="57C22712"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Terminated</w:t>
            </w:r>
          </w:p>
        </w:tc>
        <w:tc>
          <w:tcPr>
            <w:tcW w:w="1465" w:type="dxa"/>
            <w:tcBorders>
              <w:top w:val="single" w:sz="4" w:space="0" w:color="auto"/>
              <w:left w:val="single" w:sz="4" w:space="0" w:color="auto"/>
              <w:bottom w:val="single" w:sz="4" w:space="0" w:color="auto"/>
              <w:right w:val="single" w:sz="4" w:space="0" w:color="auto"/>
            </w:tcBorders>
            <w:shd w:val="clear" w:color="000000" w:fill="BFBFBF"/>
            <w:vAlign w:val="bottom"/>
          </w:tcPr>
          <w:p w:rsidR="000B2446" w:rsidRPr="004B309C" w:rsidP="000B2446" w14:paraId="4E61B19C"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Total Respondents</w:t>
            </w:r>
          </w:p>
        </w:tc>
      </w:tr>
      <w:tr w14:paraId="5800D1FF" w14:textId="77777777" w:rsidTr="00E2329D">
        <w:tblPrEx>
          <w:tblW w:w="9849" w:type="dxa"/>
          <w:jc w:val="center"/>
          <w:tblLook w:val="04A0"/>
        </w:tblPrEx>
        <w:trPr>
          <w:trHeight w:val="2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595060" w:rsidP="000B2446" w14:paraId="10214B75" w14:textId="77777777">
            <w:pPr>
              <w:spacing w:after="0" w:line="240" w:lineRule="auto"/>
              <w:jc w:val="center"/>
              <w:rPr>
                <w:rFonts w:ascii="Calibri" w:eastAsia="Times New Roman" w:hAnsi="Calibri" w:cs="Calibri"/>
                <w:b/>
                <w:bCs/>
                <w:color w:val="000000"/>
              </w:rPr>
            </w:pPr>
            <w:r w:rsidRPr="00595060">
              <w:rPr>
                <w:rFonts w:ascii="Aptos Narrow" w:hAnsi="Aptos Narrow"/>
                <w:b/>
                <w:bCs/>
                <w:color w:val="000000"/>
              </w:rPr>
              <w:t>2024</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595060" w:rsidP="000B2446" w14:paraId="685878E1" w14:textId="77777777">
            <w:pPr>
              <w:spacing w:after="0" w:line="240" w:lineRule="auto"/>
              <w:jc w:val="center"/>
              <w:rPr>
                <w:rFonts w:ascii="Calibri" w:eastAsia="Times New Roman" w:hAnsi="Calibri" w:cs="Calibri"/>
                <w:color w:val="000000"/>
              </w:rPr>
            </w:pPr>
            <w:r w:rsidRPr="00595060">
              <w:rPr>
                <w:rFonts w:ascii="Aptos Narrow" w:hAnsi="Aptos Narrow"/>
                <w:color w:val="000000"/>
              </w:rPr>
              <w:t>--</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595060" w:rsidP="000B2446" w14:paraId="2522447B" w14:textId="2126F710">
            <w:pPr>
              <w:spacing w:after="0" w:line="240" w:lineRule="auto"/>
              <w:jc w:val="center"/>
              <w:rPr>
                <w:rFonts w:ascii="Calibri" w:eastAsia="Times New Roman" w:hAnsi="Calibri" w:cs="Calibri"/>
                <w:color w:val="000000"/>
              </w:rPr>
            </w:pPr>
            <w:r w:rsidRPr="00595060">
              <w:rPr>
                <w:rFonts w:ascii="Aptos Narrow" w:hAnsi="Aptos Narrow"/>
                <w:color w:val="000000"/>
              </w:rPr>
              <w:t>1</w:t>
            </w:r>
            <w:r w:rsidR="00E2396C">
              <w:rPr>
                <w:rFonts w:ascii="Aptos Narrow" w:hAnsi="Aptos Narrow"/>
                <w:color w:val="000000"/>
              </w:rPr>
              <w:t>,</w:t>
            </w:r>
            <w:r w:rsidRPr="00595060">
              <w:rPr>
                <w:rFonts w:ascii="Aptos Narrow" w:hAnsi="Aptos Narrow"/>
                <w:color w:val="000000"/>
              </w:rPr>
              <w:t>967</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595060" w:rsidP="000B2446" w14:paraId="2EA9D603" w14:textId="77777777">
            <w:pPr>
              <w:spacing w:after="0" w:line="240" w:lineRule="auto"/>
              <w:jc w:val="center"/>
              <w:rPr>
                <w:rFonts w:ascii="Calibri" w:eastAsia="Times New Roman" w:hAnsi="Calibri" w:cs="Calibri"/>
                <w:color w:val="000000"/>
              </w:rPr>
            </w:pPr>
            <w:r w:rsidRPr="00595060">
              <w:rPr>
                <w:rFonts w:ascii="Aptos Narrow" w:hAnsi="Aptos Narrow"/>
                <w:color w:val="000000"/>
              </w:rPr>
              <w:t>105</w:t>
            </w:r>
          </w:p>
        </w:tc>
        <w:tc>
          <w:tcPr>
            <w:tcW w:w="1257" w:type="dxa"/>
            <w:tcBorders>
              <w:top w:val="single" w:sz="4" w:space="0" w:color="auto"/>
              <w:left w:val="nil"/>
              <w:bottom w:val="single" w:sz="4" w:space="0" w:color="auto"/>
              <w:right w:val="single" w:sz="4" w:space="0" w:color="auto"/>
            </w:tcBorders>
            <w:shd w:val="clear" w:color="auto" w:fill="auto"/>
            <w:vAlign w:val="bottom"/>
          </w:tcPr>
          <w:p w:rsidR="000B2446" w:rsidRPr="00595060" w:rsidP="000B2446" w14:paraId="4483F4D3" w14:textId="77777777">
            <w:pPr>
              <w:spacing w:after="0" w:line="240" w:lineRule="auto"/>
              <w:jc w:val="center"/>
              <w:rPr>
                <w:rFonts w:ascii="Aptos Narrow" w:hAnsi="Aptos Narrow"/>
                <w:color w:val="000000"/>
              </w:rPr>
            </w:pPr>
            <w:r w:rsidRPr="00595060">
              <w:rPr>
                <w:rFonts w:ascii="Aptos Narrow" w:hAnsi="Aptos Narrow"/>
                <w:color w:val="000000"/>
              </w:rPr>
              <w:t>50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rsidR="000B2446" w:rsidRPr="00595060" w:rsidP="000B2446" w14:paraId="15542449" w14:textId="0EAD7CEB">
            <w:pPr>
              <w:spacing w:after="0" w:line="240" w:lineRule="auto"/>
              <w:jc w:val="center"/>
              <w:rPr>
                <w:rFonts w:ascii="Calibri" w:eastAsia="Times New Roman" w:hAnsi="Calibri" w:cs="Calibri"/>
                <w:color w:val="000000"/>
              </w:rPr>
            </w:pPr>
            <w:r w:rsidRPr="00595060">
              <w:rPr>
                <w:rFonts w:ascii="Aptos Narrow" w:hAnsi="Aptos Narrow"/>
                <w:color w:val="000000"/>
              </w:rPr>
              <w:t>2</w:t>
            </w:r>
            <w:r w:rsidRPr="00595060" w:rsidR="00E95CE5">
              <w:rPr>
                <w:rFonts w:ascii="Aptos Narrow" w:hAnsi="Aptos Narrow"/>
                <w:color w:val="000000"/>
              </w:rPr>
              <w:t>,</w:t>
            </w:r>
            <w:r w:rsidRPr="00595060">
              <w:rPr>
                <w:rFonts w:ascii="Aptos Narrow" w:hAnsi="Aptos Narrow"/>
                <w:color w:val="000000"/>
              </w:rPr>
              <w:t>022</w:t>
            </w:r>
          </w:p>
        </w:tc>
      </w:tr>
      <w:tr w14:paraId="5F865AA4" w14:textId="77777777" w:rsidTr="00E2329D">
        <w:tblPrEx>
          <w:tblW w:w="9849" w:type="dxa"/>
          <w:jc w:val="center"/>
          <w:tblLook w:val="04A0"/>
        </w:tblPrEx>
        <w:trPr>
          <w:trHeight w:val="227"/>
          <w:jc w:val="center"/>
        </w:trPr>
        <w:tc>
          <w:tcPr>
            <w:tcW w:w="1620" w:type="dxa"/>
            <w:tcBorders>
              <w:top w:val="single" w:sz="4" w:space="0" w:color="auto"/>
              <w:left w:val="single" w:sz="4" w:space="0" w:color="auto"/>
              <w:bottom w:val="double" w:sz="4" w:space="0" w:color="auto"/>
              <w:right w:val="single" w:sz="4" w:space="0" w:color="auto"/>
            </w:tcBorders>
            <w:shd w:val="clear" w:color="auto" w:fill="auto"/>
            <w:noWrap/>
            <w:vAlign w:val="bottom"/>
          </w:tcPr>
          <w:p w:rsidR="000B2446" w:rsidRPr="00595060" w:rsidP="000B2446" w14:paraId="3284F66F" w14:textId="77777777">
            <w:pPr>
              <w:spacing w:after="0" w:line="240" w:lineRule="auto"/>
              <w:jc w:val="center"/>
              <w:rPr>
                <w:rFonts w:ascii="Calibri" w:eastAsia="Times New Roman" w:hAnsi="Calibri" w:cs="Calibri"/>
                <w:b/>
                <w:bCs/>
                <w:color w:val="000000"/>
              </w:rPr>
            </w:pPr>
            <w:r w:rsidRPr="00595060">
              <w:rPr>
                <w:rFonts w:ascii="Aptos Narrow" w:hAnsi="Aptos Narrow"/>
                <w:b/>
                <w:bCs/>
                <w:color w:val="000000"/>
              </w:rPr>
              <w:t>2025</w:t>
            </w:r>
          </w:p>
        </w:tc>
        <w:tc>
          <w:tcPr>
            <w:tcW w:w="1421" w:type="dxa"/>
            <w:tcBorders>
              <w:top w:val="single" w:sz="4" w:space="0" w:color="auto"/>
              <w:left w:val="nil"/>
              <w:bottom w:val="double" w:sz="4" w:space="0" w:color="auto"/>
              <w:right w:val="single" w:sz="4" w:space="0" w:color="auto"/>
            </w:tcBorders>
            <w:shd w:val="clear" w:color="auto" w:fill="auto"/>
            <w:noWrap/>
            <w:vAlign w:val="bottom"/>
          </w:tcPr>
          <w:p w:rsidR="000B2446" w:rsidRPr="00595060" w:rsidP="000B2446" w14:paraId="31EECF26" w14:textId="77777777">
            <w:pPr>
              <w:spacing w:after="0" w:line="240" w:lineRule="auto"/>
              <w:jc w:val="center"/>
              <w:rPr>
                <w:rFonts w:ascii="Calibri" w:eastAsia="Times New Roman" w:hAnsi="Calibri" w:cs="Calibri"/>
                <w:color w:val="000000"/>
              </w:rPr>
            </w:pPr>
            <w:r w:rsidRPr="00595060">
              <w:rPr>
                <w:rFonts w:ascii="Aptos Narrow" w:hAnsi="Aptos Narrow"/>
                <w:color w:val="000000"/>
              </w:rPr>
              <w:t>--</w:t>
            </w:r>
          </w:p>
        </w:tc>
        <w:tc>
          <w:tcPr>
            <w:tcW w:w="2007" w:type="dxa"/>
            <w:tcBorders>
              <w:top w:val="single" w:sz="4" w:space="0" w:color="auto"/>
              <w:left w:val="nil"/>
              <w:bottom w:val="double" w:sz="4" w:space="0" w:color="auto"/>
              <w:right w:val="single" w:sz="4" w:space="0" w:color="auto"/>
            </w:tcBorders>
            <w:shd w:val="clear" w:color="auto" w:fill="auto"/>
            <w:noWrap/>
            <w:vAlign w:val="bottom"/>
          </w:tcPr>
          <w:p w:rsidR="000B2446" w:rsidRPr="00595060" w:rsidP="000B2446" w14:paraId="318DC1F1" w14:textId="3F8CE953">
            <w:pPr>
              <w:spacing w:after="0" w:line="240" w:lineRule="auto"/>
              <w:jc w:val="center"/>
              <w:rPr>
                <w:rFonts w:ascii="Calibri" w:eastAsia="Times New Roman" w:hAnsi="Calibri" w:cs="Calibri"/>
                <w:color w:val="000000"/>
              </w:rPr>
            </w:pPr>
            <w:r w:rsidRPr="00595060">
              <w:rPr>
                <w:rFonts w:ascii="Aptos Narrow" w:hAnsi="Aptos Narrow"/>
                <w:color w:val="000000"/>
              </w:rPr>
              <w:t>2</w:t>
            </w:r>
            <w:r w:rsidRPr="00595060" w:rsidR="00E95CE5">
              <w:rPr>
                <w:rFonts w:ascii="Aptos Narrow" w:hAnsi="Aptos Narrow"/>
                <w:color w:val="000000"/>
              </w:rPr>
              <w:t>,</w:t>
            </w:r>
            <w:r w:rsidRPr="00595060">
              <w:rPr>
                <w:rFonts w:ascii="Aptos Narrow" w:hAnsi="Aptos Narrow"/>
                <w:color w:val="000000"/>
              </w:rPr>
              <w:t>022</w:t>
            </w:r>
          </w:p>
        </w:tc>
        <w:tc>
          <w:tcPr>
            <w:tcW w:w="2079" w:type="dxa"/>
            <w:tcBorders>
              <w:top w:val="single" w:sz="4" w:space="0" w:color="auto"/>
              <w:left w:val="nil"/>
              <w:bottom w:val="double" w:sz="4" w:space="0" w:color="auto"/>
              <w:right w:val="single" w:sz="4" w:space="0" w:color="auto"/>
            </w:tcBorders>
            <w:shd w:val="clear" w:color="auto" w:fill="auto"/>
            <w:noWrap/>
            <w:vAlign w:val="bottom"/>
          </w:tcPr>
          <w:p w:rsidR="000B2446" w:rsidRPr="00595060" w:rsidP="000B2446" w14:paraId="26560BED" w14:textId="77777777">
            <w:pPr>
              <w:spacing w:after="0" w:line="240" w:lineRule="auto"/>
              <w:jc w:val="center"/>
              <w:rPr>
                <w:rFonts w:ascii="Calibri" w:eastAsia="Times New Roman" w:hAnsi="Calibri" w:cs="Calibri"/>
                <w:color w:val="000000"/>
              </w:rPr>
            </w:pPr>
            <w:r w:rsidRPr="00595060">
              <w:rPr>
                <w:rFonts w:ascii="Aptos Narrow" w:hAnsi="Aptos Narrow"/>
                <w:color w:val="000000"/>
              </w:rPr>
              <w:t>105</w:t>
            </w:r>
          </w:p>
        </w:tc>
        <w:tc>
          <w:tcPr>
            <w:tcW w:w="1257" w:type="dxa"/>
            <w:tcBorders>
              <w:top w:val="single" w:sz="4" w:space="0" w:color="auto"/>
              <w:left w:val="nil"/>
              <w:bottom w:val="double" w:sz="4" w:space="0" w:color="auto"/>
              <w:right w:val="single" w:sz="4" w:space="0" w:color="auto"/>
            </w:tcBorders>
            <w:shd w:val="clear" w:color="auto" w:fill="auto"/>
            <w:vAlign w:val="bottom"/>
          </w:tcPr>
          <w:p w:rsidR="000B2446" w:rsidRPr="00595060" w:rsidP="000B2446" w14:paraId="4E14409D" w14:textId="77777777">
            <w:pPr>
              <w:spacing w:after="0" w:line="240" w:lineRule="auto"/>
              <w:jc w:val="center"/>
              <w:rPr>
                <w:rFonts w:ascii="Aptos Narrow" w:hAnsi="Aptos Narrow"/>
                <w:color w:val="000000"/>
              </w:rPr>
            </w:pPr>
            <w:r w:rsidRPr="00595060">
              <w:rPr>
                <w:rFonts w:ascii="Aptos Narrow" w:hAnsi="Aptos Narrow"/>
                <w:color w:val="000000"/>
              </w:rPr>
              <w:t>50</w:t>
            </w:r>
          </w:p>
        </w:tc>
        <w:tc>
          <w:tcPr>
            <w:tcW w:w="1465" w:type="dxa"/>
            <w:tcBorders>
              <w:top w:val="single" w:sz="4" w:space="0" w:color="auto"/>
              <w:left w:val="single" w:sz="4" w:space="0" w:color="auto"/>
              <w:bottom w:val="double" w:sz="4" w:space="0" w:color="auto"/>
              <w:right w:val="single" w:sz="4" w:space="0" w:color="auto"/>
            </w:tcBorders>
            <w:shd w:val="clear" w:color="auto" w:fill="auto"/>
            <w:vAlign w:val="bottom"/>
          </w:tcPr>
          <w:p w:rsidR="000B2446" w:rsidRPr="00595060" w:rsidP="000B2446" w14:paraId="79FFA5BE" w14:textId="30AF9E34">
            <w:pPr>
              <w:spacing w:after="0" w:line="240" w:lineRule="auto"/>
              <w:jc w:val="center"/>
              <w:rPr>
                <w:rFonts w:ascii="Calibri" w:eastAsia="Times New Roman" w:hAnsi="Calibri" w:cs="Calibri"/>
                <w:color w:val="000000"/>
              </w:rPr>
            </w:pPr>
            <w:r w:rsidRPr="00595060">
              <w:rPr>
                <w:rFonts w:ascii="Aptos Narrow" w:hAnsi="Aptos Narrow"/>
                <w:color w:val="000000"/>
              </w:rPr>
              <w:t>2</w:t>
            </w:r>
            <w:r w:rsidRPr="00595060" w:rsidR="00E95CE5">
              <w:rPr>
                <w:rFonts w:ascii="Aptos Narrow" w:hAnsi="Aptos Narrow"/>
                <w:color w:val="000000"/>
              </w:rPr>
              <w:t>,</w:t>
            </w:r>
            <w:r w:rsidRPr="00595060">
              <w:rPr>
                <w:rFonts w:ascii="Aptos Narrow" w:hAnsi="Aptos Narrow"/>
                <w:color w:val="000000"/>
              </w:rPr>
              <w:t>076</w:t>
            </w:r>
          </w:p>
        </w:tc>
      </w:tr>
      <w:tr w14:paraId="10170A51" w14:textId="77777777" w:rsidTr="00E2329D">
        <w:tblPrEx>
          <w:tblW w:w="9849" w:type="dxa"/>
          <w:jc w:val="center"/>
          <w:tblLook w:val="04A0"/>
        </w:tblPrEx>
        <w:trPr>
          <w:trHeight w:val="227"/>
          <w:jc w:val="center"/>
        </w:trPr>
        <w:tc>
          <w:tcPr>
            <w:tcW w:w="1620" w:type="dxa"/>
            <w:tcBorders>
              <w:top w:val="doub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40501FB8"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2026</w:t>
            </w:r>
          </w:p>
        </w:tc>
        <w:tc>
          <w:tcPr>
            <w:tcW w:w="1421" w:type="dxa"/>
            <w:tcBorders>
              <w:top w:val="double" w:sz="4" w:space="0" w:color="auto"/>
              <w:left w:val="nil"/>
              <w:bottom w:val="single" w:sz="4" w:space="0" w:color="auto"/>
              <w:right w:val="single" w:sz="4" w:space="0" w:color="auto"/>
            </w:tcBorders>
            <w:shd w:val="clear" w:color="auto" w:fill="auto"/>
            <w:noWrap/>
            <w:vAlign w:val="bottom"/>
          </w:tcPr>
          <w:p w:rsidR="000B2446" w:rsidRPr="007A2FF4" w:rsidP="000B2446" w14:paraId="5CDD9D06" w14:textId="2CD1B3E5">
            <w:pPr>
              <w:spacing w:after="0" w:line="240" w:lineRule="auto"/>
              <w:jc w:val="center"/>
              <w:rPr>
                <w:rFonts w:ascii="Calibri" w:eastAsia="Times New Roman" w:hAnsi="Calibri" w:cs="Calibri"/>
                <w:color w:val="000000"/>
              </w:rPr>
            </w:pPr>
            <w:r w:rsidRPr="007A2FF4">
              <w:rPr>
                <w:rFonts w:ascii="Aptos Narrow" w:hAnsi="Aptos Narrow"/>
                <w:color w:val="000000"/>
              </w:rPr>
              <w:t>2</w:t>
            </w:r>
            <w:r w:rsidR="00E95CE5">
              <w:rPr>
                <w:rFonts w:ascii="Aptos Narrow" w:hAnsi="Aptos Narrow"/>
                <w:color w:val="000000"/>
              </w:rPr>
              <w:t>,</w:t>
            </w:r>
            <w:r w:rsidRPr="007A2FF4">
              <w:rPr>
                <w:rFonts w:ascii="Aptos Narrow" w:hAnsi="Aptos Narrow"/>
                <w:color w:val="000000"/>
              </w:rPr>
              <w:t>076</w:t>
            </w:r>
          </w:p>
        </w:tc>
        <w:tc>
          <w:tcPr>
            <w:tcW w:w="2007" w:type="dxa"/>
            <w:tcBorders>
              <w:top w:val="double" w:sz="4" w:space="0" w:color="auto"/>
              <w:left w:val="nil"/>
              <w:bottom w:val="single" w:sz="4" w:space="0" w:color="auto"/>
              <w:right w:val="single" w:sz="4" w:space="0" w:color="auto"/>
            </w:tcBorders>
            <w:shd w:val="clear" w:color="auto" w:fill="auto"/>
            <w:noWrap/>
            <w:vAlign w:val="bottom"/>
          </w:tcPr>
          <w:p w:rsidR="000B2446" w:rsidRPr="004B309C" w:rsidP="000B2446" w14:paraId="3CDDDE73" w14:textId="1CB71EF4">
            <w:pPr>
              <w:spacing w:after="0" w:line="240" w:lineRule="auto"/>
              <w:jc w:val="center"/>
              <w:rPr>
                <w:rFonts w:ascii="Calibri" w:eastAsia="Times New Roman" w:hAnsi="Calibri" w:cs="Calibri"/>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076</w:t>
            </w:r>
          </w:p>
        </w:tc>
        <w:tc>
          <w:tcPr>
            <w:tcW w:w="2079" w:type="dxa"/>
            <w:tcBorders>
              <w:top w:val="double" w:sz="4" w:space="0" w:color="auto"/>
              <w:left w:val="nil"/>
              <w:bottom w:val="single" w:sz="4" w:space="0" w:color="auto"/>
              <w:right w:val="single" w:sz="4" w:space="0" w:color="auto"/>
            </w:tcBorders>
            <w:shd w:val="clear" w:color="auto" w:fill="auto"/>
            <w:noWrap/>
            <w:vAlign w:val="bottom"/>
          </w:tcPr>
          <w:p w:rsidR="000B2446" w:rsidRPr="004B309C" w:rsidP="000B2446" w14:paraId="26ABB181" w14:textId="77777777">
            <w:pPr>
              <w:spacing w:after="0" w:line="240" w:lineRule="auto"/>
              <w:jc w:val="center"/>
              <w:rPr>
                <w:rFonts w:ascii="Calibri" w:eastAsia="Times New Roman" w:hAnsi="Calibri" w:cs="Calibri"/>
                <w:color w:val="000000"/>
              </w:rPr>
            </w:pPr>
            <w:r w:rsidRPr="004B309C">
              <w:rPr>
                <w:rFonts w:ascii="Aptos Narrow" w:hAnsi="Aptos Narrow"/>
                <w:color w:val="000000"/>
              </w:rPr>
              <w:t>105</w:t>
            </w:r>
          </w:p>
        </w:tc>
        <w:tc>
          <w:tcPr>
            <w:tcW w:w="1257" w:type="dxa"/>
            <w:tcBorders>
              <w:top w:val="double" w:sz="4" w:space="0" w:color="auto"/>
              <w:left w:val="nil"/>
              <w:bottom w:val="single" w:sz="4" w:space="0" w:color="auto"/>
              <w:right w:val="single" w:sz="4" w:space="0" w:color="auto"/>
            </w:tcBorders>
            <w:vAlign w:val="bottom"/>
          </w:tcPr>
          <w:p w:rsidR="000B2446" w:rsidRPr="004B309C" w:rsidP="000B2446" w14:paraId="23C55F88" w14:textId="77777777">
            <w:pPr>
              <w:spacing w:after="0" w:line="240" w:lineRule="auto"/>
              <w:jc w:val="center"/>
              <w:rPr>
                <w:rFonts w:ascii="Aptos Narrow" w:hAnsi="Aptos Narrow"/>
                <w:color w:val="000000"/>
              </w:rPr>
            </w:pPr>
            <w:r w:rsidRPr="004B309C">
              <w:rPr>
                <w:rFonts w:ascii="Aptos Narrow" w:hAnsi="Aptos Narrow"/>
                <w:color w:val="000000"/>
              </w:rPr>
              <w:t>50</w:t>
            </w:r>
          </w:p>
        </w:tc>
        <w:tc>
          <w:tcPr>
            <w:tcW w:w="1465" w:type="dxa"/>
            <w:tcBorders>
              <w:top w:val="double" w:sz="4" w:space="0" w:color="auto"/>
              <w:left w:val="single" w:sz="4" w:space="0" w:color="auto"/>
              <w:bottom w:val="single" w:sz="4" w:space="0" w:color="auto"/>
              <w:right w:val="single" w:sz="4" w:space="0" w:color="auto"/>
            </w:tcBorders>
            <w:vAlign w:val="bottom"/>
          </w:tcPr>
          <w:p w:rsidR="000B2446" w:rsidRPr="004B309C" w:rsidP="000B2446" w14:paraId="65EEAAB0" w14:textId="00C813DB">
            <w:pPr>
              <w:spacing w:after="0" w:line="240" w:lineRule="auto"/>
              <w:jc w:val="center"/>
              <w:rPr>
                <w:rFonts w:ascii="Calibri" w:eastAsia="Times New Roman" w:hAnsi="Calibri" w:cs="Calibri"/>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131</w:t>
            </w:r>
          </w:p>
        </w:tc>
      </w:tr>
      <w:tr w14:paraId="562CB2B4" w14:textId="77777777" w:rsidTr="00E2329D">
        <w:tblPrEx>
          <w:tblW w:w="9849" w:type="dxa"/>
          <w:jc w:val="center"/>
          <w:tblLook w:val="04A0"/>
        </w:tblPrEx>
        <w:trPr>
          <w:trHeight w:val="21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5EF379E0"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2027</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3D9765E9" w14:textId="5670FF6B">
            <w:pPr>
              <w:spacing w:after="0" w:line="240" w:lineRule="auto"/>
              <w:jc w:val="center"/>
              <w:rPr>
                <w:rFonts w:ascii="Calibri" w:eastAsia="Times New Roman" w:hAnsi="Calibri" w:cs="Calibri"/>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181</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742D65D2" w14:textId="0CEF2D27">
            <w:pPr>
              <w:spacing w:after="0" w:line="240" w:lineRule="auto"/>
              <w:jc w:val="center"/>
              <w:rPr>
                <w:rFonts w:ascii="Calibri" w:eastAsia="Times New Roman" w:hAnsi="Calibri" w:cs="Calibri"/>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131</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0CA822C0" w14:textId="77777777">
            <w:pPr>
              <w:spacing w:after="0" w:line="240" w:lineRule="auto"/>
              <w:jc w:val="center"/>
              <w:rPr>
                <w:rFonts w:ascii="Calibri" w:eastAsia="Times New Roman" w:hAnsi="Calibri" w:cs="Calibri"/>
                <w:b/>
                <w:bCs/>
                <w:color w:val="000000"/>
              </w:rPr>
            </w:pPr>
            <w:r w:rsidRPr="004B309C">
              <w:rPr>
                <w:rFonts w:ascii="Aptos Narrow" w:hAnsi="Aptos Narrow"/>
                <w:color w:val="000000"/>
              </w:rPr>
              <w:t>105</w:t>
            </w:r>
          </w:p>
        </w:tc>
        <w:tc>
          <w:tcPr>
            <w:tcW w:w="1257" w:type="dxa"/>
            <w:tcBorders>
              <w:top w:val="single" w:sz="4" w:space="0" w:color="auto"/>
              <w:left w:val="nil"/>
              <w:bottom w:val="single" w:sz="4" w:space="0" w:color="auto"/>
              <w:right w:val="single" w:sz="4" w:space="0" w:color="auto"/>
            </w:tcBorders>
            <w:vAlign w:val="bottom"/>
          </w:tcPr>
          <w:p w:rsidR="000B2446" w:rsidRPr="004B309C" w:rsidP="000B2446" w14:paraId="2949E429" w14:textId="77777777">
            <w:pPr>
              <w:spacing w:after="0" w:line="240" w:lineRule="auto"/>
              <w:jc w:val="center"/>
              <w:rPr>
                <w:rFonts w:ascii="Aptos Narrow" w:hAnsi="Aptos Narrow"/>
                <w:b/>
                <w:bCs/>
                <w:color w:val="000000"/>
              </w:rPr>
            </w:pPr>
            <w:r w:rsidRPr="004B309C">
              <w:rPr>
                <w:rFonts w:ascii="Aptos Narrow" w:hAnsi="Aptos Narrow"/>
                <w:color w:val="000000"/>
              </w:rPr>
              <w:t>50</w:t>
            </w:r>
          </w:p>
        </w:tc>
        <w:tc>
          <w:tcPr>
            <w:tcW w:w="1465" w:type="dxa"/>
            <w:tcBorders>
              <w:top w:val="single" w:sz="4" w:space="0" w:color="auto"/>
              <w:left w:val="single" w:sz="4" w:space="0" w:color="auto"/>
              <w:bottom w:val="single" w:sz="4" w:space="0" w:color="auto"/>
              <w:right w:val="single" w:sz="4" w:space="0" w:color="auto"/>
            </w:tcBorders>
            <w:vAlign w:val="bottom"/>
          </w:tcPr>
          <w:p w:rsidR="000B2446" w:rsidRPr="004B309C" w:rsidP="000B2446" w14:paraId="12C2CC85" w14:textId="31933591">
            <w:pPr>
              <w:spacing w:after="0" w:line="240" w:lineRule="auto"/>
              <w:jc w:val="center"/>
              <w:rPr>
                <w:rFonts w:ascii="Calibri" w:eastAsia="Times New Roman" w:hAnsi="Calibri" w:cs="Calibri"/>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185</w:t>
            </w:r>
          </w:p>
        </w:tc>
      </w:tr>
      <w:tr w14:paraId="3D9D6B70" w14:textId="77777777" w:rsidTr="00E2329D">
        <w:tblPrEx>
          <w:tblW w:w="9849" w:type="dxa"/>
          <w:jc w:val="center"/>
          <w:tblLook w:val="04A0"/>
        </w:tblPrEx>
        <w:trPr>
          <w:trHeight w:val="21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0BD07990"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2028</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57D43871" w14:textId="6E203AAE">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285</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03862A8F" w14:textId="185EBB9E">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185</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4D1B6BD1" w14:textId="77777777">
            <w:pPr>
              <w:spacing w:after="0" w:line="240" w:lineRule="auto"/>
              <w:jc w:val="center"/>
              <w:rPr>
                <w:rFonts w:ascii="Aptos Narrow" w:hAnsi="Aptos Narrow"/>
                <w:b/>
                <w:bCs/>
                <w:color w:val="000000"/>
              </w:rPr>
            </w:pPr>
            <w:r w:rsidRPr="004B309C">
              <w:rPr>
                <w:rFonts w:ascii="Aptos Narrow" w:hAnsi="Aptos Narrow"/>
                <w:color w:val="000000"/>
              </w:rPr>
              <w:t>105</w:t>
            </w:r>
          </w:p>
        </w:tc>
        <w:tc>
          <w:tcPr>
            <w:tcW w:w="1257" w:type="dxa"/>
            <w:tcBorders>
              <w:top w:val="single" w:sz="4" w:space="0" w:color="auto"/>
              <w:left w:val="nil"/>
              <w:bottom w:val="single" w:sz="4" w:space="0" w:color="auto"/>
              <w:right w:val="single" w:sz="4" w:space="0" w:color="auto"/>
            </w:tcBorders>
            <w:vAlign w:val="bottom"/>
          </w:tcPr>
          <w:p w:rsidR="000B2446" w:rsidRPr="004B309C" w:rsidP="000B2446" w14:paraId="30040FC9" w14:textId="77777777">
            <w:pPr>
              <w:spacing w:after="0" w:line="240" w:lineRule="auto"/>
              <w:jc w:val="center"/>
              <w:rPr>
                <w:rFonts w:ascii="Aptos Narrow" w:hAnsi="Aptos Narrow"/>
                <w:b/>
                <w:bCs/>
                <w:color w:val="000000"/>
              </w:rPr>
            </w:pPr>
            <w:r w:rsidRPr="004B309C">
              <w:rPr>
                <w:rFonts w:ascii="Aptos Narrow" w:hAnsi="Aptos Narrow"/>
                <w:color w:val="000000"/>
              </w:rPr>
              <w:t>50</w:t>
            </w:r>
          </w:p>
        </w:tc>
        <w:tc>
          <w:tcPr>
            <w:tcW w:w="1465" w:type="dxa"/>
            <w:tcBorders>
              <w:top w:val="single" w:sz="4" w:space="0" w:color="auto"/>
              <w:left w:val="single" w:sz="4" w:space="0" w:color="auto"/>
              <w:bottom w:val="single" w:sz="4" w:space="0" w:color="auto"/>
              <w:right w:val="single" w:sz="4" w:space="0" w:color="auto"/>
            </w:tcBorders>
            <w:vAlign w:val="bottom"/>
          </w:tcPr>
          <w:p w:rsidR="000B2446" w:rsidRPr="004B309C" w:rsidP="000B2446" w14:paraId="26DE6A36" w14:textId="13FBC74F">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240</w:t>
            </w:r>
          </w:p>
        </w:tc>
      </w:tr>
      <w:tr w14:paraId="166E7A62" w14:textId="77777777" w:rsidTr="00E2329D">
        <w:tblPrEx>
          <w:tblW w:w="9849" w:type="dxa"/>
          <w:jc w:val="center"/>
          <w:tblLook w:val="04A0"/>
        </w:tblPrEx>
        <w:trPr>
          <w:trHeight w:val="21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5B2F8F03"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2029</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4A8E5270" w14:textId="763DA253">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390</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50FD5F30" w14:textId="7AFEE54B">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240</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23399FBD" w14:textId="77777777">
            <w:pPr>
              <w:spacing w:after="0" w:line="240" w:lineRule="auto"/>
              <w:jc w:val="center"/>
              <w:rPr>
                <w:rFonts w:ascii="Aptos Narrow" w:hAnsi="Aptos Narrow"/>
                <w:b/>
                <w:bCs/>
                <w:color w:val="000000"/>
              </w:rPr>
            </w:pPr>
            <w:r w:rsidRPr="004B309C">
              <w:rPr>
                <w:rFonts w:ascii="Aptos Narrow" w:hAnsi="Aptos Narrow"/>
                <w:color w:val="000000"/>
              </w:rPr>
              <w:t>105</w:t>
            </w:r>
          </w:p>
        </w:tc>
        <w:tc>
          <w:tcPr>
            <w:tcW w:w="1257" w:type="dxa"/>
            <w:tcBorders>
              <w:top w:val="single" w:sz="4" w:space="0" w:color="auto"/>
              <w:left w:val="nil"/>
              <w:bottom w:val="single" w:sz="4" w:space="0" w:color="auto"/>
              <w:right w:val="single" w:sz="4" w:space="0" w:color="auto"/>
            </w:tcBorders>
            <w:vAlign w:val="bottom"/>
          </w:tcPr>
          <w:p w:rsidR="000B2446" w:rsidRPr="004B309C" w:rsidP="000B2446" w14:paraId="74B1CD54" w14:textId="77777777">
            <w:pPr>
              <w:spacing w:after="0" w:line="240" w:lineRule="auto"/>
              <w:jc w:val="center"/>
              <w:rPr>
                <w:rFonts w:ascii="Aptos Narrow" w:hAnsi="Aptos Narrow"/>
                <w:b/>
                <w:bCs/>
                <w:color w:val="000000"/>
              </w:rPr>
            </w:pPr>
            <w:r w:rsidRPr="004B309C">
              <w:rPr>
                <w:rFonts w:ascii="Aptos Narrow" w:hAnsi="Aptos Narrow"/>
                <w:color w:val="000000"/>
              </w:rPr>
              <w:t>50</w:t>
            </w:r>
          </w:p>
        </w:tc>
        <w:tc>
          <w:tcPr>
            <w:tcW w:w="1465" w:type="dxa"/>
            <w:tcBorders>
              <w:top w:val="single" w:sz="4" w:space="0" w:color="auto"/>
              <w:left w:val="single" w:sz="4" w:space="0" w:color="auto"/>
              <w:bottom w:val="single" w:sz="4" w:space="0" w:color="auto"/>
              <w:right w:val="single" w:sz="4" w:space="0" w:color="auto"/>
            </w:tcBorders>
            <w:vAlign w:val="bottom"/>
          </w:tcPr>
          <w:p w:rsidR="000B2446" w:rsidRPr="004B309C" w:rsidP="000B2446" w14:paraId="641F0E24" w14:textId="770C3A31">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294</w:t>
            </w:r>
          </w:p>
        </w:tc>
      </w:tr>
      <w:tr w14:paraId="5E95D146" w14:textId="77777777" w:rsidTr="00E2329D">
        <w:tblPrEx>
          <w:tblW w:w="9849" w:type="dxa"/>
          <w:jc w:val="center"/>
          <w:tblLook w:val="04A0"/>
        </w:tblPrEx>
        <w:trPr>
          <w:trHeight w:val="21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2759CC62" w14:textId="77777777">
            <w:pPr>
              <w:spacing w:after="0" w:line="240" w:lineRule="auto"/>
              <w:jc w:val="center"/>
              <w:rPr>
                <w:rFonts w:ascii="Calibri" w:eastAsia="Times New Roman" w:hAnsi="Calibri" w:cs="Calibri"/>
                <w:b/>
                <w:bCs/>
                <w:color w:val="000000"/>
              </w:rPr>
            </w:pPr>
            <w:r w:rsidRPr="004B309C">
              <w:rPr>
                <w:rFonts w:ascii="Aptos Narrow" w:hAnsi="Aptos Narrow"/>
                <w:b/>
                <w:bCs/>
                <w:color w:val="000000"/>
              </w:rPr>
              <w:t>2030</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3B0289B8" w14:textId="34BD94C9">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494</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6B6A2192" w14:textId="29AE4EE7">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294</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6196D40D" w14:textId="77777777">
            <w:pPr>
              <w:spacing w:after="0" w:line="240" w:lineRule="auto"/>
              <w:jc w:val="center"/>
              <w:rPr>
                <w:rFonts w:ascii="Aptos Narrow" w:hAnsi="Aptos Narrow"/>
                <w:b/>
                <w:bCs/>
                <w:color w:val="000000"/>
              </w:rPr>
            </w:pPr>
            <w:r w:rsidRPr="004B309C">
              <w:rPr>
                <w:rFonts w:ascii="Aptos Narrow" w:hAnsi="Aptos Narrow"/>
                <w:color w:val="000000"/>
              </w:rPr>
              <w:t>105</w:t>
            </w:r>
          </w:p>
        </w:tc>
        <w:tc>
          <w:tcPr>
            <w:tcW w:w="1257" w:type="dxa"/>
            <w:tcBorders>
              <w:top w:val="single" w:sz="4" w:space="0" w:color="auto"/>
              <w:left w:val="nil"/>
              <w:bottom w:val="single" w:sz="4" w:space="0" w:color="auto"/>
              <w:right w:val="single" w:sz="4" w:space="0" w:color="auto"/>
            </w:tcBorders>
            <w:vAlign w:val="bottom"/>
          </w:tcPr>
          <w:p w:rsidR="000B2446" w:rsidRPr="004B309C" w:rsidP="000B2446" w14:paraId="7251D3DB" w14:textId="77777777">
            <w:pPr>
              <w:spacing w:after="0" w:line="240" w:lineRule="auto"/>
              <w:jc w:val="center"/>
              <w:rPr>
                <w:rFonts w:ascii="Aptos Narrow" w:hAnsi="Aptos Narrow"/>
                <w:b/>
                <w:bCs/>
                <w:color w:val="000000"/>
              </w:rPr>
            </w:pPr>
            <w:r w:rsidRPr="004B309C">
              <w:rPr>
                <w:rFonts w:ascii="Aptos Narrow" w:hAnsi="Aptos Narrow"/>
                <w:color w:val="000000"/>
              </w:rPr>
              <w:t>50</w:t>
            </w:r>
          </w:p>
        </w:tc>
        <w:tc>
          <w:tcPr>
            <w:tcW w:w="1465" w:type="dxa"/>
            <w:tcBorders>
              <w:top w:val="single" w:sz="4" w:space="0" w:color="auto"/>
              <w:left w:val="single" w:sz="4" w:space="0" w:color="auto"/>
              <w:bottom w:val="single" w:sz="4" w:space="0" w:color="auto"/>
              <w:right w:val="single" w:sz="4" w:space="0" w:color="auto"/>
            </w:tcBorders>
            <w:vAlign w:val="bottom"/>
          </w:tcPr>
          <w:p w:rsidR="000B2446" w:rsidRPr="004B309C" w:rsidP="000B2446" w14:paraId="4839704B" w14:textId="62459878">
            <w:pPr>
              <w:spacing w:after="0" w:line="240" w:lineRule="auto"/>
              <w:jc w:val="center"/>
              <w:rPr>
                <w:rFonts w:ascii="Aptos Narrow" w:hAnsi="Aptos Narrow"/>
                <w:b/>
                <w:bCs/>
                <w:color w:val="000000"/>
              </w:rPr>
            </w:pPr>
            <w:r w:rsidRPr="004B309C">
              <w:rPr>
                <w:rFonts w:ascii="Aptos Narrow" w:hAnsi="Aptos Narrow"/>
                <w:color w:val="000000"/>
              </w:rPr>
              <w:t>2</w:t>
            </w:r>
            <w:r w:rsidR="00E95CE5">
              <w:rPr>
                <w:rFonts w:ascii="Aptos Narrow" w:hAnsi="Aptos Narrow"/>
                <w:color w:val="000000"/>
              </w:rPr>
              <w:t>,</w:t>
            </w:r>
            <w:r w:rsidRPr="004B309C">
              <w:rPr>
                <w:rFonts w:ascii="Aptos Narrow" w:hAnsi="Aptos Narrow"/>
                <w:color w:val="000000"/>
              </w:rPr>
              <w:t>349</w:t>
            </w:r>
          </w:p>
        </w:tc>
      </w:tr>
      <w:tr w14:paraId="45FD29C1" w14:textId="77777777" w:rsidTr="00E2329D">
        <w:tblPrEx>
          <w:tblW w:w="9849" w:type="dxa"/>
          <w:jc w:val="center"/>
          <w:tblLook w:val="04A0"/>
        </w:tblPrEx>
        <w:trPr>
          <w:trHeight w:val="21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46" w:rsidRPr="004B309C" w:rsidP="000B2446" w14:paraId="348A5714" w14:textId="21FFE492">
            <w:pPr>
              <w:spacing w:after="0" w:line="240" w:lineRule="auto"/>
              <w:jc w:val="center"/>
              <w:rPr>
                <w:rFonts w:ascii="Calibri" w:eastAsia="Times New Roman" w:hAnsi="Calibri" w:cs="Calibri"/>
                <w:b/>
                <w:bCs/>
                <w:color w:val="000000"/>
              </w:rPr>
            </w:pPr>
            <w:r>
              <w:rPr>
                <w:rFonts w:ascii="Aptos Narrow" w:hAnsi="Aptos Narrow"/>
                <w:b/>
                <w:bCs/>
                <w:color w:val="000000"/>
              </w:rPr>
              <w:t xml:space="preserve">5 year, </w:t>
            </w:r>
            <w:r w:rsidR="00410736">
              <w:rPr>
                <w:rFonts w:ascii="Aptos Narrow" w:hAnsi="Aptos Narrow"/>
                <w:b/>
                <w:bCs/>
                <w:color w:val="000000"/>
              </w:rPr>
              <w:t xml:space="preserve">2026 MSGP </w:t>
            </w:r>
            <w:r w:rsidRPr="004B309C">
              <w:rPr>
                <w:rFonts w:ascii="Aptos Narrow" w:hAnsi="Aptos Narrow"/>
                <w:b/>
                <w:bCs/>
                <w:color w:val="000000"/>
              </w:rPr>
              <w:t>Average</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3A3B5C47" w14:textId="77777777">
            <w:pPr>
              <w:spacing w:after="0" w:line="240" w:lineRule="auto"/>
              <w:jc w:val="center"/>
              <w:rPr>
                <w:rFonts w:ascii="Aptos Narrow" w:hAnsi="Aptos Narrow"/>
                <w:b/>
                <w:bCs/>
                <w:color w:val="000000"/>
              </w:rPr>
            </w:pPr>
            <w:r w:rsidRPr="004B309C">
              <w:rPr>
                <w:rFonts w:ascii="Aptos Narrow" w:hAnsi="Aptos Narrow"/>
                <w:b/>
                <w:bCs/>
                <w:color w:val="000000"/>
              </w:rPr>
              <w:t> </w:t>
            </w:r>
          </w:p>
        </w:tc>
        <w:tc>
          <w:tcPr>
            <w:tcW w:w="2007"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124FEA9C" w14:textId="77777777">
            <w:pPr>
              <w:spacing w:after="0" w:line="240" w:lineRule="auto"/>
              <w:jc w:val="center"/>
              <w:rPr>
                <w:rFonts w:ascii="Aptos Narrow" w:hAnsi="Aptos Narrow"/>
                <w:b/>
                <w:bCs/>
                <w:color w:val="000000"/>
              </w:rPr>
            </w:pPr>
            <w:r w:rsidRPr="004B309C">
              <w:rPr>
                <w:rFonts w:ascii="Aptos Narrow" w:hAnsi="Aptos Narrow"/>
                <w:b/>
                <w:bCs/>
                <w:color w:val="000000"/>
              </w:rPr>
              <w:t> </w:t>
            </w:r>
          </w:p>
        </w:tc>
        <w:tc>
          <w:tcPr>
            <w:tcW w:w="2079" w:type="dxa"/>
            <w:tcBorders>
              <w:top w:val="single" w:sz="4" w:space="0" w:color="auto"/>
              <w:left w:val="nil"/>
              <w:bottom w:val="single" w:sz="4" w:space="0" w:color="auto"/>
              <w:right w:val="single" w:sz="4" w:space="0" w:color="auto"/>
            </w:tcBorders>
            <w:shd w:val="clear" w:color="auto" w:fill="auto"/>
            <w:noWrap/>
            <w:vAlign w:val="bottom"/>
          </w:tcPr>
          <w:p w:rsidR="000B2446" w:rsidRPr="004B309C" w:rsidP="000B2446" w14:paraId="1EE81BD8" w14:textId="77777777">
            <w:pPr>
              <w:spacing w:after="0" w:line="240" w:lineRule="auto"/>
              <w:jc w:val="center"/>
              <w:rPr>
                <w:rFonts w:ascii="Aptos Narrow" w:hAnsi="Aptos Narrow"/>
                <w:b/>
                <w:bCs/>
                <w:color w:val="000000"/>
              </w:rPr>
            </w:pPr>
            <w:r w:rsidRPr="004B309C">
              <w:rPr>
                <w:rFonts w:ascii="Aptos Narrow" w:hAnsi="Aptos Narrow"/>
                <w:b/>
                <w:bCs/>
                <w:color w:val="000000"/>
              </w:rPr>
              <w:t> </w:t>
            </w:r>
          </w:p>
        </w:tc>
        <w:tc>
          <w:tcPr>
            <w:tcW w:w="1257" w:type="dxa"/>
            <w:tcBorders>
              <w:top w:val="single" w:sz="4" w:space="0" w:color="auto"/>
              <w:left w:val="nil"/>
              <w:bottom w:val="single" w:sz="4" w:space="0" w:color="auto"/>
              <w:right w:val="single" w:sz="4" w:space="0" w:color="auto"/>
            </w:tcBorders>
            <w:vAlign w:val="bottom"/>
          </w:tcPr>
          <w:p w:rsidR="000B2446" w:rsidRPr="004B309C" w:rsidP="000B2446" w14:paraId="4980F7A6" w14:textId="77777777">
            <w:pPr>
              <w:spacing w:after="0" w:line="240" w:lineRule="auto"/>
              <w:jc w:val="center"/>
              <w:rPr>
                <w:rFonts w:ascii="Aptos Narrow" w:hAnsi="Aptos Narrow"/>
                <w:b/>
                <w:bCs/>
                <w:color w:val="000000"/>
              </w:rPr>
            </w:pPr>
            <w:r w:rsidRPr="004B309C">
              <w:rPr>
                <w:rFonts w:ascii="Aptos Narrow" w:hAnsi="Aptos Narrow"/>
                <w:b/>
                <w:bCs/>
                <w:color w:val="000000"/>
              </w:rPr>
              <w:t> </w:t>
            </w:r>
          </w:p>
        </w:tc>
        <w:tc>
          <w:tcPr>
            <w:tcW w:w="1465" w:type="dxa"/>
            <w:tcBorders>
              <w:top w:val="single" w:sz="4" w:space="0" w:color="auto"/>
              <w:left w:val="single" w:sz="4" w:space="0" w:color="auto"/>
              <w:bottom w:val="single" w:sz="4" w:space="0" w:color="auto"/>
              <w:right w:val="single" w:sz="4" w:space="0" w:color="auto"/>
            </w:tcBorders>
            <w:vAlign w:val="bottom"/>
          </w:tcPr>
          <w:p w:rsidR="000B2446" w:rsidRPr="004B309C" w:rsidP="000B2446" w14:paraId="73A96E66" w14:textId="79C3098A">
            <w:pPr>
              <w:spacing w:after="0" w:line="240" w:lineRule="auto"/>
              <w:jc w:val="center"/>
              <w:rPr>
                <w:rFonts w:ascii="Aptos Narrow" w:hAnsi="Aptos Narrow"/>
                <w:b/>
                <w:bCs/>
                <w:color w:val="000000"/>
              </w:rPr>
            </w:pPr>
            <w:r>
              <w:rPr>
                <w:rFonts w:ascii="Aptos Narrow" w:hAnsi="Aptos Narrow"/>
                <w:b/>
                <w:bCs/>
                <w:color w:val="000000"/>
              </w:rPr>
              <w:t>2,240</w:t>
            </w:r>
            <w:r w:rsidRPr="004B309C">
              <w:rPr>
                <w:rFonts w:ascii="Aptos Narrow" w:hAnsi="Aptos Narrow"/>
                <w:b/>
                <w:bCs/>
                <w:color w:val="000000"/>
              </w:rPr>
              <w:t xml:space="preserve"> </w:t>
            </w:r>
          </w:p>
        </w:tc>
      </w:tr>
    </w:tbl>
    <w:p w:rsidR="00EC0326" w:rsidP="00EC0326" w14:paraId="41EAA8E1" w14:textId="77777777">
      <w:pPr>
        <w:numPr>
          <w:ilvl w:val="12"/>
          <w:numId w:val="0"/>
        </w:numPr>
        <w:spacing w:before="240" w:after="100" w:afterAutospacing="1" w:line="240" w:lineRule="auto"/>
        <w:contextualSpacing/>
        <w:rPr>
          <w:rFonts w:ascii="Calibri" w:hAnsi="Calibri" w:cs="Calibri"/>
        </w:rPr>
      </w:pPr>
    </w:p>
    <w:p w:rsidR="00DD498E" w:rsidRPr="001E010D" w:rsidP="00EC0326" w14:paraId="09EB03D1" w14:textId="07DE3F05">
      <w:pPr>
        <w:numPr>
          <w:ilvl w:val="12"/>
          <w:numId w:val="0"/>
        </w:numPr>
        <w:spacing w:before="240" w:after="100" w:afterAutospacing="1" w:line="240" w:lineRule="auto"/>
        <w:contextualSpacing/>
        <w:rPr>
          <w:rFonts w:ascii="Calibri" w:hAnsi="Calibri" w:cs="Calibri"/>
        </w:rPr>
      </w:pPr>
      <w:r w:rsidRPr="001E010D">
        <w:rPr>
          <w:rFonts w:ascii="Calibri" w:hAnsi="Calibri" w:cs="Calibri"/>
        </w:rPr>
        <w:t>The permit</w:t>
      </w:r>
      <w:r w:rsidR="00AB2B5E">
        <w:rPr>
          <w:rFonts w:ascii="Calibri" w:hAnsi="Calibri" w:cs="Calibri"/>
        </w:rPr>
        <w:t xml:space="preserve"> provides</w:t>
      </w:r>
      <w:r w:rsidRPr="001E010D">
        <w:rPr>
          <w:rFonts w:ascii="Calibri" w:hAnsi="Calibri" w:cs="Calibri"/>
        </w:rPr>
        <w:t xml:space="preserve"> </w:t>
      </w:r>
      <w:r w:rsidR="00AB2B5E">
        <w:rPr>
          <w:rFonts w:ascii="Calibri" w:hAnsi="Calibri" w:cs="Calibri"/>
        </w:rPr>
        <w:t>cover</w:t>
      </w:r>
      <w:r w:rsidR="00271E24">
        <w:rPr>
          <w:rFonts w:ascii="Calibri" w:hAnsi="Calibri" w:cs="Calibri"/>
        </w:rPr>
        <w:t>age to</w:t>
      </w:r>
      <w:r w:rsidR="00AB2B5E">
        <w:rPr>
          <w:rFonts w:ascii="Calibri" w:hAnsi="Calibri" w:cs="Calibri"/>
        </w:rPr>
        <w:t xml:space="preserve"> </w:t>
      </w:r>
      <w:r w:rsidR="00271E24">
        <w:rPr>
          <w:rFonts w:ascii="Calibri" w:hAnsi="Calibri" w:cs="Calibri"/>
        </w:rPr>
        <w:t xml:space="preserve">eligible </w:t>
      </w:r>
      <w:r w:rsidRPr="001E010D">
        <w:rPr>
          <w:rFonts w:ascii="Calibri" w:hAnsi="Calibri" w:cs="Calibri"/>
        </w:rPr>
        <w:t>regulate</w:t>
      </w:r>
      <w:r w:rsidR="00AB2B5E">
        <w:rPr>
          <w:rFonts w:ascii="Calibri" w:hAnsi="Calibri" w:cs="Calibri"/>
        </w:rPr>
        <w:t>d</w:t>
      </w:r>
      <w:r w:rsidRPr="001E010D">
        <w:rPr>
          <w:rFonts w:ascii="Calibri" w:hAnsi="Calibri" w:cs="Calibri"/>
        </w:rPr>
        <w:t xml:space="preserve"> stormwater discharges </w:t>
      </w:r>
      <w:r>
        <w:rPr>
          <w:rFonts w:ascii="Calibri" w:hAnsi="Calibri" w:cs="Calibri"/>
        </w:rPr>
        <w:t>located in areas where EPA is the permitting authority that are associated with</w:t>
      </w:r>
      <w:r w:rsidRPr="001E010D">
        <w:rPr>
          <w:rFonts w:ascii="Calibri" w:hAnsi="Calibri" w:cs="Calibri"/>
        </w:rPr>
        <w:t xml:space="preserve"> industrial </w:t>
      </w:r>
      <w:r>
        <w:rPr>
          <w:rFonts w:ascii="Calibri" w:hAnsi="Calibri" w:cs="Calibri"/>
        </w:rPr>
        <w:t>activity from facilities</w:t>
      </w:r>
      <w:r w:rsidRPr="001E010D">
        <w:rPr>
          <w:rFonts w:ascii="Calibri" w:hAnsi="Calibri" w:cs="Calibri"/>
        </w:rPr>
        <w:t xml:space="preserve"> in the 30 sectors shown below</w:t>
      </w:r>
      <w:r>
        <w:rPr>
          <w:rFonts w:ascii="Calibri" w:hAnsi="Calibri" w:cs="Calibri"/>
        </w:rPr>
        <w:t>. The NOI data from the 2021 MSGP was utilized to determine population numbers for each sector</w:t>
      </w:r>
      <w:r w:rsidRPr="001E010D">
        <w:rPr>
          <w:rFonts w:ascii="Calibri" w:hAnsi="Calibri" w:cs="Calibri"/>
        </w:rPr>
        <w:t xml:space="preserve">: </w:t>
      </w:r>
    </w:p>
    <w:p w:rsidR="00DD498E" w:rsidRPr="001E010D" w:rsidP="00DD498E" w14:paraId="17FE101E"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A—Timber Products. </w:t>
      </w:r>
    </w:p>
    <w:p w:rsidR="00DD498E" w:rsidRPr="001E010D" w:rsidP="00DD498E" w14:paraId="08BD024E"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B—Paper and Allied Products Manufacturing. </w:t>
      </w:r>
    </w:p>
    <w:p w:rsidR="00DD498E" w:rsidRPr="001E010D" w:rsidP="00DD498E" w14:paraId="560E0EAD"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C—Chemical and Allied Products Manufacturing. </w:t>
      </w:r>
    </w:p>
    <w:p w:rsidR="00DD498E" w:rsidRPr="001E010D" w:rsidP="00DD498E" w14:paraId="7455E05B"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Sector D—Asphalt Paving and Roofing Materials Manufactures and Lubricant Manufacturers.</w:t>
      </w:r>
    </w:p>
    <w:p w:rsidR="00DD498E" w:rsidRPr="001E010D" w:rsidP="00DD498E" w14:paraId="1D8CF746"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E—Glass, Clay, Cement, Concrete, and Gypsum Product Manufacturing. </w:t>
      </w:r>
    </w:p>
    <w:p w:rsidR="00DD498E" w:rsidRPr="001E010D" w:rsidP="00DD498E" w14:paraId="43F707C7"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F—Primary Metals. </w:t>
      </w:r>
    </w:p>
    <w:p w:rsidR="00DD498E" w:rsidRPr="001E010D" w:rsidP="00DD498E" w14:paraId="76F244D7"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Sector G—Metal Mining (Ore Mining and Dressing).</w:t>
      </w:r>
    </w:p>
    <w:p w:rsidR="00DD498E" w:rsidRPr="001E010D" w:rsidP="00DD498E" w14:paraId="4747ED5B"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H—Coal Mines and Coal Mining-Related Facilities. </w:t>
      </w:r>
    </w:p>
    <w:p w:rsidR="00DD498E" w:rsidRPr="001E010D" w:rsidP="00DD498E" w14:paraId="2D69A2A3"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I—Oil and Gas Extraction. </w:t>
      </w:r>
    </w:p>
    <w:p w:rsidR="00DD498E" w:rsidRPr="001E010D" w:rsidP="00DD498E" w14:paraId="4891143E"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J—Mineral Mining and Dressing. </w:t>
      </w:r>
    </w:p>
    <w:p w:rsidR="00DD498E" w:rsidRPr="001E010D" w:rsidP="00DD498E" w14:paraId="00C25DE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K—Hazardous Waste Treatment Storage or Disposal. </w:t>
      </w:r>
    </w:p>
    <w:p w:rsidR="00DD498E" w:rsidRPr="001E010D" w:rsidP="00DD498E" w14:paraId="3B981B9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L—Landfills and Land Application Sites. </w:t>
      </w:r>
    </w:p>
    <w:p w:rsidR="00DD498E" w:rsidRPr="001E010D" w:rsidP="00DD498E" w14:paraId="55663E33"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M—Automobile Salvage Yards. </w:t>
      </w:r>
    </w:p>
    <w:p w:rsidR="00DD498E" w:rsidRPr="001E010D" w:rsidP="00DD498E" w14:paraId="4E6D1C7E"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N—Scrap Recycling Facilities. </w:t>
      </w:r>
    </w:p>
    <w:p w:rsidR="00DD498E" w:rsidRPr="001E010D" w:rsidP="00DD498E" w14:paraId="4AEAF22D"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Sector O—Steam Electric Generating Facilities.</w:t>
      </w:r>
    </w:p>
    <w:p w:rsidR="00DD498E" w:rsidRPr="001E010D" w:rsidP="00DD498E" w14:paraId="32599179"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P—Land Transportation. </w:t>
      </w:r>
    </w:p>
    <w:p w:rsidR="00DD498E" w:rsidRPr="001E010D" w:rsidP="00DD498E" w14:paraId="312EA2BA"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Q—Water Transportation. </w:t>
      </w:r>
    </w:p>
    <w:p w:rsidR="00DD498E" w:rsidRPr="001E010D" w:rsidP="00DD498E" w14:paraId="65259641"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R—Ship and Boat Building or Repairing Yards. </w:t>
      </w:r>
    </w:p>
    <w:p w:rsidR="00DD498E" w:rsidRPr="001E010D" w:rsidP="00DD498E" w14:paraId="6E022FE6"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S—Air Transportation Facilities. </w:t>
      </w:r>
    </w:p>
    <w:p w:rsidR="00DD498E" w:rsidRPr="001E010D" w:rsidP="00DD498E" w14:paraId="64F48729"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T—Treatment Works. </w:t>
      </w:r>
    </w:p>
    <w:p w:rsidR="00DD498E" w:rsidRPr="001E010D" w:rsidP="00DD498E" w14:paraId="13F20C6F"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U—Food and Kindred Products. </w:t>
      </w:r>
    </w:p>
    <w:p w:rsidR="00DD498E" w:rsidRPr="001E010D" w:rsidP="00DD498E" w14:paraId="47D3BE5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V—Textile Mills, Apparel, and other Fabric Products Manufacturing. </w:t>
      </w:r>
    </w:p>
    <w:p w:rsidR="00DD498E" w:rsidRPr="001E010D" w:rsidP="00DD498E" w14:paraId="2138E18D"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W—Furniture and Fixtures. </w:t>
      </w:r>
    </w:p>
    <w:p w:rsidR="00DD498E" w:rsidRPr="001E010D" w:rsidP="00DD498E" w14:paraId="1E319393"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X—Printing and Publishing. </w:t>
      </w:r>
    </w:p>
    <w:p w:rsidR="00DD498E" w:rsidRPr="001E010D" w:rsidP="00DD498E" w14:paraId="6EF72E77"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Y—Rubber, Miscellaneous Plastic Products, and Miscellaneous Manufacturing Industries. </w:t>
      </w:r>
    </w:p>
    <w:p w:rsidR="00DD498E" w:rsidRPr="001E010D" w:rsidP="00DD498E" w14:paraId="1BBE70B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Z—Leather Tanning and Finishing. </w:t>
      </w:r>
    </w:p>
    <w:p w:rsidR="00DD498E" w:rsidRPr="001E010D" w:rsidP="00DD498E" w14:paraId="73F5C15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AA—Fabricated Metal Products. </w:t>
      </w:r>
    </w:p>
    <w:p w:rsidR="00DD498E" w:rsidRPr="001E010D" w:rsidP="00DD498E" w14:paraId="36060ECD"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AB—Transportation Equipment, Industrial or Commercial Machinery. </w:t>
      </w:r>
    </w:p>
    <w:p w:rsidR="00DD498E" w:rsidRPr="001E010D" w:rsidP="00DD498E" w14:paraId="2172A850" w14:textId="77777777">
      <w:pPr>
        <w:pStyle w:val="ListParagraph"/>
        <w:numPr>
          <w:ilvl w:val="12"/>
          <w:numId w:val="0"/>
        </w:numPr>
        <w:spacing w:after="100" w:afterAutospacing="1" w:line="240" w:lineRule="auto"/>
        <w:rPr>
          <w:rFonts w:ascii="Calibri" w:hAnsi="Calibri" w:cs="Calibri"/>
        </w:rPr>
      </w:pPr>
      <w:r w:rsidRPr="001E010D">
        <w:rPr>
          <w:rFonts w:ascii="Calibri" w:hAnsi="Calibri" w:cs="Calibri"/>
        </w:rPr>
        <w:t xml:space="preserve">Sector AC—Electronic, Electrical, Photographic and Optical Goods. </w:t>
      </w:r>
    </w:p>
    <w:p w:rsidR="00DD498E" w:rsidP="00626565" w14:paraId="46AFD6BC" w14:textId="77777777">
      <w:pPr>
        <w:pStyle w:val="ListParagraph"/>
        <w:numPr>
          <w:ilvl w:val="12"/>
          <w:numId w:val="0"/>
        </w:numPr>
        <w:spacing w:after="0" w:line="240" w:lineRule="auto"/>
        <w:rPr>
          <w:rFonts w:ascii="Calibri" w:hAnsi="Calibri" w:cs="Calibri"/>
        </w:rPr>
      </w:pPr>
      <w:r w:rsidRPr="00D1236F">
        <w:rPr>
          <w:rFonts w:ascii="Calibri" w:hAnsi="Calibri" w:cs="Calibri"/>
        </w:rPr>
        <w:t xml:space="preserve">Sector AD—Reserved for Facilities Not Covered Under Other Sectors and Designated by the Director. </w:t>
      </w:r>
    </w:p>
    <w:p w:rsidR="00DD498E" w:rsidP="00EC0326" w14:paraId="62CDC3AF" w14:textId="2E613E77">
      <w:pPr>
        <w:spacing w:after="0" w:line="240" w:lineRule="auto"/>
        <w:rPr>
          <w:rFonts w:ascii="Calibri" w:hAnsi="Calibri" w:cs="Calibri"/>
        </w:rPr>
      </w:pPr>
      <w:r w:rsidRPr="001A1482">
        <w:rPr>
          <w:rFonts w:ascii="Calibri" w:hAnsi="Calibri" w:cs="Calibri"/>
        </w:rPr>
        <w:t xml:space="preserve">There are multiple </w:t>
      </w:r>
      <w:r>
        <w:rPr>
          <w:rFonts w:ascii="Calibri" w:hAnsi="Calibri" w:cs="Calibri"/>
        </w:rPr>
        <w:t>respondent populations</w:t>
      </w:r>
      <w:r w:rsidRPr="001A1482">
        <w:rPr>
          <w:rFonts w:ascii="Calibri" w:hAnsi="Calibri" w:cs="Calibri"/>
        </w:rPr>
        <w:t xml:space="preserve"> that </w:t>
      </w:r>
      <w:r w:rsidR="005354F0">
        <w:rPr>
          <w:rFonts w:ascii="Calibri" w:hAnsi="Calibri" w:cs="Calibri"/>
        </w:rPr>
        <w:t>would be</w:t>
      </w:r>
      <w:r w:rsidRPr="001A1482" w:rsidR="005354F0">
        <w:rPr>
          <w:rFonts w:ascii="Calibri" w:hAnsi="Calibri" w:cs="Calibri"/>
        </w:rPr>
        <w:t xml:space="preserve"> </w:t>
      </w:r>
      <w:r w:rsidR="00DC3525">
        <w:rPr>
          <w:rFonts w:ascii="Calibri" w:hAnsi="Calibri" w:cs="Calibri"/>
        </w:rPr>
        <w:t>affected</w:t>
      </w:r>
      <w:r w:rsidRPr="001A1482">
        <w:rPr>
          <w:rFonts w:ascii="Calibri" w:hAnsi="Calibri" w:cs="Calibri"/>
        </w:rPr>
        <w:t xml:space="preserve"> by the </w:t>
      </w:r>
      <w:r w:rsidR="005354F0">
        <w:rPr>
          <w:rFonts w:ascii="Calibri" w:hAnsi="Calibri" w:cs="Calibri"/>
        </w:rPr>
        <w:t xml:space="preserve">proposed </w:t>
      </w:r>
      <w:r w:rsidR="000532FD">
        <w:rPr>
          <w:rFonts w:ascii="Calibri" w:hAnsi="Calibri" w:cs="Calibri"/>
        </w:rPr>
        <w:t xml:space="preserve">changes to the </w:t>
      </w:r>
      <w:r w:rsidRPr="001A1482">
        <w:rPr>
          <w:rFonts w:ascii="Calibri" w:hAnsi="Calibri" w:cs="Calibri"/>
        </w:rPr>
        <w:t xml:space="preserve">2026 MSGP </w:t>
      </w:r>
      <w:r w:rsidR="004003B2">
        <w:rPr>
          <w:rFonts w:ascii="Calibri" w:hAnsi="Calibri" w:cs="Calibri"/>
        </w:rPr>
        <w:t>permit requirements</w:t>
      </w:r>
      <w:r w:rsidRPr="001A1482">
        <w:rPr>
          <w:rFonts w:ascii="Calibri" w:hAnsi="Calibri" w:cs="Calibri"/>
        </w:rPr>
        <w:t>, as follows:</w:t>
      </w:r>
    </w:p>
    <w:p w:rsidR="00DD498E" w:rsidP="00DD498E" w14:paraId="0AD9052B" w14:textId="2BEF815F">
      <w:pPr>
        <w:pStyle w:val="ListParagraph"/>
        <w:numPr>
          <w:ilvl w:val="0"/>
          <w:numId w:val="34"/>
        </w:numPr>
        <w:spacing w:after="100" w:afterAutospacing="1" w:line="240" w:lineRule="auto"/>
        <w:rPr>
          <w:rFonts w:ascii="Calibri" w:hAnsi="Calibri" w:cs="Calibri"/>
        </w:rPr>
      </w:pPr>
      <w:r w:rsidRPr="001A1482">
        <w:rPr>
          <w:rFonts w:ascii="Calibri" w:hAnsi="Calibri" w:cs="Calibri"/>
        </w:rPr>
        <w:t>S</w:t>
      </w:r>
      <w:r>
        <w:rPr>
          <w:rFonts w:ascii="Calibri" w:hAnsi="Calibri" w:cs="Calibri"/>
        </w:rPr>
        <w:t>ub-s</w:t>
      </w:r>
      <w:r w:rsidRPr="001A1482">
        <w:rPr>
          <w:rFonts w:ascii="Calibri" w:hAnsi="Calibri" w:cs="Calibri"/>
        </w:rPr>
        <w:t xml:space="preserve">ectors AB1, AD1, E3, I1, L2, N2, O1, P1, R1, U3, and Y2 </w:t>
      </w:r>
      <w:r w:rsidR="00BB0704">
        <w:rPr>
          <w:rFonts w:ascii="Calibri" w:hAnsi="Calibri" w:cs="Calibri"/>
        </w:rPr>
        <w:t>would</w:t>
      </w:r>
      <w:r w:rsidRPr="001A1482">
        <w:rPr>
          <w:rFonts w:ascii="Calibri" w:hAnsi="Calibri" w:cs="Calibri"/>
        </w:rPr>
        <w:t xml:space="preserve"> move from indicator monitoring to benchmark monitoring</w:t>
      </w:r>
      <w:r w:rsidR="00EC0326">
        <w:rPr>
          <w:rFonts w:ascii="Calibri" w:hAnsi="Calibri" w:cs="Calibri"/>
        </w:rPr>
        <w:t>,</w:t>
      </w:r>
    </w:p>
    <w:p w:rsidR="00DD498E" w:rsidP="00DD498E" w14:paraId="42A7E803" w14:textId="6F0FCC7B">
      <w:pPr>
        <w:pStyle w:val="ListParagraph"/>
        <w:numPr>
          <w:ilvl w:val="0"/>
          <w:numId w:val="34"/>
        </w:numPr>
        <w:spacing w:after="100" w:afterAutospacing="1" w:line="240" w:lineRule="auto"/>
        <w:rPr>
          <w:rFonts w:ascii="Calibri" w:hAnsi="Calibri" w:cs="Calibri"/>
        </w:rPr>
      </w:pPr>
      <w:r>
        <w:rPr>
          <w:rFonts w:ascii="Calibri" w:hAnsi="Calibri" w:cs="Calibri"/>
        </w:rPr>
        <w:t xml:space="preserve">Sectors </w:t>
      </w:r>
      <w:r w:rsidRPr="00625D67" w:rsidR="00625D67">
        <w:rPr>
          <w:rFonts w:ascii="Calibri" w:hAnsi="Calibri" w:cs="Calibri"/>
        </w:rPr>
        <w:t>A, B, C, D, F, I, K, L, M, N, P, R, S,</w:t>
      </w:r>
      <w:r w:rsidR="00527214">
        <w:rPr>
          <w:rFonts w:ascii="Calibri" w:hAnsi="Calibri" w:cs="Calibri"/>
        </w:rPr>
        <w:t xml:space="preserve"> T,</w:t>
      </w:r>
      <w:r w:rsidRPr="00625D67" w:rsidR="00625D67">
        <w:rPr>
          <w:rFonts w:ascii="Calibri" w:hAnsi="Calibri" w:cs="Calibri"/>
        </w:rPr>
        <w:t xml:space="preserve"> U, V, W, X, Y, Z, AA, AB, and AC </w:t>
      </w:r>
      <w:r w:rsidR="00F75C36">
        <w:rPr>
          <w:rFonts w:ascii="Calibri" w:hAnsi="Calibri" w:cs="Calibri"/>
        </w:rPr>
        <w:t>would</w:t>
      </w:r>
      <w:r w:rsidR="00F8781A">
        <w:rPr>
          <w:rFonts w:ascii="Calibri" w:hAnsi="Calibri" w:cs="Calibri"/>
        </w:rPr>
        <w:t xml:space="preserve"> be </w:t>
      </w:r>
      <w:r>
        <w:rPr>
          <w:rFonts w:ascii="Calibri" w:hAnsi="Calibri" w:cs="Calibri"/>
        </w:rPr>
        <w:t>required to perform indicator monitoring for PFAS</w:t>
      </w:r>
      <w:r w:rsidR="00EC0326">
        <w:rPr>
          <w:rFonts w:ascii="Calibri" w:hAnsi="Calibri" w:cs="Calibri"/>
        </w:rPr>
        <w:t>,</w:t>
      </w:r>
    </w:p>
    <w:p w:rsidR="00EC0326" w:rsidP="003C0399" w14:paraId="5F44A6BF" w14:textId="6DD9145C">
      <w:pPr>
        <w:pStyle w:val="ListParagraph"/>
        <w:numPr>
          <w:ilvl w:val="0"/>
          <w:numId w:val="34"/>
        </w:numPr>
        <w:spacing w:after="100" w:afterAutospacing="1" w:line="240" w:lineRule="auto"/>
        <w:rPr>
          <w:rFonts w:ascii="Calibri" w:hAnsi="Calibri" w:cs="Calibri"/>
        </w:rPr>
      </w:pPr>
      <w:r>
        <w:rPr>
          <w:rFonts w:ascii="Calibri" w:hAnsi="Calibri" w:cs="Calibri"/>
        </w:rPr>
        <w:t xml:space="preserve">Dischargers in </w:t>
      </w:r>
      <w:r w:rsidRPr="00EC0326" w:rsidR="00DD498E">
        <w:rPr>
          <w:rFonts w:ascii="Calibri" w:hAnsi="Calibri" w:cs="Calibri"/>
        </w:rPr>
        <w:t xml:space="preserve">Region 1 </w:t>
      </w:r>
      <w:r w:rsidR="0077590F">
        <w:rPr>
          <w:rFonts w:ascii="Calibri" w:hAnsi="Calibri" w:cs="Calibri"/>
        </w:rPr>
        <w:t>that discharge to</w:t>
      </w:r>
      <w:r w:rsidRPr="00EC0326" w:rsidR="00DD498E">
        <w:rPr>
          <w:rFonts w:ascii="Calibri" w:hAnsi="Calibri" w:cs="Calibri"/>
        </w:rPr>
        <w:t xml:space="preserve"> </w:t>
      </w:r>
      <w:r w:rsidR="00472259">
        <w:t>Comprehensive Environmental Response, Compensation, and Liability Act (</w:t>
      </w:r>
      <w:r w:rsidRPr="00EC0326" w:rsidR="00DD498E">
        <w:rPr>
          <w:rFonts w:ascii="Calibri" w:hAnsi="Calibri" w:cs="Calibri"/>
        </w:rPr>
        <w:t>CERCLA</w:t>
      </w:r>
      <w:r w:rsidR="00472259">
        <w:rPr>
          <w:rFonts w:ascii="Calibri" w:hAnsi="Calibri" w:cs="Calibri"/>
        </w:rPr>
        <w:t>)</w:t>
      </w:r>
      <w:r w:rsidR="006C476A">
        <w:rPr>
          <w:rFonts w:ascii="Calibri" w:hAnsi="Calibri" w:cs="Calibri"/>
        </w:rPr>
        <w:t xml:space="preserve"> </w:t>
      </w:r>
      <w:r w:rsidR="002235DA">
        <w:rPr>
          <w:rFonts w:ascii="Calibri" w:hAnsi="Calibri" w:cs="Calibri"/>
        </w:rPr>
        <w:t xml:space="preserve">sites </w:t>
      </w:r>
      <w:r w:rsidR="00F75C36">
        <w:rPr>
          <w:rFonts w:ascii="Calibri" w:hAnsi="Calibri" w:cs="Calibri"/>
        </w:rPr>
        <w:t>would</w:t>
      </w:r>
      <w:r w:rsidR="00F8781A">
        <w:rPr>
          <w:rFonts w:ascii="Calibri" w:hAnsi="Calibri" w:cs="Calibri"/>
        </w:rPr>
        <w:t xml:space="preserve"> </w:t>
      </w:r>
      <w:r w:rsidR="002235DA">
        <w:rPr>
          <w:rFonts w:ascii="Calibri" w:hAnsi="Calibri" w:cs="Calibri"/>
        </w:rPr>
        <w:t>need to notify the EPA Regional Office</w:t>
      </w:r>
      <w:r w:rsidR="00D370BB">
        <w:rPr>
          <w:rFonts w:ascii="Calibri" w:hAnsi="Calibri" w:cs="Calibri"/>
        </w:rPr>
        <w:t xml:space="preserve"> to determine if the discharger is implementing adequate controls and/or procedures to ensure the discharge will not lead to recontamination </w:t>
      </w:r>
      <w:r w:rsidR="008C2699">
        <w:rPr>
          <w:rFonts w:ascii="Calibri" w:hAnsi="Calibri" w:cs="Calibri"/>
        </w:rPr>
        <w:t>of aquatic media at the CERCLA site</w:t>
      </w:r>
      <w:r w:rsidR="00AD1953">
        <w:t>,</w:t>
      </w:r>
    </w:p>
    <w:p w:rsidR="004B309C" w:rsidP="003C0399" w14:paraId="2F791F7D" w14:textId="33F9D4A8">
      <w:pPr>
        <w:pStyle w:val="ListParagraph"/>
        <w:numPr>
          <w:ilvl w:val="0"/>
          <w:numId w:val="34"/>
        </w:numPr>
        <w:spacing w:after="100" w:afterAutospacing="1" w:line="240" w:lineRule="auto"/>
        <w:rPr>
          <w:rFonts w:ascii="Calibri" w:hAnsi="Calibri" w:cs="Calibri"/>
        </w:rPr>
      </w:pPr>
      <w:r w:rsidRPr="00EC0326">
        <w:rPr>
          <w:rFonts w:ascii="Calibri" w:hAnsi="Calibri" w:cs="Calibri"/>
        </w:rPr>
        <w:t xml:space="preserve">All respondents who discharge into waters with EPA-approved and non-approved TMDLs </w:t>
      </w:r>
      <w:r w:rsidR="00787355">
        <w:rPr>
          <w:rFonts w:ascii="Calibri" w:hAnsi="Calibri" w:cs="Calibri"/>
        </w:rPr>
        <w:t>would</w:t>
      </w:r>
      <w:r w:rsidRPr="00EC0326">
        <w:rPr>
          <w:rFonts w:ascii="Calibri" w:hAnsi="Calibri" w:cs="Calibri"/>
        </w:rPr>
        <w:t xml:space="preserve"> be required to perform </w:t>
      </w:r>
      <w:r w:rsidR="00DC0B88">
        <w:rPr>
          <w:rFonts w:ascii="Calibri" w:hAnsi="Calibri" w:cs="Calibri"/>
        </w:rPr>
        <w:t>more frequent</w:t>
      </w:r>
      <w:r w:rsidR="00E90AAE">
        <w:rPr>
          <w:rFonts w:ascii="Calibri" w:hAnsi="Calibri" w:cs="Calibri"/>
        </w:rPr>
        <w:t xml:space="preserve"> </w:t>
      </w:r>
      <w:r w:rsidRPr="00EC0326">
        <w:rPr>
          <w:rFonts w:ascii="Calibri" w:hAnsi="Calibri" w:cs="Calibri"/>
        </w:rPr>
        <w:t>impaired waters monitoring</w:t>
      </w:r>
      <w:r w:rsidR="00EC0326">
        <w:rPr>
          <w:rFonts w:ascii="Calibri" w:hAnsi="Calibri" w:cs="Calibri"/>
        </w:rPr>
        <w:t>, and</w:t>
      </w:r>
    </w:p>
    <w:p w:rsidR="00EC0326" w:rsidRPr="002F259C" w:rsidP="003C0399" w14:paraId="4910DED9" w14:textId="3C9A9A06">
      <w:pPr>
        <w:pStyle w:val="ListParagraph"/>
        <w:numPr>
          <w:ilvl w:val="0"/>
          <w:numId w:val="34"/>
        </w:numPr>
        <w:spacing w:after="100" w:afterAutospacing="1" w:line="240" w:lineRule="auto"/>
        <w:rPr>
          <w:rFonts w:ascii="Calibri" w:hAnsi="Calibri" w:cs="Calibri"/>
        </w:rPr>
      </w:pPr>
      <w:r w:rsidRPr="002F259C">
        <w:rPr>
          <w:rFonts w:ascii="Calibri" w:hAnsi="Calibri" w:cs="Calibri"/>
        </w:rPr>
        <w:t xml:space="preserve">Permittees regulated under Sectors G, H, and J </w:t>
      </w:r>
      <w:r w:rsidR="00787355">
        <w:rPr>
          <w:rFonts w:ascii="Calibri" w:hAnsi="Calibri" w:cs="Calibri"/>
        </w:rPr>
        <w:t>would be</w:t>
      </w:r>
      <w:r w:rsidRPr="002F259C">
        <w:rPr>
          <w:rFonts w:ascii="Calibri" w:hAnsi="Calibri" w:cs="Calibri"/>
        </w:rPr>
        <w:t xml:space="preserve"> required to comply with </w:t>
      </w:r>
      <w:r w:rsidR="00B22E8E">
        <w:rPr>
          <w:rFonts w:ascii="Calibri" w:hAnsi="Calibri" w:cs="Calibri"/>
        </w:rPr>
        <w:t xml:space="preserve">updated </w:t>
      </w:r>
      <w:r w:rsidRPr="002F259C">
        <w:rPr>
          <w:rFonts w:ascii="Calibri" w:hAnsi="Calibri" w:cs="Calibri"/>
        </w:rPr>
        <w:t xml:space="preserve">CGP requirements </w:t>
      </w:r>
      <w:r w:rsidRPr="002F259C">
        <w:rPr>
          <w:rFonts w:ascii="Calibri" w:hAnsi="Calibri" w:cs="Calibri"/>
        </w:rPr>
        <w:t>located in Part 8 of the 2026 MSGP.</w:t>
      </w:r>
      <w:r w:rsidRPr="002F259C" w:rsidR="00970B36">
        <w:rPr>
          <w:rFonts w:ascii="Calibri" w:hAnsi="Calibri" w:cs="Calibri"/>
        </w:rPr>
        <w:t xml:space="preserve"> </w:t>
      </w:r>
    </w:p>
    <w:p w:rsidR="00ED57A4" w:rsidRPr="00163C69" w:rsidP="00CD2D40" w14:paraId="24D360E5" w14:textId="528A6DB6">
      <w:pPr>
        <w:pStyle w:val="Heading2"/>
      </w:pPr>
      <w:r w:rsidRPr="00163C69">
        <w:t xml:space="preserve">12b. </w:t>
      </w:r>
      <w:r w:rsidRPr="00163C69" w:rsidR="00BB7DA0">
        <w:t>Information Requested</w:t>
      </w:r>
      <w:bookmarkStart w:id="17" w:name="_Toc156593384"/>
      <w:bookmarkEnd w:id="15"/>
    </w:p>
    <w:p w:rsidR="002F152E" w:rsidRPr="002F152E" w:rsidP="002F152E" w14:paraId="6781C7E2" w14:textId="711A9BCC">
      <w:pPr>
        <w:spacing w:before="120" w:after="0"/>
        <w:rPr>
          <w:rFonts w:cstheme="minorHAnsi"/>
          <w:color w:val="000000"/>
        </w:rPr>
      </w:pPr>
      <w:r w:rsidRPr="002F152E">
        <w:rPr>
          <w:rFonts w:cstheme="minorHAnsi"/>
          <w:color w:val="000000"/>
        </w:rPr>
        <w:t>This section presents the data items, including record-keeping requirements, and required respondent activities involved in preparing and submitting those data items. Some items are changing in response to the 2026 MSGP relative to the 2021 MSGP while others are remaining the same.</w:t>
      </w:r>
    </w:p>
    <w:p w:rsidR="002F152E" w:rsidRPr="002F152E" w:rsidP="002F152E" w14:paraId="78DE1080" w14:textId="582189D8">
      <w:pPr>
        <w:spacing w:before="120" w:after="0"/>
        <w:rPr>
          <w:rFonts w:cstheme="minorHAnsi"/>
          <w:color w:val="000000"/>
        </w:rPr>
      </w:pPr>
      <w:r w:rsidRPr="002F152E">
        <w:rPr>
          <w:rFonts w:cstheme="minorHAnsi"/>
          <w:color w:val="000000"/>
        </w:rPr>
        <w:t xml:space="preserve">The principal data items </w:t>
      </w:r>
      <w:r w:rsidR="004D368D">
        <w:rPr>
          <w:rFonts w:cstheme="minorHAnsi"/>
          <w:color w:val="000000"/>
        </w:rPr>
        <w:t>that would be</w:t>
      </w:r>
      <w:r w:rsidRPr="002F152E" w:rsidR="004D368D">
        <w:rPr>
          <w:rFonts w:cstheme="minorHAnsi"/>
          <w:color w:val="000000"/>
        </w:rPr>
        <w:t xml:space="preserve"> </w:t>
      </w:r>
      <w:r w:rsidRPr="002F152E">
        <w:rPr>
          <w:rFonts w:cstheme="minorHAnsi"/>
          <w:color w:val="000000"/>
        </w:rPr>
        <w:t>revised in the proposed 2026 MSGP</w:t>
      </w:r>
      <w:r w:rsidR="00192060">
        <w:rPr>
          <w:rFonts w:cstheme="minorHAnsi"/>
          <w:color w:val="000000"/>
        </w:rPr>
        <w:t xml:space="preserve"> are</w:t>
      </w:r>
      <w:r w:rsidRPr="002F152E">
        <w:rPr>
          <w:rFonts w:cstheme="minorHAnsi"/>
          <w:color w:val="000000"/>
        </w:rPr>
        <w:t>:</w:t>
      </w:r>
    </w:p>
    <w:p w:rsidR="002F152E" w:rsidP="004366D4" w14:paraId="7A2BF1D0" w14:textId="07AC2C0A">
      <w:pPr>
        <w:pStyle w:val="ListParagraph"/>
        <w:numPr>
          <w:ilvl w:val="0"/>
          <w:numId w:val="28"/>
        </w:numPr>
        <w:spacing w:before="120" w:after="0"/>
        <w:rPr>
          <w:rFonts w:cstheme="minorHAnsi"/>
          <w:color w:val="000000"/>
        </w:rPr>
      </w:pPr>
      <w:r w:rsidRPr="004366D4">
        <w:rPr>
          <w:rFonts w:cstheme="minorHAnsi"/>
          <w:color w:val="000000"/>
        </w:rPr>
        <w:t xml:space="preserve">NOI forms; </w:t>
      </w:r>
    </w:p>
    <w:p w:rsidR="00F94E1C" w:rsidRPr="004366D4" w:rsidP="004366D4" w14:paraId="4E36CC03" w14:textId="46EC59FA">
      <w:pPr>
        <w:pStyle w:val="ListParagraph"/>
        <w:numPr>
          <w:ilvl w:val="0"/>
          <w:numId w:val="28"/>
        </w:numPr>
        <w:spacing w:before="120" w:after="0"/>
        <w:rPr>
          <w:rFonts w:cstheme="minorHAnsi"/>
          <w:color w:val="000000"/>
        </w:rPr>
      </w:pPr>
      <w:r>
        <w:rPr>
          <w:rFonts w:cstheme="minorHAnsi"/>
          <w:color w:val="000000"/>
        </w:rPr>
        <w:t>SWPPPs;</w:t>
      </w:r>
    </w:p>
    <w:p w:rsidR="002F152E" w:rsidRPr="004366D4" w:rsidP="004366D4" w14:paraId="02E8A763" w14:textId="49523746">
      <w:pPr>
        <w:pStyle w:val="ListParagraph"/>
        <w:numPr>
          <w:ilvl w:val="0"/>
          <w:numId w:val="28"/>
        </w:numPr>
        <w:spacing w:before="120" w:after="0"/>
        <w:rPr>
          <w:rFonts w:cstheme="minorHAnsi"/>
          <w:color w:val="000000"/>
        </w:rPr>
      </w:pPr>
      <w:r w:rsidRPr="004366D4">
        <w:rPr>
          <w:rFonts w:cstheme="minorHAnsi"/>
          <w:color w:val="000000"/>
        </w:rPr>
        <w:t xml:space="preserve">DMRs; </w:t>
      </w:r>
    </w:p>
    <w:p w:rsidR="002F152E" w:rsidRPr="004366D4" w:rsidP="004366D4" w14:paraId="326A26F4" w14:textId="64C89164">
      <w:pPr>
        <w:pStyle w:val="ListParagraph"/>
        <w:numPr>
          <w:ilvl w:val="0"/>
          <w:numId w:val="28"/>
        </w:numPr>
        <w:spacing w:before="120" w:after="0"/>
        <w:rPr>
          <w:rFonts w:cstheme="minorHAnsi"/>
          <w:color w:val="000000"/>
        </w:rPr>
      </w:pPr>
      <w:r>
        <w:rPr>
          <w:rFonts w:cstheme="minorHAnsi"/>
          <w:color w:val="000000"/>
        </w:rPr>
        <w:t>Corrective Action/</w:t>
      </w:r>
      <w:r w:rsidR="00E2396C">
        <w:rPr>
          <w:rFonts w:cstheme="minorHAnsi"/>
          <w:color w:val="000000"/>
        </w:rPr>
        <w:t xml:space="preserve"> </w:t>
      </w:r>
      <w:r w:rsidRPr="004366D4">
        <w:rPr>
          <w:rFonts w:cstheme="minorHAnsi"/>
          <w:color w:val="000000"/>
        </w:rPr>
        <w:t>AIM Documentation;</w:t>
      </w:r>
    </w:p>
    <w:p w:rsidR="00D452AD" w:rsidP="004366D4" w14:paraId="0FEAA29B" w14:textId="77777777">
      <w:pPr>
        <w:pStyle w:val="ListParagraph"/>
        <w:numPr>
          <w:ilvl w:val="0"/>
          <w:numId w:val="28"/>
        </w:numPr>
        <w:spacing w:before="120" w:after="0"/>
        <w:rPr>
          <w:rFonts w:cstheme="minorHAnsi"/>
          <w:color w:val="000000"/>
        </w:rPr>
      </w:pPr>
      <w:r w:rsidRPr="004366D4">
        <w:rPr>
          <w:rFonts w:cstheme="minorHAnsi"/>
          <w:color w:val="000000"/>
        </w:rPr>
        <w:t xml:space="preserve">Annual </w:t>
      </w:r>
      <w:r w:rsidRPr="004366D4">
        <w:rPr>
          <w:rFonts w:cstheme="minorHAnsi"/>
          <w:color w:val="000000"/>
        </w:rPr>
        <w:t xml:space="preserve">Reports; </w:t>
      </w:r>
    </w:p>
    <w:p w:rsidR="002F152E" w:rsidRPr="005726F0" w:rsidP="005726F0" w14:paraId="2D653C01" w14:textId="5384FD6D">
      <w:pPr>
        <w:pStyle w:val="ListParagraph"/>
        <w:numPr>
          <w:ilvl w:val="0"/>
          <w:numId w:val="28"/>
        </w:numPr>
        <w:rPr>
          <w:b/>
        </w:rPr>
      </w:pPr>
      <w:r>
        <w:t xml:space="preserve">Inspection Reports and DMRs Related to </w:t>
      </w:r>
      <w:r w:rsidRPr="005726F0" w:rsidR="00D452AD">
        <w:t xml:space="preserve">Construction General Permit Requirements for Mining Sectors; </w:t>
      </w:r>
      <w:r w:rsidRPr="005726F0">
        <w:rPr>
          <w:rFonts w:cstheme="minorHAnsi"/>
          <w:color w:val="000000"/>
        </w:rPr>
        <w:t xml:space="preserve">and </w:t>
      </w:r>
    </w:p>
    <w:p w:rsidR="002F152E" w:rsidP="004366D4" w14:paraId="1FBBC948" w14:textId="37A61B2B">
      <w:pPr>
        <w:pStyle w:val="ListParagraph"/>
        <w:numPr>
          <w:ilvl w:val="0"/>
          <w:numId w:val="28"/>
        </w:numPr>
        <w:spacing w:before="120" w:after="0"/>
        <w:rPr>
          <w:rFonts w:cstheme="minorHAnsi"/>
          <w:color w:val="000000"/>
        </w:rPr>
      </w:pPr>
      <w:r w:rsidRPr="004366D4">
        <w:rPr>
          <w:rFonts w:cstheme="minorHAnsi"/>
          <w:color w:val="000000"/>
        </w:rPr>
        <w:t>Other Information.</w:t>
      </w:r>
    </w:p>
    <w:p w:rsidR="00F6071A" w:rsidP="00F6071A" w14:paraId="53F73DB3" w14:textId="15BE8307">
      <w:pPr>
        <w:spacing w:before="120" w:after="0"/>
        <w:rPr>
          <w:rFonts w:cstheme="minorHAnsi"/>
          <w:color w:val="000000"/>
        </w:rPr>
      </w:pPr>
      <w:r w:rsidRPr="002F152E">
        <w:rPr>
          <w:rFonts w:cstheme="minorHAnsi"/>
          <w:color w:val="000000"/>
        </w:rPr>
        <w:t>For each item that is being revised, the below describes the changes and whether or not additional burden is anticipated</w:t>
      </w:r>
      <w:r>
        <w:rPr>
          <w:rFonts w:cstheme="minorHAnsi"/>
          <w:color w:val="000000"/>
        </w:rPr>
        <w:t>.</w:t>
      </w:r>
    </w:p>
    <w:p w:rsidR="00F6071A" w:rsidP="00F6071A" w14:paraId="4F06D5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p>
    <w:p w:rsidR="00F6071A" w:rsidRPr="004366D4" w:rsidP="00F6071A" w14:paraId="544777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1E010D">
        <w:rPr>
          <w:b/>
        </w:rPr>
        <w:t xml:space="preserve">NOI forms </w:t>
      </w:r>
    </w:p>
    <w:p w:rsidR="00F6071A" w:rsidP="00F6071A" w14:paraId="54B95E2D" w14:textId="0DA15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t xml:space="preserve">Like the 2021 MSGP, EPA’s 2026 MSGP requires respondents to submit an electronic NOI to obtain coverage under the permit. The NOI requests basic </w:t>
      </w:r>
      <w:r w:rsidRPr="00C860E0">
        <w:t xml:space="preserve">respondent </w:t>
      </w:r>
      <w:r>
        <w:t xml:space="preserve">and facility information, as well as discharge location(s), receiving water information, whether the facility discharges to a federal CERCLA site listed in Appendix </w:t>
      </w:r>
      <w:r w:rsidR="00991BE7">
        <w:t>L</w:t>
      </w:r>
      <w:r>
        <w:t xml:space="preserve"> of the permit (applies only to EPA Regions 1 and 10 respondents), information </w:t>
      </w:r>
      <w:r>
        <w:t xml:space="preserve">from the SWPPP, a summary of endangered species eligibility information, historic preservation eligibility information, and other information. </w:t>
      </w:r>
    </w:p>
    <w:p w:rsidR="00F94E1C" w:rsidP="00F6071A" w14:paraId="36F3BE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F94E1C" w:rsidP="00F6071A" w14:paraId="42DED950" w14:textId="663D0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bCs/>
        </w:rPr>
      </w:pPr>
      <w:r>
        <w:rPr>
          <w:b/>
          <w:bCs/>
        </w:rPr>
        <w:t>SWPPPs</w:t>
      </w:r>
    </w:p>
    <w:p w:rsidR="00F50EEA" w:rsidRPr="00F923AF" w:rsidP="00F50EEA" w14:paraId="32FCA689" w14:textId="1AF43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F923AF">
        <w:t>EPA’s 2026 MSGP requires all respondents to develop and maintain an updated SWPPP</w:t>
      </w:r>
      <w:r w:rsidR="00163935">
        <w:t>, which is a requirement that remains unchained from the 2021 MSGP.</w:t>
      </w:r>
      <w:r w:rsidR="00BB57D1">
        <w:t xml:space="preserve"> The population of permittees subject to certain requirements</w:t>
      </w:r>
      <w:r w:rsidR="00360910">
        <w:t xml:space="preserve">, and the collection schedule of certain information, has been updated </w:t>
      </w:r>
      <w:r w:rsidR="00C61EFD">
        <w:t>for</w:t>
      </w:r>
      <w:r w:rsidR="00360910">
        <w:t xml:space="preserve"> the 2026 MSGP. These changes impact the following</w:t>
      </w:r>
      <w:r w:rsidRPr="00F923AF">
        <w:t xml:space="preserve"> </w:t>
      </w:r>
      <w:r w:rsidR="008460C5">
        <w:t xml:space="preserve">SWPPP </w:t>
      </w:r>
      <w:r w:rsidR="00DF5E8A">
        <w:t>elements</w:t>
      </w:r>
      <w:r w:rsidRPr="00F923AF">
        <w:t>:</w:t>
      </w:r>
    </w:p>
    <w:p w:rsidR="00F50EEA" w:rsidRPr="00F923AF" w:rsidP="00F50EEA" w14:paraId="209F98F7" w14:textId="1CB879C9">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F923AF">
        <w:t>Description of control measures</w:t>
      </w:r>
      <w:r w:rsidR="00777710">
        <w:t xml:space="preserve">: </w:t>
      </w:r>
      <w:r w:rsidR="007D5DA4">
        <w:t>new benchmark monitoring</w:t>
      </w:r>
      <w:r w:rsidR="000C08B3">
        <w:t xml:space="preserve"> sectors </w:t>
      </w:r>
      <w:r w:rsidR="008460C5">
        <w:t xml:space="preserve">and </w:t>
      </w:r>
      <w:r w:rsidR="00900FD9">
        <w:t>operators discharging to impaired waters</w:t>
      </w:r>
      <w:r w:rsidR="008460C5">
        <w:t xml:space="preserve"> </w:t>
      </w:r>
      <w:r w:rsidR="000C08B3">
        <w:t>(describe</w:t>
      </w:r>
      <w:r w:rsidR="00504D05">
        <w:t>d</w:t>
      </w:r>
      <w:r w:rsidR="000C08B3">
        <w:t xml:space="preserve"> in 12.a</w:t>
      </w:r>
      <w:r w:rsidR="00504D05">
        <w:t xml:space="preserve">) </w:t>
      </w:r>
      <w:r w:rsidRPr="00DF5E8A" w:rsidR="00DF5E8A">
        <w:t>must</w:t>
      </w:r>
      <w:r w:rsidRPr="00F923AF">
        <w:t xml:space="preserve"> </w:t>
      </w:r>
      <w:r w:rsidR="008460C5">
        <w:t xml:space="preserve">now </w:t>
      </w:r>
      <w:r w:rsidRPr="00F923AF">
        <w:t>comply with this requirement</w:t>
      </w:r>
      <w:r w:rsidR="00DF1E69">
        <w:t>;</w:t>
      </w:r>
    </w:p>
    <w:p w:rsidR="00F50EEA" w:rsidRPr="00F923AF" w:rsidP="00F50EEA" w14:paraId="25BC126D" w14:textId="510707EA">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F923AF">
        <w:t>Schedules and procedures</w:t>
      </w:r>
      <w:r w:rsidR="000A29E9">
        <w:t xml:space="preserve">: </w:t>
      </w:r>
      <w:r w:rsidR="00E12A0C">
        <w:t>respondents will need to update their SWPPP with</w:t>
      </w:r>
      <w:r w:rsidR="000A29E9">
        <w:t xml:space="preserve"> new and additional monitoring requirements</w:t>
      </w:r>
      <w:r w:rsidR="00777710">
        <w:t xml:space="preserve"> </w:t>
      </w:r>
      <w:r w:rsidR="00E12A0C">
        <w:t>(</w:t>
      </w:r>
      <w:r w:rsidR="00777710">
        <w:t>des</w:t>
      </w:r>
      <w:r w:rsidR="00E12A0C">
        <w:t>cribed in 12.c)</w:t>
      </w:r>
      <w:r w:rsidR="00DF1E69">
        <w:t>;</w:t>
      </w:r>
      <w:r w:rsidR="00E24E92">
        <w:t xml:space="preserve"> and</w:t>
      </w:r>
    </w:p>
    <w:p w:rsidR="00F94E1C" w:rsidRPr="00B403DA" w:rsidP="00F923AF" w14:paraId="47EA5E1B" w14:textId="1E782BC7">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F923AF">
        <w:t xml:space="preserve">Corrective action and AIM </w:t>
      </w:r>
      <w:r w:rsidRPr="00F923AF">
        <w:t>related documentation</w:t>
      </w:r>
      <w:r w:rsidR="008460C5">
        <w:t>:</w:t>
      </w:r>
      <w:r w:rsidRPr="00F923AF">
        <w:t xml:space="preserve"> new AIM reporting requirements for some respondents</w:t>
      </w:r>
      <w:r w:rsidR="00B403DA">
        <w:t xml:space="preserve"> (described in 12.c)</w:t>
      </w:r>
      <w:r w:rsidR="00E24E92">
        <w:t>,</w:t>
      </w:r>
    </w:p>
    <w:p w:rsidR="00F6071A" w:rsidRPr="001E010D" w:rsidP="00F6071A" w14:paraId="665ED8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F6071A" w:rsidP="00F6071A" w14:paraId="5FB53A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sidRPr="001E010D">
        <w:rPr>
          <w:b/>
        </w:rPr>
        <w:t>DMRs</w:t>
      </w:r>
      <w:r>
        <w:rPr>
          <w:b/>
        </w:rPr>
        <w:t xml:space="preserve"> </w:t>
      </w:r>
    </w:p>
    <w:p w:rsidR="00F6071A" w:rsidRPr="004F7D2F" w:rsidP="00F6071A" w14:paraId="46A2FB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rFonts w:ascii="Calibri" w:hAnsi="Calibri" w:cs="Calibri"/>
        </w:rPr>
      </w:pPr>
      <w:r>
        <w:t>A</w:t>
      </w:r>
      <w:r w:rsidRPr="001E010D">
        <w:t xml:space="preserve"> DMR is used to report the results of applicable monitoring under the permit, including benchmark monitoring,</w:t>
      </w:r>
      <w:r>
        <w:t xml:space="preserve"> indicator monitoring,</w:t>
      </w:r>
      <w:r w:rsidRPr="001E010D">
        <w:t xml:space="preserve"> impaired waters monitoring, and effluent limit</w:t>
      </w:r>
      <w:r>
        <w:t>ations</w:t>
      </w:r>
      <w:r w:rsidRPr="001E010D">
        <w:t xml:space="preserve"> monitoring. </w:t>
      </w:r>
      <w:r>
        <w:t>It also is used to indicate any applicable exceptions for benchmark exceedances.</w:t>
      </w:r>
    </w:p>
    <w:p w:rsidR="00F6071A" w:rsidP="00F6071A" w14:paraId="75984A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rFonts w:ascii="Calibri" w:hAnsi="Calibri" w:cs="Calibri"/>
        </w:rPr>
      </w:pPr>
    </w:p>
    <w:p w:rsidR="00F6071A" w:rsidP="00F6071A" w14:paraId="6E7F3A9D" w14:textId="64F3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4F7D2F">
        <w:rPr>
          <w:rFonts w:ascii="Calibri" w:hAnsi="Calibri" w:cs="Calibri"/>
        </w:rPr>
        <w:t xml:space="preserve">The </w:t>
      </w:r>
      <w:r>
        <w:rPr>
          <w:rFonts w:ascii="Calibri" w:hAnsi="Calibri" w:cs="Calibri"/>
        </w:rPr>
        <w:t>2026</w:t>
      </w:r>
      <w:r w:rsidRPr="004F7D2F">
        <w:rPr>
          <w:rFonts w:ascii="Calibri" w:hAnsi="Calibri" w:cs="Calibri"/>
        </w:rPr>
        <w:t xml:space="preserve"> MSGP requires </w:t>
      </w:r>
      <w:r>
        <w:rPr>
          <w:rFonts w:ascii="Calibri" w:hAnsi="Calibri" w:cs="Calibri"/>
        </w:rPr>
        <w:t>respondents</w:t>
      </w:r>
      <w:r w:rsidRPr="004F7D2F">
        <w:rPr>
          <w:rFonts w:ascii="Calibri" w:hAnsi="Calibri" w:cs="Calibri"/>
        </w:rPr>
        <w:t xml:space="preserve"> to submit all monitoring data using EPA’s electronic DMR system (NetDMR), unless granted a waiver.</w:t>
      </w:r>
      <w:r>
        <w:rPr>
          <w:rFonts w:ascii="Calibri" w:hAnsi="Calibri" w:cs="Calibri"/>
        </w:rPr>
        <w:t xml:space="preserve"> EPA made no change to the requirement to submit monitoring data to the DMR system</w:t>
      </w:r>
      <w:r w:rsidR="00121EB1">
        <w:rPr>
          <w:rFonts w:ascii="Calibri" w:hAnsi="Calibri" w:cs="Calibri"/>
        </w:rPr>
        <w:t>.</w:t>
      </w:r>
      <w:r>
        <w:rPr>
          <w:rFonts w:ascii="Calibri" w:hAnsi="Calibri" w:cs="Calibri"/>
        </w:rPr>
        <w:t xml:space="preserve"> </w:t>
      </w:r>
      <w:r w:rsidR="00121EB1">
        <w:rPr>
          <w:rFonts w:ascii="Calibri" w:hAnsi="Calibri" w:cs="Calibri"/>
        </w:rPr>
        <w:t>H</w:t>
      </w:r>
      <w:r>
        <w:rPr>
          <w:rFonts w:ascii="Calibri" w:hAnsi="Calibri" w:cs="Calibri"/>
        </w:rPr>
        <w:t xml:space="preserve">owever, there is a change to the frequency at which respondents are required to do so. Refer to </w:t>
      </w:r>
      <w:r w:rsidR="00FA33E6">
        <w:rPr>
          <w:rFonts w:ascii="Calibri" w:hAnsi="Calibri" w:cs="Calibri"/>
        </w:rPr>
        <w:t>Sections 12.c and 12.d</w:t>
      </w:r>
      <w:r>
        <w:rPr>
          <w:rFonts w:ascii="Calibri" w:hAnsi="Calibri" w:cs="Calibri"/>
        </w:rPr>
        <w:t xml:space="preserve"> for more details.</w:t>
      </w:r>
    </w:p>
    <w:p w:rsidR="00F6071A" w:rsidRPr="001E010D" w:rsidP="00F6071A" w14:paraId="21F895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F6071A" w:rsidRPr="004366D4" w:rsidP="00F6071A" w14:paraId="587A9226" w14:textId="24866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Pr>
          <w:b/>
        </w:rPr>
        <w:t>Corrective Action/A</w:t>
      </w:r>
      <w:r w:rsidR="00072F2C">
        <w:rPr>
          <w:b/>
        </w:rPr>
        <w:t xml:space="preserve">dditional </w:t>
      </w:r>
      <w:r>
        <w:rPr>
          <w:b/>
        </w:rPr>
        <w:t>I</w:t>
      </w:r>
      <w:r w:rsidR="00072F2C">
        <w:rPr>
          <w:b/>
        </w:rPr>
        <w:t xml:space="preserve">mplementation </w:t>
      </w:r>
      <w:r>
        <w:rPr>
          <w:b/>
        </w:rPr>
        <w:t>M</w:t>
      </w:r>
      <w:r w:rsidR="00072F2C">
        <w:rPr>
          <w:b/>
        </w:rPr>
        <w:t>easures</w:t>
      </w:r>
      <w:r>
        <w:rPr>
          <w:b/>
        </w:rPr>
        <w:t xml:space="preserve"> </w:t>
      </w:r>
      <w:r w:rsidR="00072F2C">
        <w:rPr>
          <w:b/>
        </w:rPr>
        <w:t xml:space="preserve">(AIM) </w:t>
      </w:r>
      <w:r w:rsidRPr="001E010D">
        <w:rPr>
          <w:b/>
        </w:rPr>
        <w:t>Documentation</w:t>
      </w:r>
      <w:r>
        <w:rPr>
          <w:b/>
        </w:rPr>
        <w:t xml:space="preserve"> </w:t>
      </w:r>
    </w:p>
    <w:p w:rsidR="00F6071A" w:rsidP="00C0756F" w14:paraId="702E281C" w14:textId="27437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t xml:space="preserve">The </w:t>
      </w:r>
      <w:r w:rsidR="0015563A">
        <w:t>202</w:t>
      </w:r>
      <w:r w:rsidR="008D6650">
        <w:t>6</w:t>
      </w:r>
      <w:r>
        <w:t xml:space="preserve"> MSGP </w:t>
      </w:r>
      <w:r w:rsidR="008D6650">
        <w:t xml:space="preserve">requires respondents to </w:t>
      </w:r>
      <w:r>
        <w:t xml:space="preserve">document AIM corrective action items in the SWPPP and summarize in their Annual Report </w:t>
      </w:r>
      <w:r w:rsidRPr="001E010D">
        <w:t>the condition triggering the corrective action</w:t>
      </w:r>
      <w:r>
        <w:t>/AIM response</w:t>
      </w:r>
      <w:r w:rsidRPr="001E010D">
        <w:t>, the date of the condition</w:t>
      </w:r>
      <w:r>
        <w:t>/AIM response</w:t>
      </w:r>
      <w:r w:rsidRPr="001E010D">
        <w:t>, and actions taken</w:t>
      </w:r>
      <w:r>
        <w:t>.</w:t>
      </w:r>
      <w:r w:rsidR="0015563A">
        <w:t xml:space="preserve"> These documentation requirements are unchanged from the 2021 MSGP. </w:t>
      </w:r>
      <w:r w:rsidR="00C0756F">
        <w:t>However, the 2026 MSGP n</w:t>
      </w:r>
      <w:r w:rsidR="008D6650">
        <w:t>ow</w:t>
      </w:r>
      <w:r w:rsidR="00C0756F">
        <w:t xml:space="preserve"> requires reporting of these corrective actions, described in 12.c. </w:t>
      </w:r>
    </w:p>
    <w:p w:rsidR="00F6071A" w:rsidP="00F6071A" w14:paraId="35C5B2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3F239B" w:rsidP="007458B7" w14:paraId="2FEF08E0" w14:textId="5DABC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t xml:space="preserve">The 2026 MSGP also includes a requirement to apply for Natural Background Exceptions, supported by analytical results. The 2021 MSGP </w:t>
      </w:r>
      <w:r w:rsidR="007E1C48">
        <w:t xml:space="preserve">previously </w:t>
      </w:r>
      <w:r>
        <w:t xml:space="preserve">required submittal of </w:t>
      </w:r>
      <w:r w:rsidR="004F46C3">
        <w:t xml:space="preserve">Natural Background Exceptions </w:t>
      </w:r>
      <w:r>
        <w:t xml:space="preserve">and documenting supporting rationale in respondent’s SWPPP. This change gives the respondent additional clarification on what and where to submit </w:t>
      </w:r>
      <w:r w:rsidR="004F46C3">
        <w:t>Natural Background Exceptions</w:t>
      </w:r>
      <w:r w:rsidR="007E1C48">
        <w:t>. R</w:t>
      </w:r>
      <w:r>
        <w:t xml:space="preserve">espondents are </w:t>
      </w:r>
      <w:r w:rsidR="007E1C48">
        <w:t xml:space="preserve">likely </w:t>
      </w:r>
      <w:r>
        <w:t xml:space="preserve">already doing this. </w:t>
      </w:r>
      <w:r w:rsidR="007E1C48">
        <w:t xml:space="preserve">The EPA expects there to be a negligible change in the reporting burden for this item, so </w:t>
      </w:r>
      <w:r w:rsidR="00004213">
        <w:t xml:space="preserve">the burden </w:t>
      </w:r>
      <w:r w:rsidR="007E1C48">
        <w:t xml:space="preserve">was not estimated </w:t>
      </w:r>
      <w:r w:rsidR="00004213">
        <w:t xml:space="preserve">in section 12.d, </w:t>
      </w:r>
      <w:r w:rsidR="007E1C48">
        <w:t>below.</w:t>
      </w:r>
    </w:p>
    <w:p w:rsidR="00E36FE2" w:rsidP="007458B7" w14:paraId="17BD08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E36FE2" w:rsidP="007458B7" w14:paraId="389129C5" w14:textId="03479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t xml:space="preserve">The </w:t>
      </w:r>
      <w:r w:rsidR="001848EA">
        <w:t xml:space="preserve">proposed </w:t>
      </w:r>
      <w:r>
        <w:t>2026 MSGP also would require r</w:t>
      </w:r>
      <w:r w:rsidRPr="00E36FE2">
        <w:t>espondents to submit AIM response extension requests and exceptions through NeT-MSGP</w:t>
      </w:r>
      <w:r w:rsidR="001848EA">
        <w:t>.</w:t>
      </w:r>
      <w:r w:rsidRPr="00E36FE2">
        <w:t xml:space="preserve"> This change could possibly decrease </w:t>
      </w:r>
      <w:r w:rsidRPr="00E36FE2" w:rsidR="001848EA">
        <w:t>the burden</w:t>
      </w:r>
      <w:r w:rsidRPr="00E36FE2">
        <w:t xml:space="preserve"> for </w:t>
      </w:r>
      <w:r w:rsidR="001848EA">
        <w:t xml:space="preserve">respondents </w:t>
      </w:r>
      <w:r w:rsidRPr="00E36FE2">
        <w:t xml:space="preserve">because in the 2021 MSGP respondents </w:t>
      </w:r>
      <w:r w:rsidR="001848EA">
        <w:t>have</w:t>
      </w:r>
      <w:r w:rsidRPr="00E36FE2">
        <w:t xml:space="preserve"> to email the agency for an extensions and exceptions. This new change streamlines the extension and exception request process for benchmark monitoring. The decrease in burden is minor, so the </w:t>
      </w:r>
      <w:r w:rsidR="001848EA">
        <w:t>respondent</w:t>
      </w:r>
      <w:r w:rsidRPr="00E36FE2">
        <w:t xml:space="preserve"> burden change is negligible.  </w:t>
      </w:r>
    </w:p>
    <w:p w:rsidR="00DC3B73" w:rsidRPr="001E010D" w:rsidP="00F6071A" w14:paraId="556B23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F6071A" w:rsidRPr="004366D4" w:rsidP="00F6071A" w14:paraId="3341D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1E010D">
        <w:rPr>
          <w:b/>
        </w:rPr>
        <w:t>Annual Reports</w:t>
      </w:r>
      <w:r>
        <w:rPr>
          <w:b/>
        </w:rPr>
        <w:t xml:space="preserve"> </w:t>
      </w:r>
    </w:p>
    <w:p w:rsidR="00F6071A" w:rsidP="00F6071A" w14:paraId="00908D4A" w14:textId="5798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870D0B">
        <w:t xml:space="preserve">Each </w:t>
      </w:r>
      <w:r>
        <w:t xml:space="preserve">respondent </w:t>
      </w:r>
      <w:r w:rsidRPr="00870D0B">
        <w:t xml:space="preserve">must submit an Annual Report electronically using the NPDES eReporting Tool (NeT-MSGP) to EPA by January 30th for each year of permit coverage, unless a waiver to use a paper form has </w:t>
      </w:r>
      <w:r w:rsidRPr="00870D0B">
        <w:t>been granted</w:t>
      </w:r>
      <w:r>
        <w:t xml:space="preserve">. </w:t>
      </w:r>
      <w:r w:rsidRPr="001E010D">
        <w:t xml:space="preserve">The Annual Report </w:t>
      </w:r>
      <w:r>
        <w:t xml:space="preserve">must include </w:t>
      </w:r>
      <w:r w:rsidRPr="001E010D">
        <w:t xml:space="preserve">a summary of routine facility inspection documentation, a summary of quarterly visual assessment documentation, and information about corrective actions and/or </w:t>
      </w:r>
      <w:r>
        <w:t>AIM responses</w:t>
      </w:r>
      <w:r w:rsidRPr="001E010D">
        <w:t xml:space="preserve">. </w:t>
      </w:r>
      <w:r>
        <w:t xml:space="preserve">There are additional sectors </w:t>
      </w:r>
      <w:r w:rsidR="00925602">
        <w:t>that would be</w:t>
      </w:r>
      <w:r>
        <w:t xml:space="preserve"> added to benchmark monitoring (see </w:t>
      </w:r>
      <w:r w:rsidR="007D018B">
        <w:t>12.a</w:t>
      </w:r>
      <w:r>
        <w:t xml:space="preserve">) </w:t>
      </w:r>
      <w:r w:rsidR="004D27EF">
        <w:t>with the proposed 2026 MSGP</w:t>
      </w:r>
      <w:r w:rsidR="00A50B85">
        <w:t>,</w:t>
      </w:r>
      <w:r w:rsidR="004D27EF">
        <w:t xml:space="preserve"> </w:t>
      </w:r>
      <w:r>
        <w:t>which provide the opportunity to trigger AIM. Additional corrective action reporting for these sectors will be required in the Annual Report if AIM is triggered. EPA expects there to be a minor change to the burden associated with the Annual Report</w:t>
      </w:r>
      <w:r w:rsidR="00DD655B">
        <w:t xml:space="preserve"> due to </w:t>
      </w:r>
      <w:r w:rsidR="001D3C54">
        <w:t>those</w:t>
      </w:r>
      <w:r w:rsidR="00A91F36">
        <w:t xml:space="preserve"> </w:t>
      </w:r>
      <w:r w:rsidR="001D3C54">
        <w:t>new</w:t>
      </w:r>
      <w:r w:rsidR="00A91F36">
        <w:t xml:space="preserve"> respondents performing benchmark monitoring</w:t>
      </w:r>
      <w:r w:rsidR="00886D68">
        <w:t>. The</w:t>
      </w:r>
      <w:r w:rsidR="007367F2">
        <w:t xml:space="preserve"> </w:t>
      </w:r>
      <w:r w:rsidR="00825BF9">
        <w:t xml:space="preserve">estimated time required to fill out an Annual Report will not change, and </w:t>
      </w:r>
      <w:r w:rsidR="001D3C54">
        <w:t xml:space="preserve">all </w:t>
      </w:r>
      <w:r w:rsidR="00886D68">
        <w:t xml:space="preserve">2026 MSGP </w:t>
      </w:r>
      <w:r w:rsidR="001D3C54">
        <w:t xml:space="preserve">respondents </w:t>
      </w:r>
      <w:r w:rsidR="00E07B60">
        <w:t xml:space="preserve">would be required to </w:t>
      </w:r>
      <w:r w:rsidR="001D3C54">
        <w:t xml:space="preserve">submit an Annual </w:t>
      </w:r>
      <w:r w:rsidR="00DB3FD3">
        <w:t>R</w:t>
      </w:r>
      <w:r w:rsidR="001D3C54">
        <w:t>eport</w:t>
      </w:r>
      <w:r w:rsidR="0094071A">
        <w:t>,</w:t>
      </w:r>
      <w:r w:rsidR="00886D68">
        <w:t xml:space="preserve"> which is unchanged</w:t>
      </w:r>
      <w:r w:rsidR="00E07B60">
        <w:t xml:space="preserve"> from the requirement under the 2021 MSGP</w:t>
      </w:r>
      <w:r w:rsidR="001D3C54">
        <w:t>. Therefore, the EPA expects there to be a negligible change in the reporting burden for this item, so it was not estimated below.</w:t>
      </w:r>
      <w:r w:rsidR="00825BF9">
        <w:t xml:space="preserve"> </w:t>
      </w:r>
      <w:r w:rsidR="00DD655B">
        <w:t xml:space="preserve"> </w:t>
      </w:r>
    </w:p>
    <w:p w:rsidR="00DC3F7B" w:rsidP="00F6071A" w14:paraId="1C8B52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DC3F7B" w:rsidRPr="00440E2A" w:rsidP="00DC3F7B" w14:paraId="7AEA0C28" w14:textId="77777777">
      <w:pPr>
        <w:rPr>
          <w:b/>
        </w:rPr>
      </w:pPr>
      <w:r>
        <w:rPr>
          <w:b/>
          <w:bCs/>
        </w:rPr>
        <w:t xml:space="preserve">Construction General Permit Requirements for </w:t>
      </w:r>
      <w:r>
        <w:rPr>
          <w:b/>
          <w:bCs/>
        </w:rPr>
        <w:t>Mining Sectors</w:t>
      </w:r>
    </w:p>
    <w:p w:rsidR="00DC3F7B" w:rsidP="00E2329D" w14:paraId="7FE14A65" w14:textId="178A487E">
      <w:pPr>
        <w:pStyle w:val="ListParagraph"/>
        <w:numPr>
          <w:ilvl w:val="0"/>
          <w:numId w:val="45"/>
        </w:numPr>
        <w:spacing w:line="240" w:lineRule="auto"/>
        <w:rPr>
          <w:bCs/>
        </w:rPr>
      </w:pPr>
      <w:r w:rsidRPr="00440E2A">
        <w:rPr>
          <w:b/>
        </w:rPr>
        <w:t>Dewatering Inspection Reports and Corrective Action Documentation</w:t>
      </w:r>
      <w:r w:rsidRPr="00440E2A">
        <w:rPr>
          <w:b/>
        </w:rPr>
        <w:cr/>
      </w:r>
      <w:r w:rsidRPr="00081DDC">
        <w:rPr>
          <w:bCs/>
        </w:rPr>
        <w:t xml:space="preserve">The 2026 MSGP </w:t>
      </w:r>
      <w:r w:rsidR="002F7C1A">
        <w:rPr>
          <w:bCs/>
        </w:rPr>
        <w:t xml:space="preserve">would </w:t>
      </w:r>
      <w:r w:rsidRPr="00081DDC">
        <w:rPr>
          <w:bCs/>
        </w:rPr>
        <w:t xml:space="preserve">include new dewatering inspection requirements for </w:t>
      </w:r>
      <w:r w:rsidR="00324591">
        <w:rPr>
          <w:bCs/>
        </w:rPr>
        <w:t>all mining</w:t>
      </w:r>
      <w:r w:rsidRPr="00081DDC" w:rsidR="00324591">
        <w:rPr>
          <w:bCs/>
        </w:rPr>
        <w:t xml:space="preserve"> </w:t>
      </w:r>
      <w:r w:rsidRPr="00081DDC">
        <w:rPr>
          <w:bCs/>
        </w:rPr>
        <w:t>sectors</w:t>
      </w:r>
      <w:r w:rsidR="00C018DA">
        <w:rPr>
          <w:bCs/>
        </w:rPr>
        <w:t xml:space="preserve"> (Sectors </w:t>
      </w:r>
      <w:r w:rsidR="00E16417">
        <w:rPr>
          <w:bCs/>
        </w:rPr>
        <w:t>G, H,</w:t>
      </w:r>
      <w:r w:rsidR="00523C1E">
        <w:rPr>
          <w:bCs/>
        </w:rPr>
        <w:t xml:space="preserve"> and </w:t>
      </w:r>
      <w:r w:rsidR="00E16417">
        <w:rPr>
          <w:bCs/>
        </w:rPr>
        <w:t>J;</w:t>
      </w:r>
      <w:r w:rsidRPr="00081DDC">
        <w:rPr>
          <w:bCs/>
        </w:rPr>
        <w:t xml:space="preserve"> refer to Section 12.a</w:t>
      </w:r>
      <w:r w:rsidR="00E16417">
        <w:rPr>
          <w:bCs/>
        </w:rPr>
        <w:t xml:space="preserve"> of this ICR for </w:t>
      </w:r>
      <w:r w:rsidR="009941D9">
        <w:rPr>
          <w:bCs/>
        </w:rPr>
        <w:t xml:space="preserve">sector </w:t>
      </w:r>
      <w:r w:rsidR="00E16417">
        <w:rPr>
          <w:bCs/>
        </w:rPr>
        <w:t>descriptions</w:t>
      </w:r>
      <w:r w:rsidRPr="00081DDC">
        <w:rPr>
          <w:bCs/>
        </w:rPr>
        <w:t xml:space="preserve">). In addition to site inspections, operators conducting dewatering activities must perform a daily inspection of all areas where construction dewatering water is being discharged, including stormwater controls to treat the dewatering discharge. </w:t>
      </w:r>
    </w:p>
    <w:p w:rsidR="00DC3F7B" w:rsidP="00DC3F7B" w14:paraId="00F00C3E"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bCs/>
        </w:rPr>
      </w:pPr>
    </w:p>
    <w:p w:rsidR="00DC3F7B" w:rsidRPr="00DC3F7B" w:rsidP="00C2636F" w14:paraId="2BEC6F8E" w14:textId="7C981676">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bCs/>
        </w:rPr>
      </w:pPr>
      <w:r w:rsidRPr="00440E2A">
        <w:rPr>
          <w:b/>
        </w:rPr>
        <w:t>Turbidity Benchmark Monitoring for Sites Discharging Dewatering Water to Protect the Water Quality of Sensitive Waters</w:t>
      </w:r>
      <w:r>
        <w:rPr>
          <w:b/>
        </w:rPr>
        <w:t xml:space="preserve">: </w:t>
      </w:r>
      <w:r>
        <w:rPr>
          <w:bCs/>
        </w:rPr>
        <w:t xml:space="preserve">The 2026 MSGP </w:t>
      </w:r>
      <w:r w:rsidR="002F7C1A">
        <w:rPr>
          <w:bCs/>
        </w:rPr>
        <w:t xml:space="preserve">would </w:t>
      </w:r>
      <w:r>
        <w:rPr>
          <w:bCs/>
        </w:rPr>
        <w:t xml:space="preserve">require </w:t>
      </w:r>
      <w:r w:rsidRPr="00875998">
        <w:rPr>
          <w:bCs/>
        </w:rPr>
        <w:t>operators discharging dewatering water to “sensitive waters” to</w:t>
      </w:r>
      <w:r>
        <w:rPr>
          <w:bCs/>
        </w:rPr>
        <w:t xml:space="preserve"> </w:t>
      </w:r>
      <w:r w:rsidRPr="00875998">
        <w:rPr>
          <w:bCs/>
        </w:rPr>
        <w:t xml:space="preserve">conduct </w:t>
      </w:r>
      <w:r w:rsidR="00E625D9">
        <w:rPr>
          <w:bCs/>
        </w:rPr>
        <w:t xml:space="preserve">new </w:t>
      </w:r>
      <w:r w:rsidRPr="00875998">
        <w:rPr>
          <w:bCs/>
        </w:rPr>
        <w:t>turbidity benchmark monitoring.</w:t>
      </w:r>
      <w:r>
        <w:rPr>
          <w:rStyle w:val="FootnoteReference"/>
          <w:bCs/>
        </w:rPr>
        <w:footnoteReference w:id="3"/>
      </w:r>
      <w:r>
        <w:rPr>
          <w:bCs/>
        </w:rPr>
        <w:t xml:space="preserve"> </w:t>
      </w:r>
    </w:p>
    <w:p w:rsidR="00F6071A" w:rsidRPr="001E010D" w:rsidP="00F6071A" w14:paraId="55028CB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sidRPr="001E010D">
        <w:rPr>
          <w:b/>
        </w:rPr>
        <w:t xml:space="preserve">Other </w:t>
      </w:r>
      <w:r>
        <w:rPr>
          <w:b/>
        </w:rPr>
        <w:t>Changes to Information Requested</w:t>
      </w:r>
    </w:p>
    <w:p w:rsidR="00F62EEB" w:rsidP="004B0446" w14:paraId="49128C5C" w14:textId="3FAAAC32">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rsidRPr="00C74A72">
        <w:rPr>
          <w:b/>
        </w:rPr>
        <w:t>Discharges to a Federal CERCLA Site</w:t>
      </w:r>
      <w:r w:rsidRPr="00C74A72" w:rsidR="00261DCE">
        <w:rPr>
          <w:b/>
        </w:rPr>
        <w:t xml:space="preserve">: </w:t>
      </w:r>
      <w:r w:rsidRPr="001E010D">
        <w:t xml:space="preserve">The </w:t>
      </w:r>
      <w:r>
        <w:t xml:space="preserve">2026 </w:t>
      </w:r>
      <w:r w:rsidRPr="001E010D">
        <w:t xml:space="preserve">MSGP </w:t>
      </w:r>
      <w:r w:rsidR="00CA6CCF">
        <w:t xml:space="preserve">would </w:t>
      </w:r>
      <w:r w:rsidRPr="001E010D">
        <w:t xml:space="preserve">require </w:t>
      </w:r>
      <w:r>
        <w:t>respondents</w:t>
      </w:r>
      <w:r w:rsidRPr="001E010D">
        <w:t xml:space="preserve"> that discharge to </w:t>
      </w:r>
      <w:r>
        <w:t>specified</w:t>
      </w:r>
      <w:r w:rsidRPr="001E010D">
        <w:t xml:space="preserve"> Federal CERCLA sites </w:t>
      </w:r>
      <w:r>
        <w:t xml:space="preserve">in EPA Regions 1 and 10 in Appendix </w:t>
      </w:r>
      <w:r w:rsidR="00677A00">
        <w:t>L</w:t>
      </w:r>
      <w:r>
        <w:t xml:space="preserve"> </w:t>
      </w:r>
      <w:r w:rsidRPr="001E010D">
        <w:t xml:space="preserve">to notify the EPA Regional </w:t>
      </w:r>
      <w:r>
        <w:t>o</w:t>
      </w:r>
      <w:r w:rsidRPr="001E010D">
        <w:t xml:space="preserve">ffice to determine if the </w:t>
      </w:r>
      <w:r>
        <w:t xml:space="preserve">respondent </w:t>
      </w:r>
      <w:r w:rsidRPr="001E010D">
        <w:t xml:space="preserve">is implementing adequate controls and/or procedures to ensure the discharge will not lead to recontamination of aquatic media at the CERCLA </w:t>
      </w:r>
      <w:r>
        <w:t>s</w:t>
      </w:r>
      <w:r w:rsidRPr="001E010D">
        <w:t>ite such that the discharge will cause or contribute to an exceedance of a water quality standard.</w:t>
      </w:r>
      <w:r>
        <w:t xml:space="preserve"> The documentation requirements did not change from the 2021 MSGP.</w:t>
      </w:r>
    </w:p>
    <w:p w:rsidR="00F6071A" w:rsidP="004B0446" w14:paraId="4985B979" w14:textId="138C7764">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rsidRPr="00853BC9">
        <w:rPr>
          <w:b/>
        </w:rPr>
        <w:t>Exceedance Report for Numeric Effluent Limitations</w:t>
      </w:r>
      <w:r w:rsidRPr="00853BC9" w:rsidR="00261DCE">
        <w:rPr>
          <w:b/>
        </w:rPr>
        <w:t xml:space="preserve">: </w:t>
      </w:r>
      <w:r>
        <w:t xml:space="preserve">The 2026 MSGP </w:t>
      </w:r>
      <w:r w:rsidR="00786BE4">
        <w:t xml:space="preserve">would </w:t>
      </w:r>
      <w:r>
        <w:t>require respondents</w:t>
      </w:r>
      <w:r w:rsidRPr="001E010D">
        <w:t xml:space="preserve"> to submit an Exceedance Report if follow-up effluent limit</w:t>
      </w:r>
      <w:r>
        <w:t>ations</w:t>
      </w:r>
      <w:r w:rsidRPr="001E010D">
        <w:t xml:space="preserve"> monitoring exceeds a limit. The report must include information about the facility, receiving water, monitoring data, an explanation of the situation</w:t>
      </w:r>
      <w:r w:rsidR="00B57B49">
        <w:t xml:space="preserve">, and a contact </w:t>
      </w:r>
      <w:r w:rsidR="00205544">
        <w:t>name and phone number</w:t>
      </w:r>
      <w:r w:rsidRPr="001E010D">
        <w:t xml:space="preserve">. </w:t>
      </w:r>
      <w:r w:rsidR="008A769B">
        <w:t xml:space="preserve">These </w:t>
      </w:r>
      <w:r>
        <w:t xml:space="preserve">documentation requirements </w:t>
      </w:r>
      <w:r w:rsidR="008A769B">
        <w:t xml:space="preserve">remain unchanged </w:t>
      </w:r>
      <w:r>
        <w:t>from the 2021 MSGP. The 2026 MSGP</w:t>
      </w:r>
      <w:r w:rsidR="001227AB">
        <w:t xml:space="preserve"> would</w:t>
      </w:r>
      <w:r>
        <w:t xml:space="preserve"> eliminate the requirement </w:t>
      </w:r>
      <w:r w:rsidR="00494B58">
        <w:t>to submit</w:t>
      </w:r>
      <w:r>
        <w:t xml:space="preserve"> a Change NOI if an exceedance has occurred. The EPA expects there to be a negligible change</w:t>
      </w:r>
      <w:r>
        <w:t xml:space="preserve"> in the reporting burden for this item</w:t>
      </w:r>
      <w:r w:rsidR="001275CD">
        <w:t xml:space="preserve">, so </w:t>
      </w:r>
      <w:r w:rsidR="00327410">
        <w:t>this decreased burden</w:t>
      </w:r>
      <w:r w:rsidR="001275CD">
        <w:t xml:space="preserve"> was not estimated below</w:t>
      </w:r>
      <w:r>
        <w:t>.</w:t>
      </w:r>
    </w:p>
    <w:p w:rsidR="00960699" w:rsidRPr="008E22C6" w:rsidP="008E22C6" w14:paraId="7AD94608" w14:textId="5BA9A76D">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rsidRPr="006A656F">
        <w:rPr>
          <w:rFonts w:ascii="Calibri" w:hAnsi="Calibri" w:cs="Calibri"/>
          <w:b/>
        </w:rPr>
        <w:t>New Discharges and New Sources to Water Quality-Impaired Waters</w:t>
      </w:r>
      <w:r w:rsidRPr="006A656F" w:rsidR="00261DCE">
        <w:rPr>
          <w:rFonts w:ascii="Calibri" w:hAnsi="Calibri" w:cs="Calibri"/>
          <w:b/>
        </w:rPr>
        <w:t xml:space="preserve">: </w:t>
      </w:r>
      <w:r w:rsidRPr="006A656F">
        <w:rPr>
          <w:rFonts w:ascii="Calibri" w:hAnsi="Calibri" w:cs="Calibri"/>
        </w:rPr>
        <w:t xml:space="preserve">The 2026 MSGP </w:t>
      </w:r>
      <w:r w:rsidR="00D364D5">
        <w:rPr>
          <w:rFonts w:ascii="Calibri" w:hAnsi="Calibri" w:cs="Calibri"/>
        </w:rPr>
        <w:t xml:space="preserve">would </w:t>
      </w:r>
      <w:r w:rsidRPr="006A656F">
        <w:rPr>
          <w:rFonts w:ascii="Calibri" w:hAnsi="Calibri" w:cs="Calibri"/>
        </w:rPr>
        <w:t xml:space="preserve">require new dischargers/new sources that discharge to impaired waters to comply with one of three options to be eligible for the permit. Two of the options </w:t>
      </w:r>
      <w:r w:rsidR="00EF7C01">
        <w:rPr>
          <w:rFonts w:ascii="Calibri" w:hAnsi="Calibri" w:cs="Calibri"/>
        </w:rPr>
        <w:t xml:space="preserve">would </w:t>
      </w:r>
      <w:r w:rsidRPr="006A656F">
        <w:rPr>
          <w:rFonts w:ascii="Calibri" w:hAnsi="Calibri" w:cs="Calibri"/>
        </w:rPr>
        <w:t xml:space="preserve">require submittal of information directly to the </w:t>
      </w:r>
      <w:r w:rsidRPr="006A656F" w:rsidR="0020738D">
        <w:rPr>
          <w:rFonts w:ascii="Calibri" w:hAnsi="Calibri" w:cs="Calibri"/>
        </w:rPr>
        <w:t xml:space="preserve">appropriate </w:t>
      </w:r>
      <w:r w:rsidRPr="006A656F">
        <w:rPr>
          <w:rFonts w:ascii="Calibri" w:hAnsi="Calibri" w:cs="Calibri"/>
        </w:rPr>
        <w:t xml:space="preserve">EPA Regional Office to support a claim that the pollutants causing the impairment are not present at the site, or a conclusion that the discharge </w:t>
      </w:r>
      <w:r w:rsidRPr="006A656F">
        <w:rPr>
          <w:rFonts w:ascii="Calibri" w:hAnsi="Calibri" w:cs="Calibri"/>
        </w:rPr>
        <w:t xml:space="preserve">is expected to meet water quality standards. </w:t>
      </w:r>
      <w:r>
        <w:t xml:space="preserve">A </w:t>
      </w:r>
      <w:r w:rsidRPr="00C860E0">
        <w:t xml:space="preserve">respondent </w:t>
      </w:r>
      <w:r>
        <w:t>may choose to submit that information electronically in NeT-MSGP with the NOI submission package.</w:t>
      </w:r>
      <w:r w:rsidRPr="006A656F">
        <w:rPr>
          <w:rFonts w:ascii="Calibri" w:hAnsi="Calibri" w:cs="Calibri"/>
        </w:rPr>
        <w:t xml:space="preserve"> These requirements remain</w:t>
      </w:r>
      <w:r w:rsidRPr="006A656F" w:rsidR="009C71E9">
        <w:rPr>
          <w:rFonts w:ascii="Calibri" w:hAnsi="Calibri" w:cs="Calibri"/>
        </w:rPr>
        <w:t xml:space="preserve"> unchanged from the 2021 MSGP. </w:t>
      </w:r>
      <w:r w:rsidRPr="006A656F">
        <w:rPr>
          <w:rFonts w:ascii="Calibri" w:hAnsi="Calibri" w:cs="Calibri"/>
        </w:rPr>
        <w:t xml:space="preserve">The </w:t>
      </w:r>
      <w:r w:rsidR="00E016E9">
        <w:rPr>
          <w:rFonts w:ascii="Calibri" w:hAnsi="Calibri" w:cs="Calibri"/>
        </w:rPr>
        <w:t xml:space="preserve">proposed </w:t>
      </w:r>
      <w:r w:rsidRPr="006A656F">
        <w:rPr>
          <w:rFonts w:ascii="Calibri" w:hAnsi="Calibri" w:cs="Calibri"/>
        </w:rPr>
        <w:t>2026 MSGP</w:t>
      </w:r>
      <w:r w:rsidR="00E016E9">
        <w:rPr>
          <w:rFonts w:ascii="Calibri" w:hAnsi="Calibri" w:cs="Calibri"/>
        </w:rPr>
        <w:t xml:space="preserve"> would</w:t>
      </w:r>
      <w:r w:rsidRPr="006A656F">
        <w:rPr>
          <w:rFonts w:ascii="Calibri" w:hAnsi="Calibri" w:cs="Calibri"/>
        </w:rPr>
        <w:t xml:space="preserve"> include </w:t>
      </w:r>
      <w:r w:rsidRPr="006A656F" w:rsidR="009C71E9">
        <w:rPr>
          <w:rFonts w:ascii="Calibri" w:hAnsi="Calibri" w:cs="Calibri"/>
        </w:rPr>
        <w:t xml:space="preserve">the new impaired waters population (refer to 12.a) </w:t>
      </w:r>
      <w:r w:rsidR="00BA71B8">
        <w:rPr>
          <w:rFonts w:ascii="Calibri" w:hAnsi="Calibri" w:cs="Calibri"/>
        </w:rPr>
        <w:t xml:space="preserve">of </w:t>
      </w:r>
      <w:r>
        <w:t>respondent</w:t>
      </w:r>
      <w:r w:rsidRPr="006A656F">
        <w:rPr>
          <w:rFonts w:ascii="Calibri" w:hAnsi="Calibri" w:cs="Calibri"/>
        </w:rPr>
        <w:t>s that discharge into waters with an EPA-approved TMDL</w:t>
      </w:r>
      <w:r w:rsidR="00EE5D95">
        <w:rPr>
          <w:rFonts w:ascii="Calibri" w:hAnsi="Calibri" w:cs="Calibri"/>
        </w:rPr>
        <w:t xml:space="preserve"> to the group of respondents subject to this requirement</w:t>
      </w:r>
      <w:r w:rsidRPr="006A656F">
        <w:rPr>
          <w:rFonts w:ascii="Calibri" w:hAnsi="Calibri" w:cs="Calibri"/>
        </w:rPr>
        <w:t>, however the burden is negligibl</w:t>
      </w:r>
      <w:r w:rsidRPr="006A656F" w:rsidR="009C71E9">
        <w:rPr>
          <w:rFonts w:ascii="Calibri" w:hAnsi="Calibri" w:cs="Calibri"/>
        </w:rPr>
        <w:t>e and</w:t>
      </w:r>
      <w:r w:rsidRPr="006A656F">
        <w:rPr>
          <w:rFonts w:ascii="Calibri" w:hAnsi="Calibri" w:cs="Calibri"/>
        </w:rPr>
        <w:t xml:space="preserve"> this MSGP ICR does not add an incremental burden.</w:t>
      </w:r>
    </w:p>
    <w:p w:rsidR="001172FE" w:rsidP="00435CDF" w14:paraId="7B8A0ACD" w14:textId="283AAD73">
      <w:pPr>
        <w:pStyle w:val="Heading2"/>
        <w:spacing w:after="240"/>
      </w:pPr>
      <w:r w:rsidRPr="00163C69">
        <w:t xml:space="preserve">12c. </w:t>
      </w:r>
      <w:r w:rsidRPr="00163C69" w:rsidR="00DD718B">
        <w:t>Respondent Activities</w:t>
      </w:r>
      <w:bookmarkStart w:id="18" w:name="_Toc156593385"/>
      <w:bookmarkEnd w:id="17"/>
    </w:p>
    <w:p w:rsidR="00A60A62" w:rsidP="00435CDF" w14:paraId="4CA1AA25" w14:textId="77777777">
      <w:pPr>
        <w:spacing w:after="100" w:afterAutospacing="1" w:line="240" w:lineRule="auto"/>
        <w:contextualSpacing/>
        <w:rPr>
          <w:rFonts w:ascii="Calibri" w:hAnsi="Calibri" w:cs="Calibri"/>
        </w:rPr>
      </w:pPr>
      <w:r w:rsidRPr="001E010D">
        <w:rPr>
          <w:rFonts w:ascii="Calibri" w:hAnsi="Calibri" w:cs="Calibri"/>
        </w:rPr>
        <w:t xml:space="preserve">The CWA </w:t>
      </w:r>
      <w:r>
        <w:rPr>
          <w:rFonts w:ascii="Calibri" w:hAnsi="Calibri" w:cs="Calibri"/>
        </w:rPr>
        <w:t>limits</w:t>
      </w:r>
      <w:r w:rsidRPr="001E010D">
        <w:rPr>
          <w:rFonts w:ascii="Calibri" w:hAnsi="Calibri" w:cs="Calibri"/>
        </w:rPr>
        <w:t xml:space="preserve"> NPDES permit </w:t>
      </w:r>
      <w:r>
        <w:rPr>
          <w:rFonts w:ascii="Calibri" w:hAnsi="Calibri" w:cs="Calibri"/>
        </w:rPr>
        <w:t>terms to be no</w:t>
      </w:r>
      <w:r w:rsidRPr="001E010D">
        <w:rPr>
          <w:rFonts w:ascii="Calibri" w:hAnsi="Calibri" w:cs="Calibri"/>
        </w:rPr>
        <w:t xml:space="preserve"> longer than </w:t>
      </w:r>
      <w:r>
        <w:rPr>
          <w:rFonts w:ascii="Calibri" w:hAnsi="Calibri" w:cs="Calibri"/>
        </w:rPr>
        <w:t>5</w:t>
      </w:r>
      <w:r w:rsidRPr="001E010D">
        <w:rPr>
          <w:rFonts w:ascii="Calibri" w:hAnsi="Calibri" w:cs="Calibri"/>
        </w:rPr>
        <w:t xml:space="preserve"> years, at which point permits must be renewed. Thus, permitted facilities must obtain coverage under the new or re-issued NPDES permits, and comply with any information collection requirements, upon permit reissuance generally every </w:t>
      </w:r>
      <w:r>
        <w:rPr>
          <w:rFonts w:ascii="Calibri" w:hAnsi="Calibri" w:cs="Calibri"/>
        </w:rPr>
        <w:t>5 </w:t>
      </w:r>
      <w:r w:rsidRPr="001E010D">
        <w:rPr>
          <w:rFonts w:ascii="Calibri" w:hAnsi="Calibri" w:cs="Calibri"/>
        </w:rPr>
        <w:t>years.</w:t>
      </w:r>
      <w:r>
        <w:rPr>
          <w:rFonts w:ascii="Calibri" w:hAnsi="Calibri" w:cs="Calibri"/>
        </w:rPr>
        <w:t xml:space="preserve"> </w:t>
      </w:r>
    </w:p>
    <w:p w:rsidR="00A60A62" w:rsidP="00435CDF" w14:paraId="04E073F8" w14:textId="77777777">
      <w:pPr>
        <w:spacing w:after="100" w:afterAutospacing="1" w:line="240" w:lineRule="auto"/>
        <w:contextualSpacing/>
        <w:rPr>
          <w:rFonts w:ascii="Calibri" w:hAnsi="Calibri" w:cs="Calibri"/>
        </w:rPr>
      </w:pPr>
    </w:p>
    <w:p w:rsidR="00435CDF" w:rsidP="00435CDF" w14:paraId="78774B25" w14:textId="0A826963">
      <w:pPr>
        <w:spacing w:after="100" w:afterAutospacing="1" w:line="240" w:lineRule="auto"/>
        <w:contextualSpacing/>
        <w:rPr>
          <w:rFonts w:ascii="Calibri" w:hAnsi="Calibri" w:cs="Calibri"/>
        </w:rPr>
      </w:pPr>
      <w:r w:rsidRPr="001E010D">
        <w:rPr>
          <w:rFonts w:ascii="Calibri" w:hAnsi="Calibri" w:cs="Calibri"/>
        </w:rPr>
        <w:t xml:space="preserve">The following is a summary of the </w:t>
      </w:r>
      <w:r w:rsidR="00876643">
        <w:rPr>
          <w:rFonts w:ascii="Calibri" w:hAnsi="Calibri" w:cs="Calibri"/>
        </w:rPr>
        <w:t xml:space="preserve">changes to the respondent activities and/or </w:t>
      </w:r>
      <w:r w:rsidRPr="001E010D">
        <w:rPr>
          <w:rFonts w:ascii="Calibri" w:hAnsi="Calibri" w:cs="Calibri"/>
        </w:rPr>
        <w:t xml:space="preserve">collection schedule for various data items under the </w:t>
      </w:r>
      <w:r w:rsidR="00A74FE2">
        <w:rPr>
          <w:rFonts w:ascii="Calibri" w:hAnsi="Calibri" w:cs="Calibri"/>
        </w:rPr>
        <w:t xml:space="preserve">2026 proposed </w:t>
      </w:r>
      <w:r w:rsidRPr="001E010D">
        <w:rPr>
          <w:rFonts w:ascii="Calibri" w:hAnsi="Calibri" w:cs="Calibri"/>
        </w:rPr>
        <w:t xml:space="preserve">MSGP: </w:t>
      </w:r>
    </w:p>
    <w:p w:rsidR="00435CDF" w:rsidRPr="00435CDF" w:rsidP="00435CDF" w14:paraId="587EA81D" w14:textId="77777777">
      <w:pPr>
        <w:spacing w:after="100" w:afterAutospacing="1" w:line="240" w:lineRule="auto"/>
        <w:contextualSpacing/>
        <w:rPr>
          <w:rFonts w:ascii="Calibri" w:hAnsi="Calibri" w:cs="Calibri"/>
        </w:rPr>
      </w:pPr>
    </w:p>
    <w:p w:rsidR="00435CDF" w:rsidP="00435CDF" w14:paraId="5476990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435CDF">
        <w:rPr>
          <w:rFonts w:ascii="Calibri" w:hAnsi="Calibri" w:cs="Calibri"/>
          <w:b/>
        </w:rPr>
        <w:t>NOI</w:t>
      </w:r>
    </w:p>
    <w:p w:rsidR="007440E7" w:rsidRPr="007440E7" w:rsidP="00435CDF" w14:paraId="7A761BCD" w14:textId="49B1D3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t xml:space="preserve">The 2026 MSGP </w:t>
      </w:r>
      <w:r w:rsidR="00492D3E">
        <w:t xml:space="preserve">would </w:t>
      </w:r>
      <w:r>
        <w:t xml:space="preserve">add an NOI question about respondent’s AIM status at the end of the 2021 MSGP (if applicable). </w:t>
      </w:r>
      <w:r w:rsidR="00492D3E">
        <w:t>EPA would also add</w:t>
      </w:r>
      <w:r w:rsidR="007D4EFB">
        <w:t xml:space="preserve"> </w:t>
      </w:r>
      <w:r>
        <w:t xml:space="preserve">three simple questions to the 2026 MGSP related to federal lands. </w:t>
      </w:r>
      <w:r w:rsidR="00B86424">
        <w:t xml:space="preserve">In addition, </w:t>
      </w:r>
      <w:r w:rsidR="0031253B">
        <w:t xml:space="preserve">EPA would include </w:t>
      </w:r>
      <w:r w:rsidR="00B86424">
        <w:t xml:space="preserve">questions added specific to mining sectors </w:t>
      </w:r>
      <w:r w:rsidR="00C90FE5">
        <w:t xml:space="preserve">related to dewatering and inspector training. </w:t>
      </w:r>
      <w:r>
        <w:t>These additions to the NOI will result in a small change in NOI reporting burden.</w:t>
      </w:r>
    </w:p>
    <w:p w:rsidR="0031253B" w:rsidP="00435CDF" w14:paraId="66D40444"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p>
    <w:p w:rsidR="00435CDF" w:rsidP="00435CDF" w14:paraId="3BD883B6" w14:textId="4280EB6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435CDF">
        <w:rPr>
          <w:rFonts w:ascii="Calibri" w:hAnsi="Calibri" w:cs="Calibri"/>
          <w:b/>
        </w:rPr>
        <w:t>SWPPP</w:t>
      </w:r>
    </w:p>
    <w:p w:rsidR="00B32638" w:rsidP="00435CDF" w14:paraId="2327AB03" w14:textId="68CE3B2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435CDF">
        <w:rPr>
          <w:rFonts w:ascii="Calibri" w:hAnsi="Calibri" w:cs="Calibri"/>
        </w:rPr>
        <w:t xml:space="preserve">The 2026 MSGP </w:t>
      </w:r>
      <w:r w:rsidR="0031253B">
        <w:rPr>
          <w:rFonts w:ascii="Calibri" w:hAnsi="Calibri" w:cs="Calibri"/>
        </w:rPr>
        <w:t xml:space="preserve">would </w:t>
      </w:r>
      <w:r w:rsidRPr="00435CDF">
        <w:rPr>
          <w:rFonts w:ascii="Calibri" w:hAnsi="Calibri" w:cs="Calibri"/>
        </w:rPr>
        <w:t>mov</w:t>
      </w:r>
      <w:r w:rsidR="0031253B">
        <w:rPr>
          <w:rFonts w:ascii="Calibri" w:hAnsi="Calibri" w:cs="Calibri"/>
        </w:rPr>
        <w:t>e</w:t>
      </w:r>
      <w:r w:rsidRPr="00435CDF">
        <w:rPr>
          <w:rFonts w:ascii="Calibri" w:hAnsi="Calibri" w:cs="Calibri"/>
        </w:rPr>
        <w:t xml:space="preserve"> </w:t>
      </w:r>
      <w:r w:rsidR="00FA4B8D">
        <w:rPr>
          <w:rFonts w:ascii="Calibri" w:hAnsi="Calibri" w:cs="Calibri"/>
        </w:rPr>
        <w:t>some</w:t>
      </w:r>
      <w:r w:rsidR="003B4E79">
        <w:rPr>
          <w:rFonts w:ascii="Calibri" w:hAnsi="Calibri" w:cs="Calibri"/>
        </w:rPr>
        <w:t xml:space="preserve"> sectors </w:t>
      </w:r>
      <w:r w:rsidRPr="00435CDF">
        <w:rPr>
          <w:rFonts w:ascii="Calibri" w:hAnsi="Calibri" w:cs="Calibri"/>
        </w:rPr>
        <w:t xml:space="preserve">from indicator to benchmark monitoring (refer to Section 12.a), new PFAS indicator monitoring </w:t>
      </w:r>
      <w:r w:rsidR="003B4E79">
        <w:rPr>
          <w:rFonts w:ascii="Calibri" w:hAnsi="Calibri" w:cs="Calibri"/>
        </w:rPr>
        <w:t>f</w:t>
      </w:r>
      <w:r w:rsidR="003A483B">
        <w:rPr>
          <w:rFonts w:ascii="Calibri" w:hAnsi="Calibri" w:cs="Calibri"/>
        </w:rPr>
        <w:t>or</w:t>
      </w:r>
      <w:r w:rsidR="003B4E79">
        <w:rPr>
          <w:rFonts w:ascii="Calibri" w:hAnsi="Calibri" w:cs="Calibri"/>
        </w:rPr>
        <w:t xml:space="preserve"> some sectors</w:t>
      </w:r>
      <w:r w:rsidRPr="00435CDF">
        <w:rPr>
          <w:rFonts w:ascii="Calibri" w:hAnsi="Calibri" w:cs="Calibri"/>
        </w:rPr>
        <w:t xml:space="preserve"> (refer to Section 12.a), and </w:t>
      </w:r>
      <w:r w:rsidR="0031253B">
        <w:rPr>
          <w:rFonts w:ascii="Calibri" w:hAnsi="Calibri" w:cs="Calibri"/>
        </w:rPr>
        <w:t xml:space="preserve">would </w:t>
      </w:r>
      <w:r w:rsidR="003A483B">
        <w:rPr>
          <w:rFonts w:ascii="Calibri" w:hAnsi="Calibri" w:cs="Calibri"/>
        </w:rPr>
        <w:t xml:space="preserve">add </w:t>
      </w:r>
      <w:r w:rsidRPr="00435CDF">
        <w:rPr>
          <w:rFonts w:ascii="Calibri" w:hAnsi="Calibri" w:cs="Calibri"/>
        </w:rPr>
        <w:t xml:space="preserve">impaired waters monitoring for respondents that discharge into impaired waters with an EPA-approved TMDL. Respondents that </w:t>
      </w:r>
      <w:r w:rsidR="0031253B">
        <w:rPr>
          <w:rFonts w:ascii="Calibri" w:hAnsi="Calibri" w:cs="Calibri"/>
        </w:rPr>
        <w:t>would</w:t>
      </w:r>
      <w:r w:rsidRPr="00435CDF">
        <w:rPr>
          <w:rFonts w:ascii="Calibri" w:hAnsi="Calibri" w:cs="Calibri"/>
        </w:rPr>
        <w:t xml:space="preserve"> be required to conduct new monitoring will have to update their SWPPP with appropriate monitoring schedules and pollutants. In addition, any AIM triggering events, responses taken, rationale for not implementi</w:t>
      </w:r>
      <w:r w:rsidRPr="00435CDF">
        <w:rPr>
          <w:rFonts w:ascii="Calibri" w:hAnsi="Calibri" w:cs="Calibri"/>
        </w:rPr>
        <w:t xml:space="preserve">ng required control measures, or explanation for why controls cannot be implemented within the required timeframe must be documented in the SWPPP. </w:t>
      </w:r>
      <w:r w:rsidR="00F9320F">
        <w:rPr>
          <w:rFonts w:ascii="Calibri" w:hAnsi="Calibri" w:cs="Calibri"/>
        </w:rPr>
        <w:t>R</w:t>
      </w:r>
      <w:r w:rsidRPr="00435CDF">
        <w:rPr>
          <w:rFonts w:ascii="Calibri" w:hAnsi="Calibri" w:cs="Calibri"/>
        </w:rPr>
        <w:t xml:space="preserve">espondents that discharge into impaired waters </w:t>
      </w:r>
      <w:r w:rsidR="00327473">
        <w:rPr>
          <w:rFonts w:ascii="Calibri" w:hAnsi="Calibri" w:cs="Calibri"/>
        </w:rPr>
        <w:t xml:space="preserve">and detect a pollutant causing an impairment in their discharge </w:t>
      </w:r>
      <w:r w:rsidRPr="00435CDF">
        <w:rPr>
          <w:rFonts w:ascii="Calibri" w:hAnsi="Calibri" w:cs="Calibri"/>
        </w:rPr>
        <w:t xml:space="preserve">are now required to follow AIM Level 1 corrective actions and </w:t>
      </w:r>
      <w:r w:rsidR="00327473">
        <w:rPr>
          <w:rFonts w:ascii="Calibri" w:hAnsi="Calibri" w:cs="Calibri"/>
        </w:rPr>
        <w:t xml:space="preserve">the associated </w:t>
      </w:r>
      <w:r w:rsidRPr="00435CDF">
        <w:rPr>
          <w:rFonts w:ascii="Calibri" w:hAnsi="Calibri" w:cs="Calibri"/>
        </w:rPr>
        <w:t>SWPPP documentation requirements.</w:t>
      </w:r>
    </w:p>
    <w:p w:rsidR="00F9320F" w:rsidRPr="00435CDF" w:rsidP="00435CDF" w14:paraId="12446B64" w14:textId="5971744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rPr>
          <w:rFonts w:ascii="Calibri" w:hAnsi="Calibri" w:cs="Calibri"/>
        </w:rPr>
        <w:t>All respondents</w:t>
      </w:r>
      <w:r w:rsidR="00D9758C">
        <w:rPr>
          <w:rFonts w:ascii="Calibri" w:hAnsi="Calibri" w:cs="Calibri"/>
        </w:rPr>
        <w:t xml:space="preserve"> in mining sectors (</w:t>
      </w:r>
      <w:r w:rsidR="0031253B">
        <w:rPr>
          <w:rFonts w:ascii="Calibri" w:hAnsi="Calibri" w:cs="Calibri"/>
        </w:rPr>
        <w:t xml:space="preserve">Sectors G, H, and J; </w:t>
      </w:r>
      <w:r w:rsidR="00D9758C">
        <w:rPr>
          <w:rFonts w:ascii="Calibri" w:hAnsi="Calibri" w:cs="Calibri"/>
        </w:rPr>
        <w:t>refer to Section 12.a</w:t>
      </w:r>
      <w:r w:rsidR="0031253B">
        <w:rPr>
          <w:rFonts w:ascii="Calibri" w:hAnsi="Calibri" w:cs="Calibri"/>
        </w:rPr>
        <w:t xml:space="preserve"> for sector description</w:t>
      </w:r>
      <w:r w:rsidR="00D9758C">
        <w:rPr>
          <w:rFonts w:ascii="Calibri" w:hAnsi="Calibri" w:cs="Calibri"/>
        </w:rPr>
        <w:t>)</w:t>
      </w:r>
      <w:r>
        <w:rPr>
          <w:rFonts w:ascii="Calibri" w:hAnsi="Calibri" w:cs="Calibri"/>
        </w:rPr>
        <w:t xml:space="preserve"> </w:t>
      </w:r>
      <w:r w:rsidR="0031253B">
        <w:rPr>
          <w:rFonts w:ascii="Calibri" w:hAnsi="Calibri" w:cs="Calibri"/>
        </w:rPr>
        <w:t>would</w:t>
      </w:r>
      <w:r>
        <w:rPr>
          <w:rFonts w:ascii="Calibri" w:hAnsi="Calibri" w:cs="Calibri"/>
        </w:rPr>
        <w:t xml:space="preserve"> also have new and modified requirements </w:t>
      </w:r>
      <w:r w:rsidR="001F64C1">
        <w:rPr>
          <w:rFonts w:ascii="Calibri" w:hAnsi="Calibri" w:cs="Calibri"/>
        </w:rPr>
        <w:t>for site map notations and de</w:t>
      </w:r>
      <w:r w:rsidR="004A315E">
        <w:rPr>
          <w:rFonts w:ascii="Calibri" w:hAnsi="Calibri" w:cs="Calibri"/>
        </w:rPr>
        <w:t>scriptions of stormwater controls, new requirements</w:t>
      </w:r>
      <w:r w:rsidR="00B2695D">
        <w:rPr>
          <w:rFonts w:ascii="Calibri" w:hAnsi="Calibri" w:cs="Calibri"/>
        </w:rPr>
        <w:t xml:space="preserve"> for respondents subject to turbidity benchmark monitoring requirements</w:t>
      </w:r>
      <w:r w:rsidR="00D9758C">
        <w:rPr>
          <w:rFonts w:ascii="Calibri" w:hAnsi="Calibri" w:cs="Calibri"/>
        </w:rPr>
        <w:t xml:space="preserve"> to document their procedures, including procedures to evaluate samples, report results, maintain records, and take corrective action</w:t>
      </w:r>
      <w:r w:rsidR="00870630">
        <w:rPr>
          <w:rFonts w:ascii="Calibri" w:hAnsi="Calibri" w:cs="Calibri"/>
        </w:rPr>
        <w:t xml:space="preserve"> </w:t>
      </w:r>
      <w:r w:rsidR="003360A2">
        <w:rPr>
          <w:rFonts w:ascii="Calibri" w:hAnsi="Calibri" w:cs="Calibri"/>
        </w:rPr>
        <w:t>under certain conditions</w:t>
      </w:r>
      <w:r w:rsidR="00D9758C">
        <w:rPr>
          <w:rFonts w:ascii="Calibri" w:hAnsi="Calibri" w:cs="Calibri"/>
        </w:rPr>
        <w:t>.</w:t>
      </w:r>
    </w:p>
    <w:p w:rsidR="00486987" w:rsidRPr="00435CDF" w:rsidP="00435CDF" w14:paraId="2DDF736F" w14:textId="75CF0C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435CDF">
        <w:rPr>
          <w:rFonts w:ascii="Calibri" w:hAnsi="Calibri" w:cs="Calibri"/>
          <w:b/>
        </w:rPr>
        <w:t xml:space="preserve">DMRs </w:t>
      </w:r>
    </w:p>
    <w:p w:rsidR="00486987" w:rsidRPr="00435CDF" w:rsidP="00435CDF" w14:paraId="705C414A" w14:textId="6BEF9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435CDF">
        <w:rPr>
          <w:rFonts w:ascii="Calibri" w:hAnsi="Calibri" w:cs="Calibri"/>
        </w:rPr>
        <w:t xml:space="preserve">The 2026 MSGP </w:t>
      </w:r>
      <w:r w:rsidR="0031253B">
        <w:rPr>
          <w:rFonts w:ascii="Calibri" w:hAnsi="Calibri" w:cs="Calibri"/>
        </w:rPr>
        <w:t xml:space="preserve">would </w:t>
      </w:r>
      <w:r w:rsidRPr="00435CDF">
        <w:rPr>
          <w:rFonts w:ascii="Calibri" w:hAnsi="Calibri" w:cs="Calibri"/>
        </w:rPr>
        <w:t xml:space="preserve">include new and modified requirements for benchmark monitoring, indicator monitoring, and impaired waters monitoring. The effluent limitations monitoring requirements in the </w:t>
      </w:r>
      <w:r w:rsidR="00D12B57">
        <w:rPr>
          <w:rFonts w:ascii="Calibri" w:hAnsi="Calibri" w:cs="Calibri"/>
        </w:rPr>
        <w:t xml:space="preserve">proposed </w:t>
      </w:r>
      <w:r w:rsidRPr="00435CDF">
        <w:rPr>
          <w:rFonts w:ascii="Calibri" w:hAnsi="Calibri" w:cs="Calibri"/>
        </w:rPr>
        <w:t xml:space="preserve">2026 MSGP </w:t>
      </w:r>
      <w:r w:rsidR="00D12B57">
        <w:rPr>
          <w:rFonts w:ascii="Calibri" w:hAnsi="Calibri" w:cs="Calibri"/>
        </w:rPr>
        <w:t>would remain</w:t>
      </w:r>
      <w:r w:rsidRPr="00435CDF">
        <w:rPr>
          <w:rFonts w:ascii="Calibri" w:hAnsi="Calibri" w:cs="Calibri"/>
        </w:rPr>
        <w:t xml:space="preserve"> consistent with the 2021 MSGP.</w:t>
      </w:r>
    </w:p>
    <w:p w:rsidR="00851EF0" w:rsidRPr="008E22C6" w:rsidP="001E0F01" w14:paraId="0B7671D9" w14:textId="2F317F6D">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4412DC">
        <w:rPr>
          <w:rFonts w:ascii="Calibri" w:hAnsi="Calibri" w:cs="Calibri"/>
          <w:b/>
          <w:bCs/>
        </w:rPr>
        <w:t>Benchmark monitoring</w:t>
      </w:r>
      <w:r w:rsidRPr="00317778">
        <w:rPr>
          <w:rFonts w:ascii="Calibri" w:hAnsi="Calibri" w:cs="Calibri"/>
        </w:rPr>
        <w:t>:</w:t>
      </w:r>
      <w:r>
        <w:rPr>
          <w:rFonts w:ascii="Calibri" w:hAnsi="Calibri" w:cs="Calibri"/>
        </w:rPr>
        <w:t xml:space="preserve"> For respondents in sectors that have benchmark monitoring requirements, the </w:t>
      </w:r>
      <w:r w:rsidR="0072286E">
        <w:rPr>
          <w:rFonts w:ascii="Calibri" w:hAnsi="Calibri" w:cs="Calibri"/>
        </w:rPr>
        <w:t xml:space="preserve">proposed </w:t>
      </w:r>
      <w:r>
        <w:rPr>
          <w:rFonts w:ascii="Calibri" w:hAnsi="Calibri" w:cs="Calibri"/>
        </w:rPr>
        <w:t xml:space="preserve">2026 MSGP </w:t>
      </w:r>
      <w:r w:rsidR="0031253B">
        <w:rPr>
          <w:rFonts w:ascii="Calibri" w:hAnsi="Calibri" w:cs="Calibri"/>
        </w:rPr>
        <w:t xml:space="preserve">would </w:t>
      </w:r>
      <w:r>
        <w:rPr>
          <w:rFonts w:ascii="Calibri" w:hAnsi="Calibri" w:cs="Calibri"/>
        </w:rPr>
        <w:t xml:space="preserve">change the </w:t>
      </w:r>
      <w:r w:rsidR="00A5566A">
        <w:rPr>
          <w:rFonts w:ascii="Calibri" w:hAnsi="Calibri" w:cs="Calibri"/>
        </w:rPr>
        <w:t xml:space="preserve">monitoring </w:t>
      </w:r>
      <w:r>
        <w:rPr>
          <w:rFonts w:ascii="Calibri" w:hAnsi="Calibri" w:cs="Calibri"/>
        </w:rPr>
        <w:t xml:space="preserve">schedule. In the 2021 </w:t>
      </w:r>
      <w:r>
        <w:rPr>
          <w:rFonts w:ascii="Calibri" w:hAnsi="Calibri" w:cs="Calibri"/>
        </w:rPr>
        <w:t xml:space="preserve">MSGP, respondents </w:t>
      </w:r>
      <w:r w:rsidR="00E70ABB">
        <w:rPr>
          <w:rFonts w:ascii="Calibri" w:hAnsi="Calibri" w:cs="Calibri"/>
        </w:rPr>
        <w:t xml:space="preserve">are </w:t>
      </w:r>
      <w:r>
        <w:rPr>
          <w:rFonts w:ascii="Calibri" w:hAnsi="Calibri" w:cs="Calibri"/>
        </w:rPr>
        <w:t xml:space="preserve">required to perform benchmark monitoring quarterly in years one and four of the permit term. If the </w:t>
      </w:r>
      <w:r w:rsidR="00900FD9">
        <w:rPr>
          <w:rFonts w:ascii="Calibri" w:hAnsi="Calibri" w:cs="Calibri"/>
        </w:rPr>
        <w:t xml:space="preserve">four-quarter </w:t>
      </w:r>
      <w:r>
        <w:rPr>
          <w:rFonts w:ascii="Calibri" w:hAnsi="Calibri" w:cs="Calibri"/>
        </w:rPr>
        <w:t xml:space="preserve">average </w:t>
      </w:r>
      <w:r w:rsidR="00E70ABB">
        <w:rPr>
          <w:rFonts w:ascii="Calibri" w:hAnsi="Calibri" w:cs="Calibri"/>
        </w:rPr>
        <w:t xml:space="preserve">is </w:t>
      </w:r>
      <w:r>
        <w:rPr>
          <w:rFonts w:ascii="Calibri" w:hAnsi="Calibri" w:cs="Calibri"/>
        </w:rPr>
        <w:t>above the benchmark threshold, quarterly monitoring continue</w:t>
      </w:r>
      <w:r w:rsidR="00E70ABB">
        <w:rPr>
          <w:rFonts w:ascii="Calibri" w:hAnsi="Calibri" w:cs="Calibri"/>
        </w:rPr>
        <w:t>s</w:t>
      </w:r>
      <w:r>
        <w:rPr>
          <w:rFonts w:ascii="Calibri" w:hAnsi="Calibri" w:cs="Calibri"/>
        </w:rPr>
        <w:t xml:space="preserve"> until a </w:t>
      </w:r>
      <w:r w:rsidR="00900FD9">
        <w:rPr>
          <w:rFonts w:ascii="Calibri" w:hAnsi="Calibri" w:cs="Calibri"/>
        </w:rPr>
        <w:t xml:space="preserve">four-quarter </w:t>
      </w:r>
      <w:r>
        <w:rPr>
          <w:rFonts w:ascii="Calibri" w:hAnsi="Calibri" w:cs="Calibri"/>
        </w:rPr>
        <w:t xml:space="preserve">average is below the threshold. The 2026 MSGP </w:t>
      </w:r>
      <w:r w:rsidR="0031253B">
        <w:rPr>
          <w:rFonts w:ascii="Calibri" w:hAnsi="Calibri" w:cs="Calibri"/>
        </w:rPr>
        <w:t xml:space="preserve">would </w:t>
      </w:r>
      <w:r>
        <w:rPr>
          <w:rFonts w:ascii="Calibri" w:hAnsi="Calibri" w:cs="Calibri"/>
        </w:rPr>
        <w:t xml:space="preserve">require quarterly benchmark monitoring in the first three years of the permit term. If the four-quarter average from the third year of monitoring does not exceed a benchmark threshold, then monitoring can be discontinued for the remainder of the permit </w:t>
      </w:r>
      <w:r>
        <w:rPr>
          <w:rFonts w:ascii="Calibri" w:hAnsi="Calibri" w:cs="Calibri"/>
        </w:rPr>
        <w:t xml:space="preserve">term. If the four-quarter average from year three exceeds a benchmark threshold (or fewer than </w:t>
      </w:r>
      <w:r w:rsidRPr="0013648E">
        <w:rPr>
          <w:rFonts w:cs="Calibri"/>
          <w:szCs w:val="20"/>
        </w:rPr>
        <w:t>four quarterly samples are collected, but a single sample or the sum of any sample results within the sampling year exceeds the benchmark threshold by more than four times for a parameter</w:t>
      </w:r>
      <w:r>
        <w:rPr>
          <w:rFonts w:cs="Calibri"/>
          <w:szCs w:val="20"/>
        </w:rPr>
        <w:t>)</w:t>
      </w:r>
      <w:r>
        <w:rPr>
          <w:rFonts w:ascii="Calibri" w:hAnsi="Calibri" w:cs="Calibri"/>
        </w:rPr>
        <w:t xml:space="preserve">, then monitoring must continue on a quarterly basis until a four-quarter average is below the benchmark threshold. </w:t>
      </w:r>
    </w:p>
    <w:p w:rsidR="001309D7" w:rsidP="00435CDF" w14:paraId="1C438FF0" w14:textId="3B2F90E6">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773284">
        <w:rPr>
          <w:rFonts w:ascii="Calibri" w:hAnsi="Calibri" w:cs="Calibri"/>
          <w:b/>
          <w:bCs/>
        </w:rPr>
        <w:t>pH, TSS, COD indicator monitoring:</w:t>
      </w:r>
      <w:r>
        <w:rPr>
          <w:rFonts w:ascii="Calibri" w:hAnsi="Calibri" w:cs="Calibri"/>
        </w:rPr>
        <w:t xml:space="preserve"> The 2026 MSGP </w:t>
      </w:r>
      <w:r w:rsidR="0031253B">
        <w:rPr>
          <w:rFonts w:ascii="Calibri" w:hAnsi="Calibri" w:cs="Calibri"/>
        </w:rPr>
        <w:t xml:space="preserve">would </w:t>
      </w:r>
      <w:r>
        <w:rPr>
          <w:rFonts w:ascii="Calibri" w:hAnsi="Calibri" w:cs="Calibri"/>
        </w:rPr>
        <w:t>move certain Sectors</w:t>
      </w:r>
      <w:r w:rsidRPr="00DA3A30">
        <w:rPr>
          <w:rFonts w:ascii="Calibri" w:hAnsi="Calibri" w:cs="Calibri"/>
        </w:rPr>
        <w:t xml:space="preserve"> </w:t>
      </w:r>
      <w:r>
        <w:rPr>
          <w:rFonts w:ascii="Calibri" w:hAnsi="Calibri" w:cs="Calibri"/>
        </w:rPr>
        <w:t>(</w:t>
      </w:r>
      <w:r>
        <w:t xml:space="preserve">refer to Section 12.a) from indicator monitoring to benchmark monitoring. </w:t>
      </w:r>
    </w:p>
    <w:p w:rsidR="00851EF0" w:rsidRPr="008E22C6" w:rsidP="001E0F01" w14:paraId="299D2438" w14:textId="5C5A340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b/>
          <w:bCs/>
        </w:rPr>
        <w:t>Indicator monitoring for polycyclic aromatic hydrocarbons (</w:t>
      </w:r>
      <w:r w:rsidRPr="008B035C">
        <w:rPr>
          <w:rFonts w:ascii="Calibri" w:hAnsi="Calibri" w:cs="Calibri"/>
          <w:b/>
          <w:bCs/>
        </w:rPr>
        <w:t>PAH</w:t>
      </w:r>
      <w:r>
        <w:rPr>
          <w:rFonts w:ascii="Calibri" w:hAnsi="Calibri" w:cs="Calibri"/>
          <w:b/>
          <w:bCs/>
        </w:rPr>
        <w:t>s)</w:t>
      </w:r>
      <w:r w:rsidRPr="00317778">
        <w:rPr>
          <w:rFonts w:ascii="Calibri" w:hAnsi="Calibri" w:cs="Calibri"/>
        </w:rPr>
        <w:t>:</w:t>
      </w:r>
      <w:r>
        <w:rPr>
          <w:rFonts w:ascii="Calibri" w:hAnsi="Calibri" w:cs="Calibri"/>
        </w:rPr>
        <w:t xml:space="preserve"> The 2021 MSGP requir</w:t>
      </w:r>
      <w:r w:rsidRPr="001E010D">
        <w:rPr>
          <w:rFonts w:ascii="Calibri" w:hAnsi="Calibri" w:cs="Calibri"/>
        </w:rPr>
        <w:t>es</w:t>
      </w:r>
      <w:r>
        <w:rPr>
          <w:rFonts w:ascii="Calibri" w:hAnsi="Calibri" w:cs="Calibri"/>
        </w:rPr>
        <w:t xml:space="preserve"> </w:t>
      </w:r>
      <w:r w:rsidR="00386D04">
        <w:rPr>
          <w:rFonts w:ascii="Calibri" w:hAnsi="Calibri" w:cs="Calibri"/>
        </w:rPr>
        <w:t xml:space="preserve">PAH indicator monitoring </w:t>
      </w:r>
      <w:r w:rsidR="00E55EBA">
        <w:rPr>
          <w:rFonts w:ascii="Calibri" w:hAnsi="Calibri" w:cs="Calibri"/>
        </w:rPr>
        <w:t xml:space="preserve">for certain </w:t>
      </w:r>
      <w:r w:rsidR="00B655B4">
        <w:rPr>
          <w:rFonts w:ascii="Calibri" w:hAnsi="Calibri" w:cs="Calibri"/>
        </w:rPr>
        <w:t>respondents. The monitoring is required for</w:t>
      </w:r>
      <w:r w:rsidR="00B33307">
        <w:rPr>
          <w:rFonts w:ascii="Calibri" w:hAnsi="Calibri" w:cs="Calibri"/>
        </w:rPr>
        <w:t>:</w:t>
      </w:r>
      <w:r>
        <w:rPr>
          <w:rFonts w:ascii="Calibri" w:hAnsi="Calibri" w:cs="Calibri"/>
        </w:rPr>
        <w:t xml:space="preserve"> </w:t>
      </w:r>
      <w:r w:rsidR="00A861B1">
        <w:rPr>
          <w:rFonts w:ascii="Calibri" w:hAnsi="Calibri" w:cs="Calibri"/>
        </w:rPr>
        <w:t xml:space="preserve">(1) </w:t>
      </w:r>
      <w:r>
        <w:rPr>
          <w:rFonts w:ascii="Calibri" w:hAnsi="Calibri" w:cs="Calibri"/>
        </w:rPr>
        <w:t>respondents in specific sectors and that conduct certain industrial activities</w:t>
      </w:r>
      <w:r w:rsidR="00A861B1">
        <w:rPr>
          <w:rFonts w:ascii="Calibri" w:hAnsi="Calibri" w:cs="Calibri"/>
        </w:rPr>
        <w:t>, and (2) respondents in</w:t>
      </w:r>
      <w:r>
        <w:rPr>
          <w:rFonts w:ascii="Calibri" w:hAnsi="Calibri" w:cs="Calibri"/>
        </w:rPr>
        <w:t xml:space="preserve"> sectors </w:t>
      </w:r>
      <w:r w:rsidRPr="00255BD8">
        <w:rPr>
          <w:rFonts w:eastAsia="Century Gothic" w:cstheme="minorHAnsi"/>
        </w:rPr>
        <w:t>with stormwater discharges from paved surfaces that will be initially sealed or re-sealed with coal-tar sealcoat where industrial activities are located during coverage under this permit</w:t>
      </w:r>
      <w:r w:rsidR="00B33307">
        <w:rPr>
          <w:rFonts w:eastAsia="Century Gothic" w:cstheme="minorHAnsi"/>
        </w:rPr>
        <w:t xml:space="preserve">. </w:t>
      </w:r>
      <w:r w:rsidR="002F0501">
        <w:rPr>
          <w:rFonts w:eastAsia="Century Gothic" w:cstheme="minorHAnsi"/>
        </w:rPr>
        <w:t>Under the 2021 MSGP t</w:t>
      </w:r>
      <w:r w:rsidR="00B33307">
        <w:rPr>
          <w:rFonts w:eastAsia="Century Gothic" w:cstheme="minorHAnsi"/>
        </w:rPr>
        <w:t>hese respondents are required</w:t>
      </w:r>
      <w:r>
        <w:rPr>
          <w:rFonts w:ascii="Calibri" w:hAnsi="Calibri" w:cs="Calibri"/>
        </w:rPr>
        <w:t xml:space="preserve"> to conduct biannual (twice a year) indicator monitoring for PAHs in </w:t>
      </w:r>
      <w:r w:rsidR="00FC4D8A">
        <w:rPr>
          <w:rFonts w:ascii="Calibri" w:hAnsi="Calibri" w:cs="Calibri"/>
        </w:rPr>
        <w:t>y</w:t>
      </w:r>
      <w:r>
        <w:rPr>
          <w:rFonts w:ascii="Calibri" w:hAnsi="Calibri" w:cs="Calibri"/>
        </w:rPr>
        <w:t>ears one and four of the permit term</w:t>
      </w:r>
      <w:r w:rsidRPr="001E010D">
        <w:rPr>
          <w:rFonts w:ascii="Calibri" w:hAnsi="Calibri" w:cs="Calibri"/>
        </w:rPr>
        <w:t xml:space="preserve">. </w:t>
      </w:r>
      <w:r>
        <w:rPr>
          <w:rFonts w:cstheme="minorHAnsi"/>
        </w:rPr>
        <w:t xml:space="preserve">The 2026 MSGP </w:t>
      </w:r>
      <w:r w:rsidR="0031253B">
        <w:rPr>
          <w:rFonts w:cstheme="minorHAnsi"/>
        </w:rPr>
        <w:t xml:space="preserve">would </w:t>
      </w:r>
      <w:r>
        <w:rPr>
          <w:rFonts w:cstheme="minorHAnsi"/>
        </w:rPr>
        <w:t>change this PAH indicator monitorin</w:t>
      </w:r>
      <w:r>
        <w:rPr>
          <w:rFonts w:cstheme="minorHAnsi"/>
        </w:rPr>
        <w:t>g collection schedule to biannual (twice a year) for the first three years of the permit term, and then it can be discontinued for the remainder of the permit term.</w:t>
      </w:r>
      <w:r w:rsidRPr="0088582C">
        <w:rPr>
          <w:rFonts w:cstheme="minorHAnsi"/>
        </w:rPr>
        <w:t xml:space="preserve"> </w:t>
      </w:r>
    </w:p>
    <w:p w:rsidR="00851EF0" w:rsidRPr="009F4C15" w14:paraId="1929B71B" w14:textId="1DDAFCA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9F4C15">
        <w:rPr>
          <w:rFonts w:ascii="Calibri" w:hAnsi="Calibri" w:cs="Calibri"/>
          <w:b/>
          <w:bCs/>
        </w:rPr>
        <w:t>Indicator monitoring for PFAS</w:t>
      </w:r>
      <w:r w:rsidRPr="009F4C15">
        <w:rPr>
          <w:rFonts w:ascii="Calibri" w:hAnsi="Calibri" w:cs="Calibri"/>
        </w:rPr>
        <w:t>:</w:t>
      </w:r>
      <w:r w:rsidRPr="009F4C15">
        <w:rPr>
          <w:rFonts w:ascii="Calibri" w:hAnsi="Calibri" w:cs="Calibri"/>
          <w:b/>
          <w:bCs/>
        </w:rPr>
        <w:t xml:space="preserve"> </w:t>
      </w:r>
      <w:r w:rsidRPr="009F4C15">
        <w:rPr>
          <w:rFonts w:ascii="Calibri" w:hAnsi="Calibri" w:cs="Calibri"/>
        </w:rPr>
        <w:t xml:space="preserve">This is a new addition to the </w:t>
      </w:r>
      <w:r w:rsidR="0083320A">
        <w:rPr>
          <w:rFonts w:ascii="Calibri" w:hAnsi="Calibri" w:cs="Calibri"/>
        </w:rPr>
        <w:t xml:space="preserve">proposed </w:t>
      </w:r>
      <w:r w:rsidRPr="009F4C15">
        <w:rPr>
          <w:rFonts w:ascii="Calibri" w:hAnsi="Calibri" w:cs="Calibri"/>
        </w:rPr>
        <w:t xml:space="preserve">2026 MSGP that </w:t>
      </w:r>
      <w:r w:rsidR="00316D84">
        <w:rPr>
          <w:rFonts w:ascii="Calibri" w:hAnsi="Calibri" w:cs="Calibri"/>
        </w:rPr>
        <w:t xml:space="preserve">would </w:t>
      </w:r>
      <w:r w:rsidRPr="009F4C15">
        <w:rPr>
          <w:rFonts w:ascii="Calibri" w:hAnsi="Calibri" w:cs="Calibri"/>
        </w:rPr>
        <w:t xml:space="preserve">require certain respondents </w:t>
      </w:r>
      <w:r>
        <w:t xml:space="preserve">(Refer to Section 12.a) </w:t>
      </w:r>
      <w:r w:rsidRPr="009F4C15">
        <w:rPr>
          <w:rFonts w:ascii="Calibri" w:hAnsi="Calibri" w:cs="Calibri"/>
        </w:rPr>
        <w:t xml:space="preserve">to conduct quarterly indicator monitoring throughout the permit term for PFAS using </w:t>
      </w:r>
      <w:r w:rsidR="00D85578">
        <w:rPr>
          <w:rFonts w:ascii="Calibri" w:hAnsi="Calibri" w:cs="Calibri"/>
        </w:rPr>
        <w:t xml:space="preserve">EPA’s analytical </w:t>
      </w:r>
      <w:r w:rsidRPr="009F4C15">
        <w:rPr>
          <w:rFonts w:ascii="Calibri" w:hAnsi="Calibri" w:cs="Calibri"/>
        </w:rPr>
        <w:t xml:space="preserve">method 1633. This monitoring would be “report-only” in nature to provide respondents and EPA with a </w:t>
      </w:r>
      <w:r w:rsidRPr="009F4C15">
        <w:rPr>
          <w:rFonts w:ascii="Calibri" w:hAnsi="Calibri" w:cs="Calibri"/>
        </w:rPr>
        <w:t>baseline of industrial stormwater discharge quality, potential water quality problems, and stormwater control measure effectiveness for these respondents.</w:t>
      </w:r>
    </w:p>
    <w:p w:rsidR="00486987" w:rsidP="00435CDF" w14:paraId="2D7E6BA7" w14:textId="3ED45AB4">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15920">
        <w:rPr>
          <w:rFonts w:ascii="Calibri" w:hAnsi="Calibri" w:cs="Calibri"/>
          <w:b/>
          <w:bCs/>
        </w:rPr>
        <w:t>Impaired waters monitoring</w:t>
      </w:r>
      <w:r w:rsidRPr="00317778">
        <w:rPr>
          <w:rFonts w:ascii="Calibri" w:hAnsi="Calibri" w:cs="Calibri"/>
        </w:rPr>
        <w:t>:</w:t>
      </w:r>
      <w:r>
        <w:rPr>
          <w:rFonts w:ascii="Calibri" w:hAnsi="Calibri" w:cs="Calibri"/>
        </w:rPr>
        <w:t xml:space="preserve"> </w:t>
      </w:r>
      <w:r w:rsidRPr="00DF2565" w:rsidR="00DF2565">
        <w:rPr>
          <w:rFonts w:ascii="Calibri" w:hAnsi="Calibri" w:cs="Calibri"/>
        </w:rPr>
        <w:t xml:space="preserve">The 2026 MSGP </w:t>
      </w:r>
      <w:r w:rsidR="0031253B">
        <w:rPr>
          <w:rFonts w:ascii="Calibri" w:hAnsi="Calibri" w:cs="Calibri"/>
        </w:rPr>
        <w:t xml:space="preserve">would </w:t>
      </w:r>
      <w:r w:rsidRPr="00DF2565" w:rsidR="00DF2565">
        <w:rPr>
          <w:rFonts w:ascii="Calibri" w:hAnsi="Calibri" w:cs="Calibri"/>
        </w:rPr>
        <w:t xml:space="preserve">require respondents that discharge to </w:t>
      </w:r>
      <w:r w:rsidR="0034658A">
        <w:rPr>
          <w:rFonts w:ascii="Calibri" w:hAnsi="Calibri" w:cs="Calibri"/>
        </w:rPr>
        <w:t>impaired waters with or without an</w:t>
      </w:r>
      <w:r w:rsidRPr="00DF2565" w:rsidR="00DF2565">
        <w:rPr>
          <w:rFonts w:ascii="Calibri" w:hAnsi="Calibri" w:cs="Calibri"/>
        </w:rPr>
        <w:t xml:space="preserve"> </w:t>
      </w:r>
      <w:r w:rsidR="0034658A">
        <w:rPr>
          <w:rFonts w:ascii="Calibri" w:hAnsi="Calibri" w:cs="Calibri"/>
        </w:rPr>
        <w:t>EPA-</w:t>
      </w:r>
      <w:r w:rsidRPr="00DF2565" w:rsidR="00DF2565">
        <w:rPr>
          <w:rFonts w:ascii="Calibri" w:hAnsi="Calibri" w:cs="Calibri"/>
        </w:rPr>
        <w:t xml:space="preserve">approved </w:t>
      </w:r>
      <w:r w:rsidR="0034658A">
        <w:rPr>
          <w:rFonts w:ascii="Calibri" w:hAnsi="Calibri" w:cs="Calibri"/>
        </w:rPr>
        <w:t>or established</w:t>
      </w:r>
      <w:r w:rsidRPr="00DF2565" w:rsidR="00DF2565">
        <w:rPr>
          <w:rFonts w:ascii="Calibri" w:hAnsi="Calibri" w:cs="Calibri"/>
        </w:rPr>
        <w:t xml:space="preserve"> TMDL to conduct impaired waters monitoring</w:t>
      </w:r>
      <w:r w:rsidR="00642100">
        <w:rPr>
          <w:rFonts w:ascii="Calibri" w:hAnsi="Calibri" w:cs="Calibri"/>
        </w:rPr>
        <w:t xml:space="preserve"> (see 12.a)</w:t>
      </w:r>
      <w:r w:rsidRPr="00DF2565" w:rsidR="00DF2565">
        <w:rPr>
          <w:rFonts w:ascii="Calibri" w:hAnsi="Calibri" w:cs="Calibri"/>
        </w:rPr>
        <w:t>.</w:t>
      </w:r>
      <w:r w:rsidRPr="00115920">
        <w:rPr>
          <w:rFonts w:ascii="Calibri" w:hAnsi="Calibri" w:cs="Calibri"/>
        </w:rPr>
        <w:t xml:space="preserve"> </w:t>
      </w:r>
      <w:r>
        <w:rPr>
          <w:rFonts w:ascii="Calibri" w:hAnsi="Calibri" w:cs="Calibri"/>
        </w:rPr>
        <w:t>The 2021 MSGP require</w:t>
      </w:r>
      <w:r w:rsidR="008710D9">
        <w:rPr>
          <w:rFonts w:ascii="Calibri" w:hAnsi="Calibri" w:cs="Calibri"/>
        </w:rPr>
        <w:t>s</w:t>
      </w:r>
      <w:r>
        <w:rPr>
          <w:rFonts w:ascii="Calibri" w:hAnsi="Calibri" w:cs="Calibri"/>
        </w:rPr>
        <w:t xml:space="preserve"> impaired waters monitoring annually in years one and four. If a pollutant is detected, annual monitoring is required until the pollutant is no longer detected. The 2026 MSGP </w:t>
      </w:r>
      <w:r w:rsidR="00316D84">
        <w:rPr>
          <w:rFonts w:ascii="Calibri" w:hAnsi="Calibri" w:cs="Calibri"/>
        </w:rPr>
        <w:t xml:space="preserve">would </w:t>
      </w:r>
      <w:r>
        <w:rPr>
          <w:rFonts w:ascii="Calibri" w:hAnsi="Calibri" w:cs="Calibri"/>
        </w:rPr>
        <w:t xml:space="preserve">require quarterly monitoring </w:t>
      </w:r>
      <w:r w:rsidR="000B6338">
        <w:rPr>
          <w:rFonts w:ascii="Calibri" w:hAnsi="Calibri" w:cs="Calibri"/>
        </w:rPr>
        <w:t>all years of the</w:t>
      </w:r>
      <w:r>
        <w:rPr>
          <w:rFonts w:ascii="Calibri" w:hAnsi="Calibri" w:cs="Calibri"/>
        </w:rPr>
        <w:t xml:space="preserve"> permit term. If there is a detection,</w:t>
      </w:r>
      <w:r w:rsidR="001A73D4">
        <w:rPr>
          <w:rFonts w:ascii="Calibri" w:hAnsi="Calibri" w:cs="Calibri"/>
        </w:rPr>
        <w:t xml:space="preserve"> AIM Level 1 is triggered</w:t>
      </w:r>
      <w:r>
        <w:rPr>
          <w:rFonts w:ascii="Calibri" w:hAnsi="Calibri" w:cs="Calibri"/>
        </w:rPr>
        <w:t>.</w:t>
      </w:r>
      <w:r w:rsidR="00AA2A37">
        <w:rPr>
          <w:rFonts w:ascii="Calibri" w:hAnsi="Calibri" w:cs="Calibri"/>
        </w:rPr>
        <w:t xml:space="preserve"> </w:t>
      </w:r>
      <w:r w:rsidR="000E035E">
        <w:rPr>
          <w:rFonts w:ascii="Calibri" w:hAnsi="Calibri" w:cs="Calibri"/>
        </w:rPr>
        <w:t>A</w:t>
      </w:r>
      <w:r w:rsidR="00AA2A37">
        <w:rPr>
          <w:rFonts w:ascii="Calibri" w:hAnsi="Calibri" w:cs="Calibri"/>
        </w:rPr>
        <w:t xml:space="preserve"> few exceptions </w:t>
      </w:r>
      <w:r w:rsidR="000E035E">
        <w:rPr>
          <w:rFonts w:ascii="Calibri" w:hAnsi="Calibri" w:cs="Calibri"/>
        </w:rPr>
        <w:t xml:space="preserve">would be </w:t>
      </w:r>
      <w:r w:rsidR="00AA2A37">
        <w:rPr>
          <w:rFonts w:ascii="Calibri" w:hAnsi="Calibri" w:cs="Calibri"/>
        </w:rPr>
        <w:t>included in the 2026 MSGP.</w:t>
      </w:r>
    </w:p>
    <w:p w:rsidR="00486987" w:rsidRPr="00435CDF" w:rsidP="00435CDF" w14:paraId="79D3CAD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435CDF">
        <w:rPr>
          <w:rFonts w:ascii="Calibri" w:hAnsi="Calibri" w:cs="Calibri"/>
          <w:b/>
        </w:rPr>
        <w:t xml:space="preserve">Corrective Action/Additional Implementation Measure Documentation </w:t>
      </w:r>
    </w:p>
    <w:p w:rsidR="00C0756F" w:rsidP="00435CDF" w14:paraId="1AE26961" w14:textId="64009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The</w:t>
      </w:r>
      <w:r w:rsidRPr="001E010D">
        <w:t xml:space="preserve"> </w:t>
      </w:r>
      <w:r>
        <w:t>2026 MSGP</w:t>
      </w:r>
      <w:r w:rsidRPr="001E010D">
        <w:t xml:space="preserve"> </w:t>
      </w:r>
      <w:r w:rsidR="000E035E">
        <w:t xml:space="preserve">would </w:t>
      </w:r>
      <w:r w:rsidRPr="001E010D">
        <w:t xml:space="preserve">require the </w:t>
      </w:r>
      <w:r>
        <w:t>reporting</w:t>
      </w:r>
      <w:r w:rsidRPr="001E010D">
        <w:t xml:space="preserve"> of any corrective action condition</w:t>
      </w:r>
      <w:r>
        <w:t xml:space="preserve"> from all AIM responses within 30 days to MSGP-NeT. This applies to both benchmark monitoring and impaired waters monitoring</w:t>
      </w:r>
      <w:r w:rsidR="001A73D4">
        <w:t xml:space="preserve">. </w:t>
      </w:r>
      <w:r w:rsidR="004E7975">
        <w:t xml:space="preserve">The </w:t>
      </w:r>
      <w:r>
        <w:t xml:space="preserve">AIM corrective action burden </w:t>
      </w:r>
      <w:r w:rsidR="00C10B34">
        <w:t xml:space="preserve">includes </w:t>
      </w:r>
      <w:r>
        <w:t>both</w:t>
      </w:r>
      <w:r w:rsidR="003C758A">
        <w:t xml:space="preserve"> recordkeeping and reporting burden. </w:t>
      </w:r>
      <w:r w:rsidR="00901384">
        <w:t>The recordkeeping burden includes</w:t>
      </w:r>
      <w:r>
        <w:t xml:space="preserve"> documentation in the SWPPP</w:t>
      </w:r>
      <w:r w:rsidR="00A65FF6">
        <w:t xml:space="preserve"> </w:t>
      </w:r>
      <w:r w:rsidR="00601B43">
        <w:t>which is</w:t>
      </w:r>
      <w:r w:rsidR="004C5F8D">
        <w:t xml:space="preserve"> </w:t>
      </w:r>
      <w:r w:rsidR="001E5C15">
        <w:t xml:space="preserve">described </w:t>
      </w:r>
      <w:r w:rsidR="00901384">
        <w:t xml:space="preserve">and captured </w:t>
      </w:r>
      <w:r w:rsidR="001E5C15">
        <w:t>above</w:t>
      </w:r>
      <w:r w:rsidR="00A65FF6">
        <w:t xml:space="preserve"> in the SWPPP sectio</w:t>
      </w:r>
      <w:r w:rsidR="00901384">
        <w:t xml:space="preserve">n. </w:t>
      </w:r>
      <w:r w:rsidR="006425D0">
        <w:t xml:space="preserve">EPA expects the reporting burden to increase because of the new requirement to </w:t>
      </w:r>
      <w:r>
        <w:t>report</w:t>
      </w:r>
      <w:r w:rsidR="006425D0">
        <w:t xml:space="preserve"> all corrective actions</w:t>
      </w:r>
      <w:r>
        <w:t xml:space="preserve"> </w:t>
      </w:r>
      <w:r w:rsidR="003103EE">
        <w:t>in</w:t>
      </w:r>
      <w:r w:rsidR="00D73048">
        <w:t xml:space="preserve"> MSGP-NeT</w:t>
      </w:r>
      <w:r w:rsidR="003C714A">
        <w:t>.</w:t>
      </w:r>
      <w:r w:rsidR="00D73048">
        <w:t xml:space="preserve"> </w:t>
      </w:r>
    </w:p>
    <w:p w:rsidR="00C0756F" w:rsidP="00435CDF" w14:paraId="1880C3B1" w14:textId="49B6D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 xml:space="preserve">The 2026 MSGP </w:t>
      </w:r>
      <w:r w:rsidR="000E035E">
        <w:t xml:space="preserve">would </w:t>
      </w:r>
      <w:r w:rsidR="00D73048">
        <w:t xml:space="preserve">also </w:t>
      </w:r>
      <w:r>
        <w:t>include a</w:t>
      </w:r>
      <w:r w:rsidR="00D73048">
        <w:t xml:space="preserve"> new </w:t>
      </w:r>
      <w:r>
        <w:t xml:space="preserve">inspection when AIM Level 1 is triggered. The results of this inspection are to be reported to EPA through </w:t>
      </w:r>
      <w:r w:rsidR="00D73048">
        <w:t>MSGP-</w:t>
      </w:r>
      <w:r>
        <w:t>NeT.</w:t>
      </w:r>
      <w:r w:rsidRPr="001E010D">
        <w:t xml:space="preserve"> </w:t>
      </w:r>
      <w:r>
        <w:t>EPA expects there to be a change to the reporting burden associated with this new AIM Level 1 inspection item.</w:t>
      </w:r>
    </w:p>
    <w:p w:rsidR="00E36FE2" w:rsidRPr="00435CDF" w:rsidP="00435CDF" w14:paraId="09218C6E" w14:textId="3B1F1DE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435CDF">
        <w:rPr>
          <w:rFonts w:ascii="Calibri" w:hAnsi="Calibri" w:cs="Calibri"/>
        </w:rPr>
        <w:t>AIM Level 1</w:t>
      </w:r>
      <w:r w:rsidRPr="00435CDF" w:rsidR="00486987">
        <w:rPr>
          <w:rFonts w:ascii="Calibri" w:hAnsi="Calibri" w:cs="Calibri"/>
        </w:rPr>
        <w:t xml:space="preserve"> </w:t>
      </w:r>
      <w:r w:rsidRPr="00435CDF">
        <w:rPr>
          <w:rFonts w:ascii="Calibri" w:hAnsi="Calibri" w:cs="Calibri"/>
        </w:rPr>
        <w:t>will be</w:t>
      </w:r>
      <w:r w:rsidRPr="00435CDF" w:rsidR="00486987">
        <w:rPr>
          <w:rFonts w:ascii="Calibri" w:hAnsi="Calibri" w:cs="Calibri"/>
        </w:rPr>
        <w:t xml:space="preserve"> triggered by benchmark monitoring exceedances</w:t>
      </w:r>
      <w:r w:rsidRPr="00435CDF">
        <w:rPr>
          <w:rFonts w:ascii="Calibri" w:hAnsi="Calibri" w:cs="Calibri"/>
        </w:rPr>
        <w:t xml:space="preserve"> or impaired waters monitoring detections</w:t>
      </w:r>
      <w:r w:rsidRPr="00435CDF" w:rsidR="00C365DF">
        <w:rPr>
          <w:rFonts w:ascii="Calibri" w:hAnsi="Calibri" w:cs="Calibri"/>
        </w:rPr>
        <w:t>,</w:t>
      </w:r>
      <w:r w:rsidRPr="00435CDF" w:rsidR="00486987">
        <w:rPr>
          <w:rFonts w:ascii="Calibri" w:hAnsi="Calibri" w:cs="Calibri"/>
        </w:rPr>
        <w:t xml:space="preserve"> as such there is no set schedule </w:t>
      </w:r>
      <w:r w:rsidR="008060B3">
        <w:rPr>
          <w:rFonts w:ascii="Calibri" w:hAnsi="Calibri" w:cs="Calibri"/>
        </w:rPr>
        <w:t>for when this reporting and documentation would occur under</w:t>
      </w:r>
      <w:r w:rsidRPr="00435CDF" w:rsidR="00486987">
        <w:rPr>
          <w:rFonts w:ascii="Calibri" w:hAnsi="Calibri" w:cs="Calibri"/>
        </w:rPr>
        <w:t xml:space="preserve"> the permit.</w:t>
      </w:r>
    </w:p>
    <w:p w:rsidR="00CB3CA5" w:rsidP="006F2883" w14:paraId="4C506D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CB3CA5">
        <w:rPr>
          <w:rFonts w:ascii="Calibri" w:hAnsi="Calibri" w:cs="Calibri"/>
          <w:b/>
        </w:rPr>
        <w:t>Construction General Permit Requirements for Mining Sectors</w:t>
      </w:r>
    </w:p>
    <w:p w:rsidR="0045615B" w:rsidRPr="006F2883" w:rsidP="00F50073" w14:paraId="00C43A1C" w14:textId="54561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Cs/>
        </w:rPr>
      </w:pPr>
      <w:r>
        <w:rPr>
          <w:rFonts w:ascii="Calibri" w:hAnsi="Calibri" w:cs="Calibri"/>
          <w:bCs/>
        </w:rPr>
        <w:t xml:space="preserve">The 2026 MSGP </w:t>
      </w:r>
      <w:r w:rsidR="000E035E">
        <w:rPr>
          <w:rFonts w:ascii="Calibri" w:hAnsi="Calibri" w:cs="Calibri"/>
          <w:bCs/>
        </w:rPr>
        <w:t xml:space="preserve">would </w:t>
      </w:r>
      <w:r>
        <w:rPr>
          <w:rFonts w:ascii="Calibri" w:hAnsi="Calibri" w:cs="Calibri"/>
          <w:bCs/>
        </w:rPr>
        <w:t xml:space="preserve">include </w:t>
      </w:r>
      <w:r w:rsidR="00FF4AE0">
        <w:rPr>
          <w:rFonts w:ascii="Calibri" w:hAnsi="Calibri" w:cs="Calibri"/>
          <w:bCs/>
        </w:rPr>
        <w:t>new requirements for mining sectors G, H, and J</w:t>
      </w:r>
      <w:r w:rsidR="007F553B">
        <w:rPr>
          <w:rFonts w:ascii="Calibri" w:hAnsi="Calibri" w:cs="Calibri"/>
          <w:bCs/>
        </w:rPr>
        <w:t>:</w:t>
      </w:r>
    </w:p>
    <w:p w:rsidR="00AB12C4" w:rsidRPr="008E22C6" w:rsidP="001E0F01" w14:paraId="62A9C6DB" w14:textId="56545FB8">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rsidRPr="006F2883">
        <w:rPr>
          <w:b/>
        </w:rPr>
        <w:t>Dewatering Inspection Reports and Corrective Action Documentation</w:t>
      </w:r>
      <w:r w:rsidR="00057782">
        <w:rPr>
          <w:b/>
        </w:rPr>
        <w:t>.</w:t>
      </w:r>
      <w:r>
        <w:rPr>
          <w:bCs/>
        </w:rPr>
        <w:t xml:space="preserve"> </w:t>
      </w:r>
      <w:r w:rsidRPr="00081DDC" w:rsidR="00FF4AE0">
        <w:rPr>
          <w:bCs/>
        </w:rPr>
        <w:t xml:space="preserve">As part of the inspection, operators </w:t>
      </w:r>
      <w:r w:rsidR="00E129FA">
        <w:rPr>
          <w:bCs/>
        </w:rPr>
        <w:t>would need to</w:t>
      </w:r>
      <w:r w:rsidRPr="00081DDC" w:rsidR="00FF4AE0">
        <w:rPr>
          <w:bCs/>
        </w:rPr>
        <w:t xml:space="preserve"> record the following information: dewatering discharge start and end times; estimated rate of discharge on the day of inspection (gallons per day); visual observations about the quality of the discharge; and photographs of the dewatering water before and after treatment, of the control method, and of the discharge point. Similar to site inspections, operators who observe a sediment plume, sheen, and/or other evidence of pollutants at the point of discharge to receiving waters or other drainage features </w:t>
      </w:r>
      <w:r w:rsidR="00E129FA">
        <w:rPr>
          <w:bCs/>
        </w:rPr>
        <w:t>would be</w:t>
      </w:r>
      <w:r w:rsidRPr="00081DDC" w:rsidR="00E129FA">
        <w:rPr>
          <w:bCs/>
        </w:rPr>
        <w:t xml:space="preserve"> </w:t>
      </w:r>
      <w:r w:rsidRPr="00081DDC" w:rsidR="00FF4AE0">
        <w:rPr>
          <w:bCs/>
        </w:rPr>
        <w:t>required to take and document corrective actions as outlined in the permit. All inspection reports may be prepared, signed, and kept electronically, rather than in paper form provided certain conditions are met.</w:t>
      </w:r>
    </w:p>
    <w:p w:rsidR="0015711A" w:rsidRPr="008E22C6" w:rsidP="0015711A" w14:paraId="3BA92AC1" w14:textId="5F932FDE">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rsidRPr="00970F73">
        <w:rPr>
          <w:b/>
        </w:rPr>
        <w:t>Turbidity Benchmark Monitoring for Sites Discharging Dewatering Water to Protect the Water Quality of Sensitive Waters</w:t>
      </w:r>
      <w:r w:rsidR="00057782">
        <w:rPr>
          <w:b/>
        </w:rPr>
        <w:t>.</w:t>
      </w:r>
      <w:r w:rsidR="00CB3CA5">
        <w:rPr>
          <w:rFonts w:ascii="Calibri" w:hAnsi="Calibri" w:cs="Calibri"/>
          <w:b/>
        </w:rPr>
        <w:t xml:space="preserve"> </w:t>
      </w:r>
      <w:r w:rsidRPr="006F2883" w:rsidR="00CB3CA5">
        <w:rPr>
          <w:rFonts w:ascii="Calibri" w:hAnsi="Calibri" w:cs="Calibri"/>
          <w:bCs/>
        </w:rPr>
        <w:t>EPA</w:t>
      </w:r>
      <w:r w:rsidR="00E129FA">
        <w:rPr>
          <w:rFonts w:ascii="Calibri" w:hAnsi="Calibri" w:cs="Calibri"/>
          <w:bCs/>
        </w:rPr>
        <w:t xml:space="preserve"> would</w:t>
      </w:r>
      <w:r w:rsidRPr="006F2883" w:rsidR="00CB3CA5">
        <w:rPr>
          <w:rFonts w:ascii="Calibri" w:hAnsi="Calibri" w:cs="Calibri"/>
          <w:bCs/>
        </w:rPr>
        <w:t xml:space="preserve"> require operators to collect at least one sample per day while dewatering discharges occur and report the weekly average value on a quarterly basis via </w:t>
      </w:r>
      <w:r w:rsidR="00886FA4">
        <w:rPr>
          <w:rFonts w:ascii="Calibri" w:hAnsi="Calibri" w:cs="Calibri"/>
          <w:bCs/>
        </w:rPr>
        <w:t>electronic reporting</w:t>
      </w:r>
      <w:r w:rsidRPr="006F2883" w:rsidR="00CB3CA5">
        <w:rPr>
          <w:rFonts w:ascii="Calibri" w:hAnsi="Calibri" w:cs="Calibri"/>
          <w:bCs/>
        </w:rPr>
        <w:t>, unless granted a waiver to submit a paper form. Operators with weekly average results exceeding the standard 50 nephelometric turbidity unit (NTU) benchmark, or alternative benchmark when applicable, are required to take and document corrective actions as outlined in the permit.</w:t>
      </w:r>
    </w:p>
    <w:p w:rsidR="0015711A" w:rsidP="008E22C6" w14:paraId="1182454C" w14:textId="4248C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sidRPr="00030A56">
        <w:rPr>
          <w:b/>
        </w:rPr>
        <w:t>Discharges to a Federal CERCLA Site</w:t>
      </w:r>
    </w:p>
    <w:p w:rsidR="0015711A" w:rsidRPr="008E22C6" w:rsidP="008E22C6" w14:paraId="73761FB7" w14:textId="745E6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t xml:space="preserve">In the 2026 MSGP, </w:t>
      </w:r>
      <w:r w:rsidR="00C74A72">
        <w:t xml:space="preserve">EPA </w:t>
      </w:r>
      <w:r>
        <w:t xml:space="preserve">would </w:t>
      </w:r>
      <w:r w:rsidR="00C74A72">
        <w:t>require submissions to be made to NeT-MSGP for facilities that discharge to a CER</w:t>
      </w:r>
      <w:r w:rsidR="00FC1CF8">
        <w:t>C</w:t>
      </w:r>
      <w:r w:rsidR="00C74A72">
        <w:t xml:space="preserve">LA site in Regions 1 and 10. </w:t>
      </w:r>
      <w:r w:rsidR="00844BBF">
        <w:t xml:space="preserve">Applicable </w:t>
      </w:r>
      <w:r w:rsidR="00982717">
        <w:t xml:space="preserve">discharges in EPA </w:t>
      </w:r>
      <w:r w:rsidR="00617268">
        <w:t>Region 10 already had this requirement</w:t>
      </w:r>
      <w:r w:rsidR="000B2BAA">
        <w:t xml:space="preserve">, but EPA would now also include </w:t>
      </w:r>
      <w:r w:rsidR="00982717">
        <w:t xml:space="preserve">applicable </w:t>
      </w:r>
      <w:r w:rsidR="00C74A72">
        <w:t xml:space="preserve">discharges in </w:t>
      </w:r>
      <w:r w:rsidR="00982717">
        <w:t xml:space="preserve">EPA </w:t>
      </w:r>
      <w:r w:rsidR="00C74A72">
        <w:t xml:space="preserve">Region 1. This CERCLA </w:t>
      </w:r>
      <w:r w:rsidRPr="00342CED" w:rsidR="00C74A72">
        <w:t>require</w:t>
      </w:r>
      <w:r w:rsidR="00C74A72">
        <w:t xml:space="preserve">ment </w:t>
      </w:r>
      <w:r w:rsidR="00FE69E8">
        <w:t xml:space="preserve">in the 2026 MSGP would </w:t>
      </w:r>
      <w:r w:rsidR="00C74A72">
        <w:t>instruct</w:t>
      </w:r>
      <w:r w:rsidRPr="00342CED" w:rsidR="00C74A72">
        <w:t xml:space="preserve"> </w:t>
      </w:r>
      <w:r w:rsidR="00C74A72">
        <w:t>respondents</w:t>
      </w:r>
      <w:r w:rsidRPr="00342CED" w:rsidR="00C74A72">
        <w:t xml:space="preserve"> from Region 1 to </w:t>
      </w:r>
      <w:r w:rsidR="000F490C">
        <w:t>notify</w:t>
      </w:r>
      <w:r w:rsidRPr="00342CED" w:rsidR="00C74A72">
        <w:t xml:space="preserve"> </w:t>
      </w:r>
      <w:r w:rsidR="00C74A72">
        <w:t>EPA prior to applying for MSGP coverage if discharging to a</w:t>
      </w:r>
      <w:r w:rsidRPr="00342CED" w:rsidR="00C74A72">
        <w:t xml:space="preserve"> CER</w:t>
      </w:r>
      <w:r w:rsidR="00982717">
        <w:t>C</w:t>
      </w:r>
      <w:r w:rsidRPr="00342CED" w:rsidR="00C74A72">
        <w:t>LA site</w:t>
      </w:r>
      <w:r w:rsidR="00C74A72">
        <w:t>.</w:t>
      </w:r>
      <w:r w:rsidR="00E01DFD">
        <w:t xml:space="preserve"> </w:t>
      </w:r>
      <w:r w:rsidR="00967B10">
        <w:rPr>
          <w:rFonts w:ascii="Calibri" w:hAnsi="Calibri" w:cs="Calibri"/>
        </w:rPr>
        <w:t>I</w:t>
      </w:r>
      <w:r w:rsidR="003C20CC">
        <w:rPr>
          <w:rFonts w:ascii="Calibri" w:hAnsi="Calibri" w:cs="Calibri"/>
        </w:rPr>
        <w:t>n t</w:t>
      </w:r>
      <w:r w:rsidRPr="00901BD3" w:rsidR="00E01DFD">
        <w:rPr>
          <w:rFonts w:ascii="Calibri" w:hAnsi="Calibri" w:cs="Calibri"/>
        </w:rPr>
        <w:t>he 2021 MSGP ICR</w:t>
      </w:r>
      <w:r w:rsidR="00A45746">
        <w:rPr>
          <w:rFonts w:ascii="Calibri" w:hAnsi="Calibri" w:cs="Calibri"/>
        </w:rPr>
        <w:t>,</w:t>
      </w:r>
      <w:r w:rsidR="003C20CC">
        <w:rPr>
          <w:rFonts w:ascii="Calibri" w:hAnsi="Calibri" w:cs="Calibri"/>
        </w:rPr>
        <w:t xml:space="preserve"> EPA </w:t>
      </w:r>
      <w:r w:rsidR="00344FB1">
        <w:rPr>
          <w:rFonts w:ascii="Calibri" w:hAnsi="Calibri" w:cs="Calibri"/>
        </w:rPr>
        <w:t>assumed</w:t>
      </w:r>
      <w:r w:rsidRPr="00901BD3" w:rsidR="00344FB1">
        <w:rPr>
          <w:rFonts w:ascii="Calibri" w:hAnsi="Calibri" w:cs="Calibri"/>
        </w:rPr>
        <w:t xml:space="preserve"> </w:t>
      </w:r>
      <w:r w:rsidRPr="00901BD3" w:rsidR="00E01DFD">
        <w:rPr>
          <w:rFonts w:ascii="Calibri" w:hAnsi="Calibri" w:cs="Calibri"/>
        </w:rPr>
        <w:t xml:space="preserve">10 respondents </w:t>
      </w:r>
      <w:r w:rsidR="0042721F">
        <w:rPr>
          <w:rFonts w:ascii="Calibri" w:hAnsi="Calibri" w:cs="Calibri"/>
        </w:rPr>
        <w:t xml:space="preserve">in EPA Region 10 </w:t>
      </w:r>
      <w:r w:rsidR="00344FB1">
        <w:rPr>
          <w:rFonts w:ascii="Calibri" w:hAnsi="Calibri" w:cs="Calibri"/>
        </w:rPr>
        <w:t>would</w:t>
      </w:r>
      <w:r w:rsidRPr="00901BD3" w:rsidR="00344FB1">
        <w:rPr>
          <w:rFonts w:ascii="Calibri" w:hAnsi="Calibri" w:cs="Calibri"/>
        </w:rPr>
        <w:t xml:space="preserve"> </w:t>
      </w:r>
      <w:r w:rsidRPr="00901BD3" w:rsidR="00E01DFD">
        <w:rPr>
          <w:rFonts w:ascii="Calibri" w:hAnsi="Calibri" w:cs="Calibri"/>
        </w:rPr>
        <w:t>be subject to Federal CERCLA site discharge eligibility requirements</w:t>
      </w:r>
      <w:r w:rsidR="00D85578">
        <w:rPr>
          <w:rFonts w:ascii="Calibri" w:hAnsi="Calibri" w:cs="Calibri"/>
        </w:rPr>
        <w:t>.</w:t>
      </w:r>
      <w:r w:rsidRPr="00901BD3" w:rsidR="00E01DFD">
        <w:rPr>
          <w:rFonts w:ascii="Calibri" w:hAnsi="Calibri" w:cs="Calibri"/>
        </w:rPr>
        <w:t xml:space="preserve"> </w:t>
      </w:r>
      <w:r w:rsidR="00D85578">
        <w:rPr>
          <w:rFonts w:ascii="Calibri" w:hAnsi="Calibri" w:cs="Calibri"/>
        </w:rPr>
        <w:t>H</w:t>
      </w:r>
      <w:r w:rsidRPr="00901BD3" w:rsidR="00E01DFD">
        <w:rPr>
          <w:rFonts w:ascii="Calibri" w:hAnsi="Calibri" w:cs="Calibri"/>
        </w:rPr>
        <w:t xml:space="preserve">owever there was only 1 facility in Region 10 that discharged to a CERCLA site during the 2021 MSGP permit term. </w:t>
      </w:r>
      <w:r w:rsidR="00914B81">
        <w:rPr>
          <w:rFonts w:ascii="Calibri" w:hAnsi="Calibri" w:cs="Calibri"/>
        </w:rPr>
        <w:t xml:space="preserve">EPA assumes there may be a similar ratio of facilities discharging to CERCLA sites in Region 1. There are </w:t>
      </w:r>
      <w:r w:rsidR="00CA6083">
        <w:rPr>
          <w:rFonts w:ascii="Calibri" w:hAnsi="Calibri" w:cs="Calibri"/>
        </w:rPr>
        <w:t xml:space="preserve">currently 35 </w:t>
      </w:r>
      <w:r w:rsidR="005455B1">
        <w:rPr>
          <w:rFonts w:ascii="Calibri" w:hAnsi="Calibri" w:cs="Calibri"/>
        </w:rPr>
        <w:t>CERCLA sites in Region 1 (per Appendix L of the proposed 2026 MSG</w:t>
      </w:r>
      <w:r w:rsidR="00DF686C">
        <w:rPr>
          <w:rFonts w:ascii="Calibri" w:hAnsi="Calibri" w:cs="Calibri"/>
        </w:rPr>
        <w:t>P</w:t>
      </w:r>
      <w:r w:rsidR="005455B1">
        <w:rPr>
          <w:rFonts w:ascii="Calibri" w:hAnsi="Calibri" w:cs="Calibri"/>
        </w:rPr>
        <w:t xml:space="preserve">), therefore EPA assumes that 3.5 facilities may discharge to a CERCLA site in Region 1. </w:t>
      </w:r>
      <w:r w:rsidR="00DF686C">
        <w:rPr>
          <w:rFonts w:ascii="Calibri" w:hAnsi="Calibri" w:cs="Calibri"/>
        </w:rPr>
        <w:t>Ultimately,</w:t>
      </w:r>
      <w:r w:rsidRPr="00901BD3" w:rsidR="00E01DFD">
        <w:rPr>
          <w:rFonts w:ascii="Calibri" w:hAnsi="Calibri" w:cs="Calibri"/>
        </w:rPr>
        <w:t xml:space="preserve"> the Agency determined that the burden </w:t>
      </w:r>
      <w:r w:rsidR="00B00910">
        <w:rPr>
          <w:rFonts w:ascii="Calibri" w:hAnsi="Calibri" w:cs="Calibri"/>
        </w:rPr>
        <w:t xml:space="preserve">does not need to be added to this ICR </w:t>
      </w:r>
      <w:r w:rsidR="00DF686C">
        <w:rPr>
          <w:rFonts w:ascii="Calibri" w:hAnsi="Calibri" w:cs="Calibri"/>
        </w:rPr>
        <w:t>because the burden</w:t>
      </w:r>
      <w:r w:rsidR="00B00910">
        <w:rPr>
          <w:rFonts w:ascii="Calibri" w:hAnsi="Calibri" w:cs="Calibri"/>
        </w:rPr>
        <w:t xml:space="preserve"> </w:t>
      </w:r>
      <w:r w:rsidR="001309C4">
        <w:rPr>
          <w:rFonts w:ascii="Calibri" w:hAnsi="Calibri" w:cs="Calibri"/>
        </w:rPr>
        <w:t xml:space="preserve">was </w:t>
      </w:r>
      <w:r w:rsidRPr="00901BD3" w:rsidR="00E01DFD">
        <w:rPr>
          <w:rFonts w:ascii="Calibri" w:hAnsi="Calibri" w:cs="Calibri"/>
        </w:rPr>
        <w:t>over-estimat</w:t>
      </w:r>
      <w:r w:rsidR="00DF686C">
        <w:rPr>
          <w:rFonts w:ascii="Calibri" w:hAnsi="Calibri" w:cs="Calibri"/>
        </w:rPr>
        <w:t>ed</w:t>
      </w:r>
      <w:r w:rsidRPr="00901BD3" w:rsidR="00E01DFD">
        <w:rPr>
          <w:rFonts w:ascii="Calibri" w:hAnsi="Calibri" w:cs="Calibri"/>
        </w:rPr>
        <w:t xml:space="preserve"> in the 2021 MSGP ICR</w:t>
      </w:r>
      <w:r w:rsidR="00B71227">
        <w:rPr>
          <w:rFonts w:ascii="Calibri" w:hAnsi="Calibri" w:cs="Calibri"/>
        </w:rPr>
        <w:t>.</w:t>
      </w:r>
    </w:p>
    <w:p w:rsidR="00D92ED6" w:rsidP="00366777" w14:paraId="0B6BE1C2" w14:textId="3F49A8F0">
      <w:pPr>
        <w:pStyle w:val="Heading2"/>
        <w:spacing w:after="240"/>
      </w:pPr>
      <w:r w:rsidRPr="00163C69">
        <w:t xml:space="preserve">12d. Respondent </w:t>
      </w:r>
      <w:r w:rsidRPr="00163C69" w:rsidR="00BB2B15">
        <w:t xml:space="preserve">Burden </w:t>
      </w:r>
      <w:r w:rsidRPr="00163C69" w:rsidR="00B666CD">
        <w:t>Hour</w:t>
      </w:r>
      <w:r w:rsidRPr="00163C69" w:rsidR="00BB2B15">
        <w:t>s</w:t>
      </w:r>
      <w:r w:rsidRPr="00163C69" w:rsidR="00B666CD">
        <w:t xml:space="preserve"> and Labor </w:t>
      </w:r>
      <w:bookmarkEnd w:id="18"/>
      <w:r w:rsidRPr="00163C69" w:rsidR="00BB2B15">
        <w:t>Costs</w:t>
      </w:r>
    </w:p>
    <w:p w:rsidR="000F2423" w:rsidP="4620F3F3" w14:paraId="033A6B30" w14:textId="77777777">
      <w:pPr>
        <w:spacing w:after="0" w:line="240" w:lineRule="auto"/>
        <w:contextualSpacing/>
        <w:rPr>
          <w:rFonts w:ascii="Calibri" w:hAnsi="Calibri" w:cs="Calibri"/>
          <w:b/>
          <w:bCs/>
        </w:rPr>
      </w:pPr>
      <w:r w:rsidRPr="4620F3F3">
        <w:rPr>
          <w:rFonts w:ascii="Calibri" w:hAnsi="Calibri" w:cs="Calibri"/>
          <w:b/>
          <w:bCs/>
        </w:rPr>
        <w:t>Key Assumptions:</w:t>
      </w:r>
    </w:p>
    <w:p w:rsidR="000F2423" w:rsidP="00E2329D" w14:paraId="732EBE71" w14:textId="59A0BABB">
      <w:pPr>
        <w:pStyle w:val="paragraph"/>
        <w:numPr>
          <w:ilvl w:val="0"/>
          <w:numId w:val="49"/>
        </w:numPr>
        <w:spacing w:before="0" w:beforeAutospacing="0"/>
        <w:contextualSpacing/>
        <w:textAlignment w:val="baseline"/>
        <w:rPr>
          <w:rStyle w:val="eop"/>
          <w:rFonts w:ascii="Calibri" w:hAnsi="Calibri" w:eastAsiaTheme="majorEastAsia" w:cs="Calibri"/>
          <w:sz w:val="22"/>
          <w:szCs w:val="22"/>
        </w:rPr>
      </w:pPr>
      <w:r>
        <w:rPr>
          <w:rStyle w:val="normaltextrun"/>
          <w:rFonts w:ascii="Calibri" w:hAnsi="Calibri" w:cs="Calibri"/>
          <w:b/>
          <w:bCs/>
          <w:sz w:val="22"/>
          <w:szCs w:val="22"/>
        </w:rPr>
        <w:t xml:space="preserve">Not all </w:t>
      </w:r>
      <w:r w:rsidR="008653FC">
        <w:rPr>
          <w:rStyle w:val="normaltextrun"/>
          <w:rFonts w:ascii="Calibri" w:hAnsi="Calibri" w:cs="Calibri"/>
          <w:b/>
          <w:bCs/>
          <w:sz w:val="22"/>
          <w:szCs w:val="22"/>
        </w:rPr>
        <w:t xml:space="preserve">proposed </w:t>
      </w:r>
      <w:r>
        <w:rPr>
          <w:rStyle w:val="normaltextrun"/>
          <w:rFonts w:ascii="Calibri" w:hAnsi="Calibri" w:cs="Calibri"/>
          <w:b/>
          <w:bCs/>
          <w:sz w:val="22"/>
          <w:szCs w:val="22"/>
        </w:rPr>
        <w:t>requirements apply to all respondents </w:t>
      </w:r>
      <w:r w:rsidR="000108EB">
        <w:rPr>
          <w:rStyle w:val="normaltextrun"/>
          <w:rFonts w:ascii="Calibri" w:hAnsi="Calibri" w:cs="Calibri"/>
          <w:b/>
          <w:bCs/>
          <w:sz w:val="22"/>
          <w:szCs w:val="22"/>
        </w:rPr>
        <w:t>all</w:t>
      </w:r>
      <w:r>
        <w:rPr>
          <w:rStyle w:val="normaltextrun"/>
          <w:rFonts w:ascii="Calibri" w:hAnsi="Calibri" w:cs="Calibri"/>
          <w:b/>
          <w:bCs/>
          <w:sz w:val="22"/>
          <w:szCs w:val="22"/>
        </w:rPr>
        <w:t> </w:t>
      </w:r>
      <w:r w:rsidR="000108EB">
        <w:rPr>
          <w:rStyle w:val="normaltextrun"/>
          <w:rFonts w:ascii="Calibri" w:hAnsi="Calibri" w:cs="Calibri"/>
          <w:b/>
          <w:bCs/>
          <w:sz w:val="22"/>
          <w:szCs w:val="22"/>
        </w:rPr>
        <w:t xml:space="preserve">of </w:t>
      </w:r>
      <w:r>
        <w:rPr>
          <w:rStyle w:val="normaltextrun"/>
          <w:rFonts w:ascii="Calibri" w:hAnsi="Calibri" w:cs="Calibri"/>
          <w:b/>
          <w:bCs/>
          <w:sz w:val="22"/>
          <w:szCs w:val="22"/>
        </w:rPr>
        <w:t>the time.</w:t>
      </w:r>
      <w:r>
        <w:rPr>
          <w:rStyle w:val="normaltextrun"/>
          <w:rFonts w:ascii="Calibri" w:hAnsi="Calibri" w:cs="Calibri"/>
          <w:sz w:val="22"/>
          <w:szCs w:val="22"/>
        </w:rPr>
        <w:t xml:space="preserve"> For example, certain sectors will have three applicable monitoring requirements (i.e., benchmark monitoring, impaired waters monitoring, and effluent limitations monitoring), while others may only have indicator monitoring. These nuances for each </w:t>
      </w:r>
      <w:r w:rsidR="008451B1">
        <w:rPr>
          <w:rStyle w:val="normaltextrun"/>
          <w:rFonts w:ascii="Calibri" w:hAnsi="Calibri" w:cs="Calibri"/>
          <w:sz w:val="22"/>
          <w:szCs w:val="22"/>
        </w:rPr>
        <w:t>proposed</w:t>
      </w:r>
      <w:r>
        <w:rPr>
          <w:rStyle w:val="normaltextrun"/>
          <w:rFonts w:ascii="Calibri" w:hAnsi="Calibri" w:cs="Calibri"/>
          <w:sz w:val="22"/>
          <w:szCs w:val="22"/>
        </w:rPr>
        <w:t xml:space="preserve"> 2026 MSGP requirement are not necessarily clear in an average information collection burden cost estimate.</w:t>
      </w:r>
      <w:r>
        <w:rPr>
          <w:rStyle w:val="eop"/>
          <w:rFonts w:ascii="Calibri" w:hAnsi="Calibri" w:eastAsiaTheme="majorEastAsia" w:cs="Calibri"/>
          <w:sz w:val="22"/>
          <w:szCs w:val="22"/>
        </w:rPr>
        <w:t> </w:t>
      </w:r>
    </w:p>
    <w:p w:rsidR="00481406" w:rsidP="000F2423" w14:paraId="5F1337C6" w14:textId="77777777">
      <w:pPr>
        <w:pStyle w:val="paragraph"/>
        <w:spacing w:before="0" w:beforeAutospacing="0"/>
        <w:contextualSpacing/>
        <w:textAlignment w:val="baseline"/>
        <w:rPr>
          <w:rStyle w:val="normaltextrun"/>
          <w:rFonts w:ascii="Calibri" w:hAnsi="Calibri" w:cs="Calibri"/>
          <w:sz w:val="22"/>
          <w:szCs w:val="22"/>
        </w:rPr>
      </w:pPr>
    </w:p>
    <w:p w:rsidR="000F2423" w:rsidRPr="006F2883" w:rsidP="00E2329D" w14:paraId="78835FFD" w14:textId="45CB271E">
      <w:pPr>
        <w:pStyle w:val="paragraph"/>
        <w:numPr>
          <w:ilvl w:val="0"/>
          <w:numId w:val="49"/>
        </w:numPr>
        <w:spacing w:before="0" w:beforeAutospacing="0"/>
        <w:contextualSpacing/>
        <w:textAlignment w:val="baseline"/>
        <w:rPr>
          <w:rFonts w:ascii="Calibri" w:hAnsi="Calibri" w:cs="Calibri"/>
          <w:sz w:val="22"/>
          <w:szCs w:val="22"/>
        </w:rPr>
      </w:pPr>
      <w:r>
        <w:rPr>
          <w:rStyle w:val="normaltextrun"/>
          <w:rFonts w:ascii="Calibri" w:hAnsi="Calibri" w:cs="Calibri"/>
          <w:b/>
          <w:bCs/>
          <w:sz w:val="22"/>
          <w:szCs w:val="22"/>
        </w:rPr>
        <w:t>V</w:t>
      </w:r>
      <w:r w:rsidR="00DF075C">
        <w:rPr>
          <w:rStyle w:val="normaltextrun"/>
          <w:rFonts w:ascii="Calibri" w:hAnsi="Calibri" w:cs="Calibri"/>
          <w:b/>
          <w:bCs/>
          <w:sz w:val="22"/>
          <w:szCs w:val="22"/>
        </w:rPr>
        <w:t xml:space="preserve">alues for average discharge points per facility </w:t>
      </w:r>
      <w:r>
        <w:rPr>
          <w:rStyle w:val="normaltextrun"/>
          <w:rFonts w:ascii="Calibri" w:hAnsi="Calibri" w:cs="Calibri"/>
          <w:b/>
          <w:bCs/>
          <w:sz w:val="22"/>
          <w:szCs w:val="22"/>
        </w:rPr>
        <w:t>vary</w:t>
      </w:r>
      <w:r w:rsidR="00431DF2">
        <w:rPr>
          <w:rStyle w:val="normaltextrun"/>
          <w:rFonts w:ascii="Calibri" w:hAnsi="Calibri" w:cs="Calibri"/>
          <w:b/>
          <w:bCs/>
          <w:sz w:val="22"/>
          <w:szCs w:val="22"/>
        </w:rPr>
        <w:t xml:space="preserve"> dep</w:t>
      </w:r>
      <w:r w:rsidR="005315FF">
        <w:rPr>
          <w:rStyle w:val="normaltextrun"/>
          <w:rFonts w:ascii="Calibri" w:hAnsi="Calibri" w:cs="Calibri"/>
          <w:b/>
          <w:bCs/>
          <w:sz w:val="22"/>
          <w:szCs w:val="22"/>
        </w:rPr>
        <w:t>end</w:t>
      </w:r>
      <w:r>
        <w:rPr>
          <w:rStyle w:val="normaltextrun"/>
          <w:rFonts w:ascii="Calibri" w:hAnsi="Calibri" w:cs="Calibri"/>
          <w:b/>
          <w:bCs/>
          <w:sz w:val="22"/>
          <w:szCs w:val="22"/>
        </w:rPr>
        <w:t xml:space="preserve">ing </w:t>
      </w:r>
      <w:r w:rsidR="005315FF">
        <w:rPr>
          <w:rStyle w:val="normaltextrun"/>
          <w:rFonts w:ascii="Calibri" w:hAnsi="Calibri" w:cs="Calibri"/>
          <w:b/>
          <w:bCs/>
          <w:sz w:val="22"/>
          <w:szCs w:val="22"/>
        </w:rPr>
        <w:t xml:space="preserve">on the respondent population </w:t>
      </w:r>
      <w:r w:rsidR="00571AF7">
        <w:rPr>
          <w:rStyle w:val="normaltextrun"/>
          <w:rFonts w:ascii="Calibri" w:hAnsi="Calibri" w:cs="Calibri"/>
          <w:b/>
          <w:bCs/>
          <w:sz w:val="22"/>
          <w:szCs w:val="22"/>
        </w:rPr>
        <w:t xml:space="preserve">associated with a </w:t>
      </w:r>
      <w:r w:rsidR="005315FF">
        <w:rPr>
          <w:rStyle w:val="normaltextrun"/>
          <w:rFonts w:ascii="Calibri" w:hAnsi="Calibri" w:cs="Calibri"/>
          <w:b/>
          <w:bCs/>
          <w:sz w:val="22"/>
          <w:szCs w:val="22"/>
        </w:rPr>
        <w:t>particular burden</w:t>
      </w:r>
      <w:r w:rsidR="000100BE">
        <w:rPr>
          <w:rStyle w:val="normaltextrun"/>
          <w:rFonts w:ascii="Calibri" w:hAnsi="Calibri" w:cs="Calibri"/>
          <w:b/>
          <w:bCs/>
          <w:sz w:val="22"/>
          <w:szCs w:val="22"/>
        </w:rPr>
        <w:t>.</w:t>
      </w:r>
      <w:r w:rsidRPr="4620F3F3">
        <w:rPr>
          <w:rStyle w:val="normaltextrun"/>
          <w:rFonts w:ascii="Calibri" w:hAnsi="Calibri" w:cs="Calibri"/>
          <w:sz w:val="22"/>
          <w:szCs w:val="22"/>
        </w:rPr>
        <w:t xml:space="preserve"> </w:t>
      </w:r>
      <w:r w:rsidR="003E786D">
        <w:rPr>
          <w:rStyle w:val="normaltextrun"/>
          <w:rFonts w:ascii="Calibri" w:hAnsi="Calibri" w:cs="Calibri"/>
          <w:sz w:val="22"/>
          <w:szCs w:val="22"/>
        </w:rPr>
        <w:t xml:space="preserve">According to 2021 MSGP NOI data, respondents have a broad range of discharge points, from as few as 1 to as many as 37. </w:t>
      </w:r>
      <w:r w:rsidRPr="4620F3F3">
        <w:rPr>
          <w:rStyle w:val="normaltextrun"/>
          <w:rFonts w:ascii="Calibri" w:hAnsi="Calibri" w:cs="Calibri"/>
          <w:sz w:val="22"/>
          <w:szCs w:val="22"/>
        </w:rPr>
        <w:t xml:space="preserve">Different data sets from the 2021 MSGP data were used to achieve the most accurate </w:t>
      </w:r>
      <w:r w:rsidR="00BB6D35">
        <w:rPr>
          <w:rStyle w:val="normaltextrun"/>
          <w:rFonts w:ascii="Calibri" w:hAnsi="Calibri" w:cs="Calibri"/>
          <w:sz w:val="22"/>
          <w:szCs w:val="22"/>
        </w:rPr>
        <w:t>estimated</w:t>
      </w:r>
      <w:r w:rsidRPr="4620F3F3">
        <w:rPr>
          <w:rStyle w:val="normaltextrun"/>
          <w:rFonts w:ascii="Calibri" w:hAnsi="Calibri" w:cs="Calibri"/>
          <w:sz w:val="22"/>
          <w:szCs w:val="22"/>
        </w:rPr>
        <w:t xml:space="preserve"> number </w:t>
      </w:r>
      <w:r w:rsidR="00BB6D35">
        <w:rPr>
          <w:rStyle w:val="normaltextrun"/>
          <w:rFonts w:ascii="Calibri" w:hAnsi="Calibri" w:cs="Calibri"/>
          <w:sz w:val="22"/>
          <w:szCs w:val="22"/>
        </w:rPr>
        <w:t>of</w:t>
      </w:r>
      <w:r w:rsidRPr="4620F3F3">
        <w:rPr>
          <w:rStyle w:val="normaltextrun"/>
          <w:rFonts w:ascii="Calibri" w:hAnsi="Calibri" w:cs="Calibri"/>
          <w:sz w:val="22"/>
          <w:szCs w:val="22"/>
        </w:rPr>
        <w:t xml:space="preserve"> discharge point</w:t>
      </w:r>
      <w:r w:rsidR="00BB6D35">
        <w:rPr>
          <w:rStyle w:val="normaltextrun"/>
          <w:rFonts w:ascii="Calibri" w:hAnsi="Calibri" w:cs="Calibri"/>
          <w:sz w:val="22"/>
          <w:szCs w:val="22"/>
        </w:rPr>
        <w:t>s</w:t>
      </w:r>
      <w:r w:rsidRPr="4620F3F3">
        <w:rPr>
          <w:rStyle w:val="normaltextrun"/>
          <w:rFonts w:ascii="Calibri" w:hAnsi="Calibri" w:cs="Calibri"/>
          <w:sz w:val="22"/>
          <w:szCs w:val="22"/>
        </w:rPr>
        <w:t xml:space="preserve"> </w:t>
      </w:r>
      <w:r w:rsidR="0086533D">
        <w:rPr>
          <w:rStyle w:val="normaltextrun"/>
          <w:rFonts w:ascii="Calibri" w:hAnsi="Calibri" w:cs="Calibri"/>
          <w:sz w:val="22"/>
          <w:szCs w:val="22"/>
        </w:rPr>
        <w:t xml:space="preserve">per facility </w:t>
      </w:r>
      <w:r w:rsidR="00DC19C1">
        <w:rPr>
          <w:rStyle w:val="normaltextrun"/>
          <w:rFonts w:ascii="Calibri" w:hAnsi="Calibri" w:cs="Calibri"/>
          <w:sz w:val="22"/>
          <w:szCs w:val="22"/>
        </w:rPr>
        <w:t>for</w:t>
      </w:r>
      <w:r w:rsidRPr="4620F3F3">
        <w:rPr>
          <w:rStyle w:val="normaltextrun"/>
          <w:rFonts w:ascii="Calibri" w:hAnsi="Calibri" w:cs="Calibri"/>
          <w:sz w:val="22"/>
          <w:szCs w:val="22"/>
        </w:rPr>
        <w:t xml:space="preserve"> the population affected by the </w:t>
      </w:r>
      <w:r w:rsidR="0086533D">
        <w:rPr>
          <w:rStyle w:val="normaltextrun"/>
          <w:rFonts w:ascii="Calibri" w:hAnsi="Calibri" w:cs="Calibri"/>
          <w:sz w:val="22"/>
          <w:szCs w:val="22"/>
        </w:rPr>
        <w:t xml:space="preserve">particular </w:t>
      </w:r>
      <w:r w:rsidRPr="4620F3F3">
        <w:rPr>
          <w:rStyle w:val="normaltextrun"/>
          <w:rFonts w:ascii="Calibri" w:hAnsi="Calibri" w:cs="Calibri"/>
          <w:sz w:val="22"/>
          <w:szCs w:val="22"/>
        </w:rPr>
        <w:t>burden</w:t>
      </w:r>
      <w:r w:rsidR="0086533D">
        <w:rPr>
          <w:rStyle w:val="normaltextrun"/>
          <w:rFonts w:ascii="Calibri" w:hAnsi="Calibri" w:cs="Calibri"/>
          <w:sz w:val="22"/>
          <w:szCs w:val="22"/>
        </w:rPr>
        <w:t xml:space="preserve"> item</w:t>
      </w:r>
      <w:r w:rsidRPr="4620F3F3">
        <w:rPr>
          <w:rStyle w:val="normaltextrun"/>
          <w:rFonts w:ascii="Calibri" w:hAnsi="Calibri" w:cs="Calibri"/>
          <w:sz w:val="22"/>
          <w:szCs w:val="22"/>
        </w:rPr>
        <w:t xml:space="preserve">. </w:t>
      </w:r>
      <w:r w:rsidR="0086533D">
        <w:rPr>
          <w:rStyle w:val="normaltextrun"/>
          <w:rFonts w:ascii="Calibri" w:hAnsi="Calibri" w:cs="Calibri"/>
          <w:sz w:val="22"/>
          <w:szCs w:val="22"/>
        </w:rPr>
        <w:t>For example, t</w:t>
      </w:r>
      <w:r w:rsidRPr="4620F3F3">
        <w:rPr>
          <w:rStyle w:val="normaltextrun"/>
          <w:rFonts w:ascii="Calibri" w:hAnsi="Calibri" w:cs="Calibri"/>
          <w:sz w:val="22"/>
          <w:szCs w:val="22"/>
        </w:rPr>
        <w:t xml:space="preserve">he PFAS </w:t>
      </w:r>
      <w:r w:rsidR="00BD1178">
        <w:rPr>
          <w:rStyle w:val="normaltextrun"/>
          <w:rFonts w:ascii="Calibri" w:hAnsi="Calibri" w:cs="Calibri"/>
          <w:sz w:val="22"/>
          <w:szCs w:val="22"/>
        </w:rPr>
        <w:t>indicator</w:t>
      </w:r>
      <w:r w:rsidRPr="4620F3F3">
        <w:rPr>
          <w:rStyle w:val="normaltextrun"/>
          <w:rFonts w:ascii="Calibri" w:hAnsi="Calibri" w:cs="Calibri"/>
          <w:sz w:val="22"/>
          <w:szCs w:val="22"/>
        </w:rPr>
        <w:t xml:space="preserve"> </w:t>
      </w:r>
      <w:r w:rsidR="00DC19C1">
        <w:rPr>
          <w:rStyle w:val="normaltextrun"/>
          <w:rFonts w:ascii="Calibri" w:hAnsi="Calibri" w:cs="Calibri"/>
          <w:sz w:val="22"/>
          <w:szCs w:val="22"/>
        </w:rPr>
        <w:t xml:space="preserve">monitoring </w:t>
      </w:r>
      <w:r w:rsidRPr="4620F3F3">
        <w:rPr>
          <w:rStyle w:val="normaltextrun"/>
          <w:rFonts w:ascii="Calibri" w:hAnsi="Calibri" w:cs="Calibri"/>
          <w:sz w:val="22"/>
          <w:szCs w:val="22"/>
        </w:rPr>
        <w:t>burden assumes an average of 2.0</w:t>
      </w:r>
      <w:r w:rsidRPr="4620F3F3" w:rsidR="00713390">
        <w:rPr>
          <w:rStyle w:val="normaltextrun"/>
          <w:rFonts w:ascii="Calibri" w:hAnsi="Calibri" w:cs="Calibri"/>
          <w:sz w:val="22"/>
          <w:szCs w:val="22"/>
        </w:rPr>
        <w:t>6</w:t>
      </w:r>
      <w:r w:rsidRPr="4620F3F3">
        <w:rPr>
          <w:rStyle w:val="normaltextrun"/>
          <w:rFonts w:ascii="Calibri" w:hAnsi="Calibri" w:cs="Calibri"/>
          <w:sz w:val="22"/>
          <w:szCs w:val="22"/>
        </w:rPr>
        <w:t xml:space="preserve"> discharge points per facility based on number of </w:t>
      </w:r>
      <w:r w:rsidR="00A6386F">
        <w:rPr>
          <w:rStyle w:val="normaltextrun"/>
          <w:rFonts w:ascii="Calibri" w:hAnsi="Calibri" w:cs="Calibri"/>
          <w:sz w:val="22"/>
          <w:szCs w:val="22"/>
        </w:rPr>
        <w:t>discharge point</w:t>
      </w:r>
      <w:r w:rsidRPr="4620F3F3">
        <w:rPr>
          <w:rStyle w:val="normaltextrun"/>
          <w:rFonts w:ascii="Calibri" w:hAnsi="Calibri" w:cs="Calibri"/>
          <w:sz w:val="22"/>
          <w:szCs w:val="22"/>
        </w:rPr>
        <w:t xml:space="preserve">s and known number of facilities </w:t>
      </w:r>
      <w:r w:rsidR="00CD1B12">
        <w:rPr>
          <w:rStyle w:val="normaltextrun"/>
          <w:rFonts w:ascii="Calibri" w:hAnsi="Calibri" w:cs="Calibri"/>
          <w:sz w:val="22"/>
          <w:szCs w:val="22"/>
        </w:rPr>
        <w:t>that wo</w:t>
      </w:r>
      <w:r w:rsidR="00322EA4">
        <w:rPr>
          <w:rStyle w:val="normaltextrun"/>
          <w:rFonts w:ascii="Calibri" w:hAnsi="Calibri" w:cs="Calibri"/>
          <w:sz w:val="22"/>
          <w:szCs w:val="22"/>
        </w:rPr>
        <w:t>u</w:t>
      </w:r>
      <w:r w:rsidR="00CD1B12">
        <w:rPr>
          <w:rStyle w:val="normaltextrun"/>
          <w:rFonts w:ascii="Calibri" w:hAnsi="Calibri" w:cs="Calibri"/>
          <w:sz w:val="22"/>
          <w:szCs w:val="22"/>
        </w:rPr>
        <w:t>ld be required to conduct</w:t>
      </w:r>
      <w:r w:rsidRPr="4620F3F3" w:rsidR="00CD1B12">
        <w:rPr>
          <w:rStyle w:val="normaltextrun"/>
          <w:rFonts w:ascii="Calibri" w:hAnsi="Calibri" w:cs="Calibri"/>
          <w:sz w:val="22"/>
          <w:szCs w:val="22"/>
        </w:rPr>
        <w:t xml:space="preserve"> </w:t>
      </w:r>
      <w:r w:rsidRPr="4620F3F3">
        <w:rPr>
          <w:rStyle w:val="normaltextrun"/>
          <w:rFonts w:ascii="Calibri" w:hAnsi="Calibri" w:cs="Calibri"/>
          <w:sz w:val="22"/>
          <w:szCs w:val="22"/>
        </w:rPr>
        <w:t>PFAS monitoring</w:t>
      </w:r>
      <w:r w:rsidR="00CD1B12">
        <w:rPr>
          <w:rStyle w:val="normaltextrun"/>
          <w:rFonts w:ascii="Calibri" w:hAnsi="Calibri" w:cs="Calibri"/>
          <w:sz w:val="22"/>
          <w:szCs w:val="22"/>
        </w:rPr>
        <w:t xml:space="preserve"> under the proposed 2026 MSGP</w:t>
      </w:r>
      <w:r w:rsidRPr="4620F3F3">
        <w:rPr>
          <w:rStyle w:val="normaltextrun"/>
          <w:rFonts w:ascii="Calibri" w:hAnsi="Calibri" w:cs="Calibri"/>
          <w:sz w:val="22"/>
          <w:szCs w:val="22"/>
        </w:rPr>
        <w:t>.</w:t>
      </w:r>
      <w:r w:rsidRPr="4620F3F3" w:rsidR="006F2883">
        <w:rPr>
          <w:rStyle w:val="normaltextrun"/>
          <w:rFonts w:ascii="Calibri" w:hAnsi="Calibri" w:cs="Calibri"/>
          <w:sz w:val="22"/>
          <w:szCs w:val="22"/>
        </w:rPr>
        <w:t xml:space="preserve"> </w:t>
      </w:r>
      <w:r w:rsidRPr="4620F3F3">
        <w:rPr>
          <w:rStyle w:val="normaltextrun"/>
          <w:rFonts w:ascii="Calibri" w:hAnsi="Calibri" w:cs="Calibri"/>
          <w:sz w:val="22"/>
          <w:szCs w:val="22"/>
        </w:rPr>
        <w:t xml:space="preserve">The PAH indicator monitoring burden assumes an average of 2.13 discharge points per facility based on DMR data for PAH monitoring during the 2021 MSGP term. </w:t>
      </w:r>
    </w:p>
    <w:p w:rsidR="004366D4" w:rsidRPr="00604865" w:rsidP="004366D4" w14:paraId="7E4C41A3" w14:textId="184CF6F9">
      <w:pPr>
        <w:spacing w:after="100" w:afterAutospacing="1" w:line="240" w:lineRule="auto"/>
        <w:contextualSpacing/>
        <w:rPr>
          <w:rFonts w:ascii="Calibri" w:hAnsi="Calibri" w:cs="Calibri"/>
          <w:bCs/>
        </w:rPr>
      </w:pPr>
      <w:r>
        <w:rPr>
          <w:rFonts w:ascii="Calibri" w:hAnsi="Calibri" w:cs="Calibri"/>
          <w:bCs/>
        </w:rPr>
        <w:t>With these assumptions in mind, t</w:t>
      </w:r>
      <w:r w:rsidRPr="00604865">
        <w:rPr>
          <w:rFonts w:ascii="Calibri" w:hAnsi="Calibri" w:cs="Calibri"/>
          <w:bCs/>
        </w:rPr>
        <w:t xml:space="preserve">his section presents the estimated respondent burden </w:t>
      </w:r>
      <w:r w:rsidR="009C5D58">
        <w:rPr>
          <w:rFonts w:ascii="Calibri" w:hAnsi="Calibri" w:cs="Calibri"/>
          <w:bCs/>
        </w:rPr>
        <w:t>that would occur</w:t>
      </w:r>
      <w:r w:rsidRPr="00604865">
        <w:rPr>
          <w:rFonts w:ascii="Calibri" w:hAnsi="Calibri" w:cs="Calibri"/>
          <w:bCs/>
        </w:rPr>
        <w:t xml:space="preserve"> for each information request in response to the </w:t>
      </w:r>
      <w:r w:rsidR="008351E8">
        <w:rPr>
          <w:rFonts w:ascii="Calibri" w:hAnsi="Calibri" w:cs="Calibri"/>
          <w:bCs/>
        </w:rPr>
        <w:t xml:space="preserve">proposed </w:t>
      </w:r>
      <w:r w:rsidRPr="00604865">
        <w:rPr>
          <w:rFonts w:ascii="Calibri" w:hAnsi="Calibri" w:cs="Calibri"/>
          <w:bCs/>
        </w:rPr>
        <w:t xml:space="preserve">2026 MSGP relative to the 2021 MSGP. </w:t>
      </w:r>
    </w:p>
    <w:p w:rsidR="00A25187" w:rsidP="00366777" w14:paraId="19D36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p>
    <w:p w:rsidR="004366D4" w:rsidRPr="00366777" w:rsidP="00366777" w14:paraId="7B213838" w14:textId="3A52E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366777">
        <w:rPr>
          <w:rFonts w:ascii="Calibri" w:hAnsi="Calibri" w:cs="Calibri"/>
          <w:b/>
        </w:rPr>
        <w:t xml:space="preserve">NOI Forms </w:t>
      </w:r>
    </w:p>
    <w:p w:rsidR="004366D4" w:rsidRPr="00366777" w:rsidP="00366777" w14:paraId="4476AA0A" w14:textId="681CB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366777">
        <w:rPr>
          <w:rFonts w:ascii="Calibri" w:hAnsi="Calibri" w:cs="Calibri"/>
        </w:rPr>
        <w:t xml:space="preserve">The proposed 2026 MSGP </w:t>
      </w:r>
      <w:r w:rsidRPr="00366777">
        <w:rPr>
          <w:rFonts w:ascii="Calibri" w:hAnsi="Calibri" w:cs="Calibri"/>
        </w:rPr>
        <w:t>includes changes to the NOI form in the 2026 MSGP. EPA estimates that the addition of several new questions on the NOI form (e.</w:t>
      </w:r>
      <w:r w:rsidR="005539A7">
        <w:rPr>
          <w:rFonts w:ascii="Calibri" w:hAnsi="Calibri" w:cs="Calibri"/>
        </w:rPr>
        <w:t>g.</w:t>
      </w:r>
      <w:r w:rsidRPr="00366777">
        <w:rPr>
          <w:rFonts w:ascii="Calibri" w:hAnsi="Calibri" w:cs="Calibri"/>
        </w:rPr>
        <w:t xml:space="preserve">, addition of Region 1 to CERCLA reporting, PFAS indicator monitoring applicability, AIM Level status for renewal </w:t>
      </w:r>
      <w:r>
        <w:t xml:space="preserve">respondents </w:t>
      </w:r>
      <w:r w:rsidRPr="00366777">
        <w:rPr>
          <w:rFonts w:ascii="Calibri" w:hAnsi="Calibri" w:cs="Calibri"/>
        </w:rPr>
        <w:t xml:space="preserve">only, Exclusive Federal Jurisdiction clarification) </w:t>
      </w:r>
      <w:r w:rsidR="00FF1D1B">
        <w:rPr>
          <w:rFonts w:ascii="Calibri" w:hAnsi="Calibri" w:cs="Calibri"/>
        </w:rPr>
        <w:t>would</w:t>
      </w:r>
      <w:r w:rsidRPr="00366777" w:rsidR="00FF1D1B">
        <w:rPr>
          <w:rFonts w:ascii="Calibri" w:hAnsi="Calibri" w:cs="Calibri"/>
        </w:rPr>
        <w:t xml:space="preserve"> </w:t>
      </w:r>
      <w:r w:rsidRPr="00366777">
        <w:rPr>
          <w:rFonts w:ascii="Calibri" w:hAnsi="Calibri" w:cs="Calibri"/>
        </w:rPr>
        <w:t xml:space="preserve">add approximately </w:t>
      </w:r>
      <w:r w:rsidR="00F30D83">
        <w:rPr>
          <w:rFonts w:ascii="Calibri" w:hAnsi="Calibri" w:cs="Calibri"/>
        </w:rPr>
        <w:t xml:space="preserve">an average of </w:t>
      </w:r>
      <w:r w:rsidRPr="00366777">
        <w:rPr>
          <w:rFonts w:ascii="Calibri" w:hAnsi="Calibri" w:cs="Calibri"/>
        </w:rPr>
        <w:t xml:space="preserve">15 minutes of burden, or 0.25 hours, for </w:t>
      </w:r>
      <w:r w:rsidR="0049318D">
        <w:rPr>
          <w:rFonts w:ascii="Calibri" w:hAnsi="Calibri" w:cs="Calibri"/>
        </w:rPr>
        <w:t>all respondents who would submit a NOI</w:t>
      </w:r>
      <w:r w:rsidR="004C1B5D">
        <w:rPr>
          <w:rFonts w:ascii="Calibri" w:hAnsi="Calibri" w:cs="Calibri"/>
        </w:rPr>
        <w:t xml:space="preserve">. EPA estimates that there would be </w:t>
      </w:r>
      <w:r w:rsidR="0097553D">
        <w:rPr>
          <w:rFonts w:ascii="Calibri" w:hAnsi="Calibri" w:cs="Calibri"/>
        </w:rPr>
        <w:t>2</w:t>
      </w:r>
      <w:r w:rsidR="00FF1D1B">
        <w:rPr>
          <w:rFonts w:ascii="Calibri" w:hAnsi="Calibri" w:cs="Calibri"/>
        </w:rPr>
        <w:t>,</w:t>
      </w:r>
      <w:r w:rsidR="0097553D">
        <w:rPr>
          <w:rFonts w:ascii="Calibri" w:hAnsi="Calibri" w:cs="Calibri"/>
        </w:rPr>
        <w:t>494</w:t>
      </w:r>
      <w:r w:rsidR="00597E7B">
        <w:rPr>
          <w:rFonts w:ascii="Calibri" w:hAnsi="Calibri" w:cs="Calibri"/>
        </w:rPr>
        <w:t xml:space="preserve"> </w:t>
      </w:r>
      <w:r w:rsidR="00165BE3">
        <w:rPr>
          <w:rFonts w:ascii="Calibri" w:hAnsi="Calibri" w:cs="Calibri"/>
        </w:rPr>
        <w:t xml:space="preserve">total </w:t>
      </w:r>
      <w:r w:rsidR="004C1B5D">
        <w:rPr>
          <w:rFonts w:ascii="Calibri" w:hAnsi="Calibri" w:cs="Calibri"/>
        </w:rPr>
        <w:t xml:space="preserve">NOIs submitted </w:t>
      </w:r>
      <w:r w:rsidR="003C3744">
        <w:rPr>
          <w:rFonts w:ascii="Calibri" w:hAnsi="Calibri" w:cs="Calibri"/>
        </w:rPr>
        <w:t>by the end of the 2026 MSGP Permit term</w:t>
      </w:r>
      <w:r w:rsidR="00921687">
        <w:rPr>
          <w:rFonts w:ascii="Calibri" w:hAnsi="Calibri" w:cs="Calibri"/>
        </w:rPr>
        <w:t xml:space="preserve"> (see Table 2)</w:t>
      </w:r>
      <w:r w:rsidRPr="00366777">
        <w:rPr>
          <w:rFonts w:ascii="Calibri" w:hAnsi="Calibri" w:cs="Calibri"/>
        </w:rPr>
        <w:t xml:space="preserve">. </w:t>
      </w:r>
    </w:p>
    <w:p w:rsidR="004366D4" w:rsidRPr="00366777" w:rsidP="00366777" w14:paraId="2A0F584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366777">
        <w:rPr>
          <w:rFonts w:ascii="Calibri" w:hAnsi="Calibri" w:cs="Calibri"/>
          <w:b/>
        </w:rPr>
        <w:t xml:space="preserve">SWPPPs </w:t>
      </w:r>
    </w:p>
    <w:p w:rsidR="004366D4" w:rsidP="00366777" w14:paraId="784897F5" w14:textId="42FBDA9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Cs/>
        </w:rPr>
      </w:pPr>
      <w:r>
        <w:rPr>
          <w:rFonts w:ascii="Calibri" w:hAnsi="Calibri" w:cs="Calibri"/>
          <w:bCs/>
        </w:rPr>
        <w:t>EPA estimates that a</w:t>
      </w:r>
      <w:r w:rsidRPr="00366777" w:rsidR="00D84D7E">
        <w:rPr>
          <w:rFonts w:ascii="Calibri" w:hAnsi="Calibri" w:cs="Calibri"/>
          <w:bCs/>
        </w:rPr>
        <w:t>ll</w:t>
      </w:r>
      <w:r w:rsidRPr="00366777">
        <w:rPr>
          <w:rFonts w:ascii="Calibri" w:hAnsi="Calibri" w:cs="Calibri"/>
          <w:bCs/>
        </w:rPr>
        <w:t xml:space="preserve"> </w:t>
      </w:r>
      <w:r w:rsidRPr="00366777" w:rsidR="00651DC2">
        <w:rPr>
          <w:rFonts w:ascii="Calibri" w:hAnsi="Calibri" w:cs="Calibri"/>
          <w:bCs/>
        </w:rPr>
        <w:t>the</w:t>
      </w:r>
      <w:r w:rsidRPr="00366777">
        <w:rPr>
          <w:rFonts w:ascii="Calibri" w:hAnsi="Calibri" w:cs="Calibri"/>
          <w:bCs/>
        </w:rPr>
        <w:t xml:space="preserve"> changes </w:t>
      </w:r>
      <w:r w:rsidRPr="00366777" w:rsidR="00651DC2">
        <w:rPr>
          <w:rFonts w:ascii="Calibri" w:hAnsi="Calibri" w:cs="Calibri"/>
          <w:bCs/>
        </w:rPr>
        <w:t xml:space="preserve">described in 12.c </w:t>
      </w:r>
      <w:r w:rsidRPr="00366777">
        <w:rPr>
          <w:rFonts w:ascii="Calibri" w:hAnsi="Calibri" w:cs="Calibri"/>
          <w:bCs/>
        </w:rPr>
        <w:t xml:space="preserve">will add one hour of </w:t>
      </w:r>
      <w:r w:rsidR="00F64018">
        <w:rPr>
          <w:rFonts w:ascii="Calibri" w:hAnsi="Calibri" w:cs="Calibri"/>
          <w:bCs/>
        </w:rPr>
        <w:t xml:space="preserve">additional </w:t>
      </w:r>
      <w:r w:rsidRPr="00366777">
        <w:rPr>
          <w:rFonts w:ascii="Calibri" w:hAnsi="Calibri" w:cs="Calibri"/>
          <w:bCs/>
        </w:rPr>
        <w:t>burden for SWPPP updates</w:t>
      </w:r>
      <w:r w:rsidRPr="00366777" w:rsidR="00651DC2">
        <w:rPr>
          <w:rFonts w:ascii="Calibri" w:hAnsi="Calibri" w:cs="Calibri"/>
          <w:bCs/>
        </w:rPr>
        <w:t xml:space="preserve"> for </w:t>
      </w:r>
      <w:r w:rsidR="00842392">
        <w:rPr>
          <w:rFonts w:ascii="Calibri" w:hAnsi="Calibri" w:cs="Calibri"/>
          <w:bCs/>
        </w:rPr>
        <w:t>2</w:t>
      </w:r>
      <w:r w:rsidR="0087511B">
        <w:rPr>
          <w:rFonts w:ascii="Calibri" w:hAnsi="Calibri" w:cs="Calibri"/>
          <w:bCs/>
        </w:rPr>
        <w:t>,</w:t>
      </w:r>
      <w:r w:rsidR="00C72108">
        <w:rPr>
          <w:rFonts w:ascii="Calibri" w:hAnsi="Calibri" w:cs="Calibri"/>
          <w:bCs/>
        </w:rPr>
        <w:t>240</w:t>
      </w:r>
      <w:r w:rsidR="00D75B2C">
        <w:rPr>
          <w:rFonts w:ascii="Calibri" w:hAnsi="Calibri" w:cs="Calibri"/>
          <w:bCs/>
        </w:rPr>
        <w:t xml:space="preserve"> </w:t>
      </w:r>
      <w:r w:rsidRPr="00366777" w:rsidR="00D84D7E">
        <w:rPr>
          <w:rFonts w:ascii="Calibri" w:hAnsi="Calibri" w:cs="Calibri"/>
          <w:bCs/>
        </w:rPr>
        <w:t>permitte</w:t>
      </w:r>
      <w:r w:rsidR="00BA7590">
        <w:rPr>
          <w:rFonts w:ascii="Calibri" w:hAnsi="Calibri" w:cs="Calibri"/>
          <w:bCs/>
        </w:rPr>
        <w:t>e</w:t>
      </w:r>
      <w:r w:rsidRPr="00366777" w:rsidR="00D84D7E">
        <w:rPr>
          <w:rFonts w:ascii="Calibri" w:hAnsi="Calibri" w:cs="Calibri"/>
          <w:bCs/>
        </w:rPr>
        <w:t>s</w:t>
      </w:r>
      <w:r w:rsidRPr="00366777">
        <w:rPr>
          <w:rFonts w:ascii="Calibri" w:hAnsi="Calibri" w:cs="Calibri"/>
          <w:bCs/>
        </w:rPr>
        <w:t>.</w:t>
      </w:r>
      <w:r w:rsidR="00AC7BA7">
        <w:rPr>
          <w:rFonts w:ascii="Calibri" w:hAnsi="Calibri" w:cs="Calibri"/>
          <w:bCs/>
        </w:rPr>
        <w:t xml:space="preserve"> This is the average number of respondents </w:t>
      </w:r>
      <w:r w:rsidR="00415E2C">
        <w:rPr>
          <w:rFonts w:ascii="Calibri" w:hAnsi="Calibri" w:cs="Calibri"/>
          <w:bCs/>
        </w:rPr>
        <w:t>per year that would need to make SWPPP updates</w:t>
      </w:r>
      <w:r w:rsidR="00743DBA">
        <w:rPr>
          <w:rFonts w:ascii="Calibri" w:hAnsi="Calibri" w:cs="Calibri"/>
          <w:bCs/>
        </w:rPr>
        <w:t xml:space="preserve"> based on Table</w:t>
      </w:r>
      <w:r w:rsidR="00DF0961">
        <w:rPr>
          <w:rFonts w:ascii="Calibri" w:hAnsi="Calibri" w:cs="Calibri"/>
          <w:bCs/>
        </w:rPr>
        <w:t xml:space="preserve"> 2</w:t>
      </w:r>
      <w:r w:rsidR="00415E2C">
        <w:rPr>
          <w:rFonts w:ascii="Calibri" w:hAnsi="Calibri" w:cs="Calibri"/>
          <w:bCs/>
        </w:rPr>
        <w:t xml:space="preserve">. </w:t>
      </w:r>
    </w:p>
    <w:p w:rsidR="00ED6F87" w:rsidP="7DB10950" w14:paraId="26E4167E" w14:textId="6583F0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Cs/>
        </w:rPr>
      </w:pPr>
      <w:r w:rsidRPr="001D2B69">
        <w:rPr>
          <w:rFonts w:ascii="Calibri" w:hAnsi="Calibri" w:cs="Calibri"/>
          <w:bCs/>
        </w:rPr>
        <w:t xml:space="preserve">The </w:t>
      </w:r>
      <w:r>
        <w:rPr>
          <w:rFonts w:ascii="Calibri" w:hAnsi="Calibri" w:cs="Calibri"/>
          <w:bCs/>
        </w:rPr>
        <w:t xml:space="preserve">proposed 2026 MSGP </w:t>
      </w:r>
      <w:r w:rsidRPr="001D2B69">
        <w:rPr>
          <w:rFonts w:ascii="Calibri" w:hAnsi="Calibri" w:cs="Calibri"/>
          <w:bCs/>
        </w:rPr>
        <w:t>includes a new SWPPP documentation requirement related to turbidity benchmark monitoring</w:t>
      </w:r>
      <w:r>
        <w:rPr>
          <w:rFonts w:ascii="Calibri" w:hAnsi="Calibri" w:cs="Calibri"/>
          <w:bCs/>
        </w:rPr>
        <w:t xml:space="preserve"> during construction dewatering for mining sectors</w:t>
      </w:r>
      <w:r w:rsidRPr="001D2B69">
        <w:rPr>
          <w:rFonts w:ascii="Calibri" w:hAnsi="Calibri" w:cs="Calibri"/>
          <w:bCs/>
        </w:rPr>
        <w:t>. Sites subject to dewatering turbidity benchmark monitoring requirements must document their monitoring procedures in the SWPPP and identify on the site map where samples will be taken. EPA estimates that applicable sites will need 4 hours to develop and maintain this documentation</w:t>
      </w:r>
      <w:r w:rsidR="00133658">
        <w:rPr>
          <w:rFonts w:ascii="Calibri" w:hAnsi="Calibri" w:cs="Calibri"/>
          <w:bCs/>
        </w:rPr>
        <w:t>, multiplied by</w:t>
      </w:r>
      <w:r w:rsidR="00DE4349">
        <w:rPr>
          <w:rFonts w:ascii="Calibri" w:hAnsi="Calibri" w:cs="Calibri"/>
          <w:bCs/>
        </w:rPr>
        <w:t xml:space="preserve"> 23 respondents in mining sectors (described in the Construction General Permit Requirements section below).</w:t>
      </w:r>
    </w:p>
    <w:p w:rsidR="00B661EE" w:rsidRPr="00366777" w:rsidP="00366777" w14:paraId="782A5AFB" w14:textId="46AAD1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Cs/>
        </w:rPr>
      </w:pPr>
      <w:r>
        <w:rPr>
          <w:rFonts w:ascii="Calibri" w:hAnsi="Calibri" w:cs="Calibri"/>
          <w:bCs/>
        </w:rPr>
        <w:t xml:space="preserve">The proposed 2026 MSGP requires certain additional populations (described in 12.a) to update their SWPPP when </w:t>
      </w:r>
      <w:r w:rsidR="009F1C1D">
        <w:rPr>
          <w:rFonts w:ascii="Calibri" w:hAnsi="Calibri" w:cs="Calibri"/>
          <w:bCs/>
        </w:rPr>
        <w:t xml:space="preserve">AIM is triggered. </w:t>
      </w:r>
      <w:r w:rsidR="00677CFC">
        <w:rPr>
          <w:rFonts w:ascii="Calibri" w:hAnsi="Calibri" w:cs="Calibri"/>
          <w:bCs/>
        </w:rPr>
        <w:t>See Corrective Action section below for the burden calculations for these SWPPP updates.</w:t>
      </w:r>
    </w:p>
    <w:p w:rsidR="004366D4" w:rsidRPr="00366777" w:rsidP="00366777" w14:paraId="62C28F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366777">
        <w:rPr>
          <w:rFonts w:ascii="Calibri" w:hAnsi="Calibri" w:cs="Calibri"/>
          <w:b/>
        </w:rPr>
        <w:t xml:space="preserve">DMRs Submittal </w:t>
      </w:r>
    </w:p>
    <w:p w:rsidR="004366D4" w:rsidRPr="00366777" w:rsidP="00366777" w14:paraId="5CFA895B" w14:textId="7ABAF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366777">
        <w:rPr>
          <w:rFonts w:ascii="Calibri" w:hAnsi="Calibri" w:cs="Calibri"/>
        </w:rPr>
        <w:t xml:space="preserve">The proposed 2026 MSGP </w:t>
      </w:r>
      <w:r w:rsidR="003B59D7">
        <w:rPr>
          <w:rFonts w:ascii="Calibri" w:hAnsi="Calibri" w:cs="Calibri"/>
        </w:rPr>
        <w:t>would</w:t>
      </w:r>
      <w:r w:rsidRPr="00366777">
        <w:rPr>
          <w:rFonts w:ascii="Calibri" w:hAnsi="Calibri" w:cs="Calibri"/>
        </w:rPr>
        <w:t xml:space="preserve"> include </w:t>
      </w:r>
      <w:r w:rsidRPr="00366777" w:rsidR="00D84D7E">
        <w:rPr>
          <w:rFonts w:ascii="Calibri" w:hAnsi="Calibri" w:cs="Calibri"/>
        </w:rPr>
        <w:t>modified</w:t>
      </w:r>
      <w:r w:rsidRPr="00366777">
        <w:rPr>
          <w:rFonts w:ascii="Calibri" w:hAnsi="Calibri" w:cs="Calibri"/>
        </w:rPr>
        <w:t xml:space="preserve"> monitoring requirements </w:t>
      </w:r>
      <w:r w:rsidR="00FB40D2">
        <w:rPr>
          <w:rFonts w:ascii="Calibri" w:hAnsi="Calibri" w:cs="Calibri"/>
        </w:rPr>
        <w:t>compared to</w:t>
      </w:r>
      <w:r w:rsidRPr="00366777">
        <w:rPr>
          <w:rFonts w:ascii="Calibri" w:hAnsi="Calibri" w:cs="Calibri"/>
        </w:rPr>
        <w:t xml:space="preserve"> the 2021 MSGP</w:t>
      </w:r>
      <w:r w:rsidRPr="00366777" w:rsidR="00D84D7E">
        <w:rPr>
          <w:rFonts w:ascii="Calibri" w:hAnsi="Calibri" w:cs="Calibri"/>
        </w:rPr>
        <w:t xml:space="preserve"> </w:t>
      </w:r>
      <w:r w:rsidR="00FB40D2">
        <w:rPr>
          <w:rFonts w:ascii="Calibri" w:hAnsi="Calibri" w:cs="Calibri"/>
        </w:rPr>
        <w:t xml:space="preserve">as </w:t>
      </w:r>
      <w:r w:rsidRPr="00366777" w:rsidR="00D84D7E">
        <w:rPr>
          <w:rFonts w:ascii="Calibri" w:hAnsi="Calibri" w:cs="Calibri"/>
        </w:rPr>
        <w:t>described in 12.c</w:t>
      </w:r>
      <w:r w:rsidRPr="00366777">
        <w:rPr>
          <w:rFonts w:ascii="Calibri" w:hAnsi="Calibri" w:cs="Calibri"/>
        </w:rPr>
        <w:t xml:space="preserve">. For the 2026 MSGP, </w:t>
      </w:r>
      <w:r w:rsidR="00B101CF">
        <w:rPr>
          <w:rFonts w:ascii="Calibri" w:hAnsi="Calibri" w:cs="Calibri"/>
        </w:rPr>
        <w:t xml:space="preserve">to determine the </w:t>
      </w:r>
      <w:r w:rsidR="00FC6B66">
        <w:rPr>
          <w:rFonts w:ascii="Calibri" w:hAnsi="Calibri" w:cs="Calibri"/>
        </w:rPr>
        <w:t xml:space="preserve">data entry </w:t>
      </w:r>
      <w:r w:rsidR="005947E7">
        <w:rPr>
          <w:rFonts w:ascii="Calibri" w:hAnsi="Calibri" w:cs="Calibri"/>
        </w:rPr>
        <w:t xml:space="preserve">burden </w:t>
      </w:r>
      <w:r w:rsidR="00FC6B66">
        <w:rPr>
          <w:rFonts w:ascii="Calibri" w:hAnsi="Calibri" w:cs="Calibri"/>
        </w:rPr>
        <w:t xml:space="preserve">that </w:t>
      </w:r>
      <w:r w:rsidR="00B71741">
        <w:rPr>
          <w:rFonts w:ascii="Calibri" w:hAnsi="Calibri" w:cs="Calibri"/>
        </w:rPr>
        <w:t xml:space="preserve">comes with </w:t>
      </w:r>
      <w:r w:rsidR="005947E7">
        <w:rPr>
          <w:rFonts w:ascii="Calibri" w:hAnsi="Calibri" w:cs="Calibri"/>
        </w:rPr>
        <w:t>submit</w:t>
      </w:r>
      <w:r w:rsidR="00FC6B66">
        <w:rPr>
          <w:rFonts w:ascii="Calibri" w:hAnsi="Calibri" w:cs="Calibri"/>
        </w:rPr>
        <w:t>ting</w:t>
      </w:r>
      <w:r w:rsidR="005947E7">
        <w:rPr>
          <w:rFonts w:ascii="Calibri" w:hAnsi="Calibri" w:cs="Calibri"/>
        </w:rPr>
        <w:t xml:space="preserve"> a DMR,</w:t>
      </w:r>
      <w:r w:rsidR="00B101CF">
        <w:rPr>
          <w:rFonts w:ascii="Calibri" w:hAnsi="Calibri" w:cs="Calibri"/>
        </w:rPr>
        <w:t xml:space="preserve"> </w:t>
      </w:r>
      <w:r w:rsidRPr="00366777">
        <w:rPr>
          <w:rFonts w:ascii="Calibri" w:hAnsi="Calibri" w:cs="Calibri"/>
        </w:rPr>
        <w:t xml:space="preserve">EPA </w:t>
      </w:r>
      <w:r w:rsidRPr="00366777" w:rsidR="00D84D7E">
        <w:rPr>
          <w:rFonts w:ascii="Calibri" w:hAnsi="Calibri" w:cs="Calibri"/>
        </w:rPr>
        <w:t xml:space="preserve">used the </w:t>
      </w:r>
      <w:r w:rsidR="00965E49">
        <w:rPr>
          <w:rFonts w:ascii="Calibri" w:hAnsi="Calibri" w:cs="Calibri"/>
        </w:rPr>
        <w:t xml:space="preserve">same </w:t>
      </w:r>
      <w:r w:rsidRPr="00366777" w:rsidR="00D84D7E">
        <w:rPr>
          <w:rFonts w:ascii="Calibri" w:hAnsi="Calibri" w:cs="Calibri"/>
        </w:rPr>
        <w:t>2021 ICR assumption</w:t>
      </w:r>
      <w:r w:rsidRPr="00366777">
        <w:rPr>
          <w:rFonts w:ascii="Calibri" w:hAnsi="Calibri" w:cs="Calibri"/>
        </w:rPr>
        <w:t xml:space="preserve"> that it will take each respondent an average of 3.6 minutes </w:t>
      </w:r>
      <w:r w:rsidR="003469D1">
        <w:rPr>
          <w:rFonts w:ascii="Calibri" w:hAnsi="Calibri" w:cs="Calibri"/>
        </w:rPr>
        <w:t xml:space="preserve">(or 0.06 hours) </w:t>
      </w:r>
      <w:r w:rsidRPr="00366777">
        <w:rPr>
          <w:rFonts w:ascii="Calibri" w:hAnsi="Calibri" w:cs="Calibri"/>
        </w:rPr>
        <w:t xml:space="preserve">to fill out the required data for each parameter in NetDMR. This burden estimate is an average of the “Batch” and “Hybrid” methods, as discussed in the September 2015 Economic Analysis of the National Pollutant Discharge Elimination System Electronic Reporting Final Rule (Page 4-14 Table 4-9, </w:t>
      </w:r>
      <w:hyperlink r:id="rId10" w:history="1">
        <w:r w:rsidRPr="00366777">
          <w:rPr>
            <w:rStyle w:val="Hyperlink"/>
            <w:rFonts w:ascii="Calibri" w:hAnsi="Calibri" w:cs="Calibri"/>
          </w:rPr>
          <w:t>https://www.epa.gov/sites/production/files/2015-09/documents/npdesea.pdf</w:t>
        </w:r>
      </w:hyperlink>
      <w:r w:rsidRPr="00366777">
        <w:rPr>
          <w:rFonts w:ascii="Calibri" w:hAnsi="Calibri" w:cs="Calibri"/>
        </w:rPr>
        <w:t xml:space="preserve">). </w:t>
      </w:r>
      <w:r w:rsidR="001B7CF0">
        <w:rPr>
          <w:rFonts w:ascii="Calibri" w:hAnsi="Calibri" w:cs="Calibri"/>
        </w:rPr>
        <w:t xml:space="preserve">The total data entry burden for each type of monitoring is the product of </w:t>
      </w:r>
      <w:r w:rsidR="00C9485A">
        <w:rPr>
          <w:rFonts w:ascii="Calibri" w:hAnsi="Calibri" w:cs="Calibri"/>
        </w:rPr>
        <w:t xml:space="preserve">0.06 hours per parameter, the number of parameters that need to be reported on each DMR, and the number of discharge points that respondents have to submit DMRs for. Therefore, </w:t>
      </w:r>
      <w:r w:rsidRPr="00366777">
        <w:rPr>
          <w:rFonts w:ascii="Calibri" w:hAnsi="Calibri" w:cs="Calibri"/>
        </w:rPr>
        <w:t xml:space="preserve">each type of monitoring has a different data entry burden due to the different number of applicable parameters </w:t>
      </w:r>
      <w:r w:rsidR="00025E7E">
        <w:rPr>
          <w:rFonts w:ascii="Calibri" w:hAnsi="Calibri" w:cs="Calibri"/>
        </w:rPr>
        <w:t xml:space="preserve">and the </w:t>
      </w:r>
      <w:r w:rsidR="00F054EA">
        <w:rPr>
          <w:rFonts w:ascii="Calibri" w:hAnsi="Calibri" w:cs="Calibri"/>
        </w:rPr>
        <w:t xml:space="preserve">different </w:t>
      </w:r>
      <w:r w:rsidR="00FB5725">
        <w:rPr>
          <w:rFonts w:ascii="Calibri" w:hAnsi="Calibri" w:cs="Calibri"/>
        </w:rPr>
        <w:t xml:space="preserve">number of discharge points </w:t>
      </w:r>
      <w:r w:rsidR="00C672AB">
        <w:rPr>
          <w:rFonts w:ascii="Calibri" w:hAnsi="Calibri" w:cs="Calibri"/>
        </w:rPr>
        <w:t xml:space="preserve">for each </w:t>
      </w:r>
      <w:r w:rsidRPr="00366777" w:rsidR="00C672AB">
        <w:rPr>
          <w:rFonts w:ascii="Calibri" w:hAnsi="Calibri" w:cs="Calibri"/>
        </w:rPr>
        <w:t>affected respondent population</w:t>
      </w:r>
      <w:r w:rsidR="001C1F02">
        <w:rPr>
          <w:rFonts w:ascii="Calibri" w:hAnsi="Calibri" w:cs="Calibri"/>
        </w:rPr>
        <w:t>.</w:t>
      </w:r>
      <w:r w:rsidRPr="00366777">
        <w:rPr>
          <w:rFonts w:ascii="Calibri" w:hAnsi="Calibri" w:cs="Calibri"/>
        </w:rPr>
        <w:t xml:space="preserve"> </w:t>
      </w:r>
    </w:p>
    <w:p w:rsidR="00AC77F6" w:rsidRPr="00AC77F6" w:rsidP="00AC77F6" w14:paraId="3D214773" w14:textId="378FA103">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b/>
          <w:bCs/>
        </w:rPr>
        <w:t>Sector-specific b</w:t>
      </w:r>
      <w:r w:rsidRPr="004412DC" w:rsidR="004366D4">
        <w:rPr>
          <w:rFonts w:ascii="Calibri" w:hAnsi="Calibri" w:cs="Calibri"/>
          <w:b/>
          <w:bCs/>
        </w:rPr>
        <w:t>enchmark monitoring:</w:t>
      </w:r>
      <w:r w:rsidR="006113E8">
        <w:rPr>
          <w:rFonts w:ascii="Calibri" w:hAnsi="Calibri" w:cs="Calibri"/>
          <w:b/>
          <w:bCs/>
        </w:rPr>
        <w:t xml:space="preserve"> </w:t>
      </w:r>
      <w:r w:rsidRPr="00AC77F6">
        <w:rPr>
          <w:rFonts w:ascii="Calibri" w:hAnsi="Calibri" w:cs="Calibri"/>
        </w:rPr>
        <w:t xml:space="preserve">There are two </w:t>
      </w:r>
      <w:r w:rsidR="00E75C33">
        <w:rPr>
          <w:rFonts w:ascii="Calibri" w:hAnsi="Calibri" w:cs="Calibri"/>
        </w:rPr>
        <w:t xml:space="preserve">respondent </w:t>
      </w:r>
      <w:r w:rsidRPr="00AC77F6">
        <w:rPr>
          <w:rFonts w:ascii="Calibri" w:hAnsi="Calibri" w:cs="Calibri"/>
        </w:rPr>
        <w:t>sub-populations affected by the changes to sector-specific benchmark monitoring. First, there is a change in burden for respondents in sectors that already have benchmark monitoring. Second, there is new burden for sectors that previously only had indicator monitoring requirements</w:t>
      </w:r>
      <w:r w:rsidR="004B7AF0">
        <w:rPr>
          <w:rFonts w:ascii="Calibri" w:hAnsi="Calibri" w:cs="Calibri"/>
        </w:rPr>
        <w:t>.</w:t>
      </w:r>
      <w:r w:rsidRPr="00AC77F6">
        <w:rPr>
          <w:rFonts w:ascii="Calibri" w:hAnsi="Calibri" w:cs="Calibri"/>
        </w:rPr>
        <w:t xml:space="preserve"> </w:t>
      </w:r>
    </w:p>
    <w:p w:rsidR="00AC77F6" w:rsidP="00E2329D" w14:paraId="40BED4A1" w14:textId="561D0A30">
      <w:pPr>
        <w:pStyle w:val="ListParagraph"/>
        <w:numPr>
          <w:ilvl w:val="1"/>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AC77F6">
        <w:rPr>
          <w:rFonts w:ascii="Calibri" w:hAnsi="Calibri" w:cs="Calibri"/>
        </w:rPr>
        <w:t>The incremental change in burden for respondents that already had benchmark monitoring is due to two factors</w:t>
      </w:r>
      <w:r w:rsidR="00093A94">
        <w:rPr>
          <w:rFonts w:ascii="Calibri" w:hAnsi="Calibri" w:cs="Calibri"/>
        </w:rPr>
        <w:t>:</w:t>
      </w:r>
      <w:r w:rsidRPr="00AC77F6">
        <w:rPr>
          <w:rFonts w:ascii="Calibri" w:hAnsi="Calibri" w:cs="Calibri"/>
        </w:rPr>
        <w:t xml:space="preserve"> a change in the burden hours per response; and a change in the number of annual responses.</w:t>
      </w:r>
      <w:r w:rsidR="009D15DD">
        <w:rPr>
          <w:rFonts w:ascii="Calibri" w:hAnsi="Calibri" w:cs="Calibri"/>
        </w:rPr>
        <w:t xml:space="preserve"> The</w:t>
      </w:r>
      <w:r w:rsidR="00AB44E4">
        <w:rPr>
          <w:rFonts w:ascii="Calibri" w:hAnsi="Calibri" w:cs="Calibri"/>
        </w:rPr>
        <w:t xml:space="preserve"> burden was calculated for these respondents by splitting the </w:t>
      </w:r>
      <w:r w:rsidR="00EA485B">
        <w:rPr>
          <w:rFonts w:ascii="Calibri" w:hAnsi="Calibri" w:cs="Calibri"/>
        </w:rPr>
        <w:t>burden</w:t>
      </w:r>
      <w:r w:rsidR="003D6826">
        <w:rPr>
          <w:rFonts w:ascii="Calibri" w:hAnsi="Calibri" w:cs="Calibri"/>
        </w:rPr>
        <w:t xml:space="preserve"> up</w:t>
      </w:r>
      <w:r w:rsidR="00AB44E4">
        <w:rPr>
          <w:rFonts w:ascii="Calibri" w:hAnsi="Calibri" w:cs="Calibri"/>
        </w:rPr>
        <w:t xml:space="preserve"> into </w:t>
      </w:r>
      <w:r w:rsidR="009C3010">
        <w:rPr>
          <w:rFonts w:ascii="Calibri" w:hAnsi="Calibri" w:cs="Calibri"/>
        </w:rPr>
        <w:t>two separate calculations</w:t>
      </w:r>
      <w:r w:rsidR="00442CEE">
        <w:rPr>
          <w:rFonts w:ascii="Calibri" w:hAnsi="Calibri" w:cs="Calibri"/>
        </w:rPr>
        <w:t xml:space="preserve">. </w:t>
      </w:r>
      <w:r w:rsidR="00C47245">
        <w:rPr>
          <w:rFonts w:ascii="Calibri" w:hAnsi="Calibri" w:cs="Calibri"/>
        </w:rPr>
        <w:t>The total number of annual responses for sectors that previously required benchmark monitoring was determined to be</w:t>
      </w:r>
      <w:r w:rsidR="00EE663B">
        <w:rPr>
          <w:rFonts w:ascii="Calibri" w:hAnsi="Calibri" w:cs="Calibri"/>
        </w:rPr>
        <w:t xml:space="preserve"> 6</w:t>
      </w:r>
      <w:r w:rsidR="003D7121">
        <w:rPr>
          <w:rFonts w:ascii="Calibri" w:hAnsi="Calibri" w:cs="Calibri"/>
        </w:rPr>
        <w:t>,</w:t>
      </w:r>
      <w:r w:rsidR="00EE663B">
        <w:rPr>
          <w:rFonts w:ascii="Calibri" w:hAnsi="Calibri" w:cs="Calibri"/>
        </w:rPr>
        <w:t xml:space="preserve">986 </w:t>
      </w:r>
      <w:r w:rsidR="00C47245">
        <w:rPr>
          <w:rFonts w:ascii="Calibri" w:hAnsi="Calibri" w:cs="Calibri"/>
        </w:rPr>
        <w:t>responses based on the following</w:t>
      </w:r>
      <w:r w:rsidR="009C3010">
        <w:rPr>
          <w:rFonts w:ascii="Calibri" w:hAnsi="Calibri" w:cs="Calibri"/>
        </w:rPr>
        <w:t>:</w:t>
      </w:r>
    </w:p>
    <w:p w:rsidR="00F303FD" w:rsidRPr="00825882" w:rsidP="13E1A6A2" w14:paraId="70325AB6" w14:textId="06299157">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49710A">
        <w:rPr>
          <w:rFonts w:ascii="Calibri" w:hAnsi="Calibri" w:cs="Calibri"/>
          <w:u w:val="single"/>
        </w:rPr>
        <w:t xml:space="preserve">Burden based on change in monitoring frequency: </w:t>
      </w:r>
      <w:r w:rsidRPr="00AC77F6">
        <w:rPr>
          <w:rFonts w:ascii="Calibri" w:hAnsi="Calibri" w:cs="Calibri"/>
        </w:rPr>
        <w:t xml:space="preserve">The change in the number of annual responses is </w:t>
      </w:r>
      <w:r>
        <w:rPr>
          <w:rFonts w:ascii="Calibri" w:hAnsi="Calibri" w:cs="Calibri"/>
        </w:rPr>
        <w:t>due to changes between the proposed 2026 MSGP requirements and the 2021 MSGP requirements.</w:t>
      </w:r>
      <w:r w:rsidRPr="00AC77F6">
        <w:rPr>
          <w:rFonts w:ascii="Calibri" w:hAnsi="Calibri" w:cs="Calibri"/>
        </w:rPr>
        <w:t xml:space="preserve"> </w:t>
      </w:r>
      <w:r>
        <w:rPr>
          <w:rFonts w:ascii="Calibri" w:hAnsi="Calibri" w:cs="Calibri"/>
        </w:rPr>
        <w:t>T</w:t>
      </w:r>
      <w:r w:rsidRPr="00AC77F6">
        <w:rPr>
          <w:rFonts w:ascii="Calibri" w:hAnsi="Calibri" w:cs="Calibri"/>
        </w:rPr>
        <w:t xml:space="preserve">he proposed 2026 MSGP would require more quarterly monitoring events for all </w:t>
      </w:r>
      <w:r w:rsidRPr="00AC77F6">
        <w:rPr>
          <w:rFonts w:ascii="Calibri" w:hAnsi="Calibri" w:cs="Calibri"/>
        </w:rPr>
        <w:t>sectors with benchmark monitoring, when compared to the 2021 MSGP (see discussion in 12.c for more details). Using the same assumption from the 2021 MSGP ICR that 40% of respondents would exceed a benchmark threshold annually and trigger additional monitoring requirements, EPA determined that each respondent would have an average of 6.03 reporting events per year. This is an increase from the assumption of 5.22 reporting events per year from the 2021 MSGP ICR. Thus, the incremental increase in annual report</w:t>
      </w:r>
      <w:r w:rsidRPr="00AC77F6">
        <w:rPr>
          <w:rFonts w:ascii="Calibri" w:hAnsi="Calibri" w:cs="Calibri"/>
        </w:rPr>
        <w:t>ing frequency of 0.81 responses per year (i.e., 6.03 minus 5.22) was used to calculate the incremental change in burden for sectors with existing benchmark monitoring requirements.</w:t>
      </w:r>
      <w:r w:rsidR="00723BB2">
        <w:rPr>
          <w:rFonts w:ascii="Calibri" w:hAnsi="Calibri" w:cs="Calibri"/>
        </w:rPr>
        <w:t xml:space="preserve"> </w:t>
      </w:r>
      <w:r w:rsidR="00ED1AE5">
        <w:rPr>
          <w:rFonts w:ascii="Calibri" w:hAnsi="Calibri" w:cs="Calibri"/>
        </w:rPr>
        <w:t xml:space="preserve"> </w:t>
      </w:r>
      <w:r w:rsidR="00236B70">
        <w:rPr>
          <w:rFonts w:ascii="Calibri" w:hAnsi="Calibri" w:cs="Calibri"/>
        </w:rPr>
        <w:t xml:space="preserve">The number of facilities per sector was multiplied by this 0.81 incremental frequency to </w:t>
      </w:r>
      <w:r w:rsidR="00EF36C8">
        <w:rPr>
          <w:rFonts w:ascii="Calibri" w:hAnsi="Calibri" w:cs="Calibri"/>
        </w:rPr>
        <w:t>calculate the incremental number of samples per sector</w:t>
      </w:r>
      <w:r w:rsidR="00840C7B">
        <w:rPr>
          <w:rFonts w:ascii="Calibri" w:hAnsi="Calibri" w:cs="Calibri"/>
        </w:rPr>
        <w:t xml:space="preserve"> for a total</w:t>
      </w:r>
      <w:r w:rsidR="00EF36C8">
        <w:rPr>
          <w:rFonts w:ascii="Calibri" w:hAnsi="Calibri" w:cs="Calibri"/>
        </w:rPr>
        <w:t xml:space="preserve"> of 941 </w:t>
      </w:r>
      <w:r w:rsidR="00D2321D">
        <w:rPr>
          <w:rFonts w:ascii="Calibri" w:hAnsi="Calibri" w:cs="Calibri"/>
        </w:rPr>
        <w:t>incremental annual responses</w:t>
      </w:r>
      <w:r w:rsidR="00386D6F">
        <w:rPr>
          <w:rFonts w:ascii="Calibri" w:hAnsi="Calibri" w:cs="Calibri"/>
        </w:rPr>
        <w:t>.</w:t>
      </w:r>
    </w:p>
    <w:p w:rsidR="00AB7D0F" w:rsidRPr="00825882" w:rsidP="00AB7D0F" w14:paraId="3562B5D3" w14:textId="08D72F89">
      <w:pPr>
        <w:pStyle w:val="ListParagraph"/>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825882">
        <w:rPr>
          <w:rFonts w:ascii="Calibri" w:hAnsi="Calibri" w:cs="Calibri"/>
          <w:u w:val="single"/>
        </w:rPr>
        <w:t xml:space="preserve">Burden based on change in hours per response: </w:t>
      </w:r>
      <w:r w:rsidRPr="00AC77F6" w:rsidR="00AC77F6">
        <w:rPr>
          <w:rFonts w:ascii="Calibri" w:hAnsi="Calibri" w:cs="Calibri"/>
        </w:rPr>
        <w:t xml:space="preserve">The change in the burden hours per response is due to EPA’s use </w:t>
      </w:r>
      <w:r w:rsidR="002C0608">
        <w:rPr>
          <w:rFonts w:ascii="Calibri" w:hAnsi="Calibri" w:cs="Calibri"/>
        </w:rPr>
        <w:t xml:space="preserve">of 2021 MSGP NOI data to estimate </w:t>
      </w:r>
      <w:r w:rsidRPr="00AC77F6" w:rsidR="00AC77F6">
        <w:rPr>
          <w:rFonts w:ascii="Calibri" w:hAnsi="Calibri" w:cs="Calibri"/>
        </w:rPr>
        <w:t xml:space="preserve">the number of discharge points per facility. For this calculation, EPA used the average number of discharge points per facility (1.98) for facilities with benchmark limits, which is lower than what was used in the 2021 MSGP ICR (2.04), resulting in an overall decrease in burden for this sub-population. Following the same methodology used in the 2021 MSGP ICR (i.e., multiplying the average number of discharge points per facility by the average number of parameters per sector and the data entry burden of 0.06 hours/parameter), EPA determined the average burden for each DMR submittal to be 0.35 hours. This is a decrease from the previous determination of 0.36 hours per response made in </w:t>
      </w:r>
      <w:r w:rsidRPr="00AC77F6" w:rsidR="00AC77F6">
        <w:rPr>
          <w:rFonts w:ascii="Calibri" w:hAnsi="Calibri" w:cs="Calibri"/>
        </w:rPr>
        <w:t>the 2021 MSGP ICR.</w:t>
      </w:r>
      <w:r w:rsidR="009F1F24">
        <w:rPr>
          <w:rFonts w:ascii="Calibri" w:hAnsi="Calibri" w:cs="Calibri"/>
        </w:rPr>
        <w:t xml:space="preserve"> The incremental </w:t>
      </w:r>
      <w:r w:rsidR="00BB7E98">
        <w:rPr>
          <w:rFonts w:ascii="Calibri" w:hAnsi="Calibri" w:cs="Calibri"/>
        </w:rPr>
        <w:t xml:space="preserve">burden for this </w:t>
      </w:r>
      <w:r w:rsidR="004D065F">
        <w:rPr>
          <w:rFonts w:ascii="Calibri" w:hAnsi="Calibri" w:cs="Calibri"/>
        </w:rPr>
        <w:t xml:space="preserve">change in hours per response </w:t>
      </w:r>
      <w:r w:rsidR="00BB0FC8">
        <w:rPr>
          <w:rFonts w:ascii="Calibri" w:hAnsi="Calibri" w:cs="Calibri"/>
        </w:rPr>
        <w:t xml:space="preserve">was calculated by </w:t>
      </w:r>
      <w:r w:rsidR="004D065F">
        <w:rPr>
          <w:rFonts w:ascii="Calibri" w:hAnsi="Calibri" w:cs="Calibri"/>
        </w:rPr>
        <w:t xml:space="preserve">determining </w:t>
      </w:r>
      <w:r w:rsidR="002029FD">
        <w:rPr>
          <w:rFonts w:ascii="Calibri" w:hAnsi="Calibri" w:cs="Calibri"/>
        </w:rPr>
        <w:t>the incremental annual responses for each facility with existing benchmark monitoring (</w:t>
      </w:r>
      <w:r w:rsidR="004D065F">
        <w:rPr>
          <w:rFonts w:ascii="Calibri" w:hAnsi="Calibri" w:cs="Calibri"/>
        </w:rPr>
        <w:t xml:space="preserve">i.e., </w:t>
      </w:r>
      <w:r w:rsidR="002029FD">
        <w:rPr>
          <w:rFonts w:ascii="Calibri" w:hAnsi="Calibri" w:cs="Calibri"/>
        </w:rPr>
        <w:t xml:space="preserve">multiplying </w:t>
      </w:r>
      <w:r w:rsidR="00DF08A2">
        <w:rPr>
          <w:rFonts w:ascii="Calibri" w:hAnsi="Calibri" w:cs="Calibri"/>
        </w:rPr>
        <w:t xml:space="preserve">the number of </w:t>
      </w:r>
      <w:r w:rsidR="00656497">
        <w:rPr>
          <w:rFonts w:ascii="Calibri" w:hAnsi="Calibri" w:cs="Calibri"/>
        </w:rPr>
        <w:t xml:space="preserve">permittees per sector by </w:t>
      </w:r>
      <w:r w:rsidR="00F73206">
        <w:rPr>
          <w:rFonts w:ascii="Calibri" w:hAnsi="Calibri" w:cs="Calibri"/>
        </w:rPr>
        <w:t>2021 assumption of 5.22</w:t>
      </w:r>
      <w:r w:rsidR="002103BB">
        <w:rPr>
          <w:rFonts w:ascii="Calibri" w:hAnsi="Calibri" w:cs="Calibri"/>
        </w:rPr>
        <w:t xml:space="preserve"> </w:t>
      </w:r>
      <w:r w:rsidR="00656497">
        <w:rPr>
          <w:rFonts w:ascii="Calibri" w:hAnsi="Calibri" w:cs="Calibri"/>
        </w:rPr>
        <w:t xml:space="preserve">annual reporting </w:t>
      </w:r>
      <w:r w:rsidR="002103BB">
        <w:rPr>
          <w:rFonts w:ascii="Calibri" w:hAnsi="Calibri" w:cs="Calibri"/>
        </w:rPr>
        <w:t>events</w:t>
      </w:r>
      <w:r w:rsidR="00153434">
        <w:rPr>
          <w:rFonts w:ascii="Calibri" w:hAnsi="Calibri" w:cs="Calibri"/>
        </w:rPr>
        <w:t xml:space="preserve">, </w:t>
      </w:r>
      <w:r>
        <w:rPr>
          <w:rFonts w:ascii="Calibri" w:hAnsi="Calibri" w:cs="Calibri"/>
        </w:rPr>
        <w:t>described</w:t>
      </w:r>
      <w:r w:rsidR="00656497">
        <w:rPr>
          <w:rFonts w:ascii="Calibri" w:hAnsi="Calibri" w:cs="Calibri"/>
        </w:rPr>
        <w:t xml:space="preserve"> above</w:t>
      </w:r>
      <w:r w:rsidR="004538D0">
        <w:rPr>
          <w:rFonts w:ascii="Calibri" w:hAnsi="Calibri" w:cs="Calibri"/>
        </w:rPr>
        <w:t>, for a total of 6,045</w:t>
      </w:r>
      <w:r>
        <w:rPr>
          <w:rFonts w:ascii="Calibri" w:hAnsi="Calibri" w:cs="Calibri"/>
        </w:rPr>
        <w:t xml:space="preserve"> responses).</w:t>
      </w:r>
    </w:p>
    <w:p w:rsidR="004366D4" w:rsidRPr="00E2329D" w:rsidP="002A206C" w14:paraId="1571F3CB" w14:textId="6C94579A">
      <w:pPr>
        <w:pStyle w:val="ListParagraph"/>
        <w:numPr>
          <w:ilvl w:val="1"/>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u w:val="single"/>
        </w:rPr>
        <w:t xml:space="preserve">Burden for </w:t>
      </w:r>
      <w:r w:rsidRPr="00825882" w:rsidR="00AC77F6">
        <w:rPr>
          <w:rFonts w:ascii="Calibri" w:hAnsi="Calibri" w:cs="Calibri"/>
          <w:u w:val="single"/>
        </w:rPr>
        <w:t>respondents getting new benchmark monitoring requirements</w:t>
      </w:r>
      <w:r w:rsidR="002A206C">
        <w:rPr>
          <w:rFonts w:ascii="Calibri" w:hAnsi="Calibri" w:cs="Calibri"/>
          <w:u w:val="single"/>
        </w:rPr>
        <w:t>:</w:t>
      </w:r>
      <w:r w:rsidRPr="000714BA" w:rsidR="002A206C">
        <w:rPr>
          <w:rFonts w:ascii="Calibri" w:hAnsi="Calibri" w:cs="Calibri"/>
        </w:rPr>
        <w:t xml:space="preserve"> This</w:t>
      </w:r>
      <w:r w:rsidRPr="00AC77F6" w:rsidR="00AC77F6">
        <w:rPr>
          <w:rFonts w:ascii="Calibri" w:hAnsi="Calibri" w:cs="Calibri"/>
        </w:rPr>
        <w:t xml:space="preserve"> was determined using the same assumption of 1.98 discharge points per facility and 6.03 reporting events per year. Following the same methodology described above, the burden hours per response was determined to be 1.04 hours per response. This </w:t>
      </w:r>
      <w:r w:rsidR="002C4724">
        <w:rPr>
          <w:rFonts w:ascii="Calibri" w:hAnsi="Calibri" w:cs="Calibri"/>
        </w:rPr>
        <w:t xml:space="preserve">burden </w:t>
      </w:r>
      <w:r w:rsidRPr="00AC77F6" w:rsidR="00AC77F6">
        <w:rPr>
          <w:rFonts w:ascii="Calibri" w:hAnsi="Calibri" w:cs="Calibri"/>
        </w:rPr>
        <w:t xml:space="preserve">is </w:t>
      </w:r>
      <w:r w:rsidR="00031272">
        <w:rPr>
          <w:rFonts w:ascii="Calibri" w:hAnsi="Calibri" w:cs="Calibri"/>
        </w:rPr>
        <w:t>higher</w:t>
      </w:r>
      <w:r w:rsidRPr="00AC77F6" w:rsidR="00AC77F6">
        <w:rPr>
          <w:rFonts w:ascii="Calibri" w:hAnsi="Calibri" w:cs="Calibri"/>
        </w:rPr>
        <w:t xml:space="preserve"> than the 0.35 hours for sectors with existing benchmark</w:t>
      </w:r>
      <w:r w:rsidR="00A45B2C">
        <w:rPr>
          <w:rFonts w:ascii="Calibri" w:hAnsi="Calibri" w:cs="Calibri"/>
        </w:rPr>
        <w:t xml:space="preserve"> requirements</w:t>
      </w:r>
      <w:r w:rsidRPr="00AC77F6" w:rsidR="00AC77F6">
        <w:rPr>
          <w:rFonts w:ascii="Calibri" w:hAnsi="Calibri" w:cs="Calibri"/>
        </w:rPr>
        <w:t xml:space="preserve"> </w:t>
      </w:r>
      <w:r w:rsidR="00A45B2C">
        <w:rPr>
          <w:rFonts w:ascii="Calibri" w:hAnsi="Calibri" w:cs="Calibri"/>
        </w:rPr>
        <w:t>given</w:t>
      </w:r>
      <w:r w:rsidRPr="00AC77F6" w:rsidR="00AC77F6">
        <w:rPr>
          <w:rFonts w:ascii="Calibri" w:hAnsi="Calibri" w:cs="Calibri"/>
        </w:rPr>
        <w:t xml:space="preserve"> the sectors </w:t>
      </w:r>
      <w:r w:rsidR="00031272">
        <w:rPr>
          <w:rFonts w:ascii="Calibri" w:hAnsi="Calibri" w:cs="Calibri"/>
        </w:rPr>
        <w:t>that would have</w:t>
      </w:r>
      <w:r w:rsidRPr="00AC77F6" w:rsidR="00AC77F6">
        <w:rPr>
          <w:rFonts w:ascii="Calibri" w:hAnsi="Calibri" w:cs="Calibri"/>
        </w:rPr>
        <w:t xml:space="preserve"> </w:t>
      </w:r>
      <w:r w:rsidR="00A45B2C">
        <w:rPr>
          <w:rFonts w:ascii="Calibri" w:hAnsi="Calibri" w:cs="Calibri"/>
        </w:rPr>
        <w:t xml:space="preserve">new </w:t>
      </w:r>
      <w:r w:rsidRPr="00AC77F6" w:rsidR="00AC77F6">
        <w:rPr>
          <w:rFonts w:ascii="Calibri" w:hAnsi="Calibri" w:cs="Calibri"/>
        </w:rPr>
        <w:t xml:space="preserve">benchmark monitoring requirements </w:t>
      </w:r>
      <w:r w:rsidR="00176BCE">
        <w:rPr>
          <w:rFonts w:ascii="Calibri" w:hAnsi="Calibri" w:cs="Calibri"/>
        </w:rPr>
        <w:t>in general</w:t>
      </w:r>
      <w:r w:rsidRPr="00AC77F6" w:rsidR="00AC77F6">
        <w:rPr>
          <w:rFonts w:ascii="Calibri" w:hAnsi="Calibri" w:cs="Calibri"/>
        </w:rPr>
        <w:t xml:space="preserve"> have more parameters than the existing sectors. Because these requirements are new to the proposed 2026 MSGP, this burden was not accounted for in the 2021 MSGP ICR.</w:t>
      </w:r>
    </w:p>
    <w:p w:rsidR="004366D4" w:rsidRPr="00190645" w:rsidP="00190645" w14:paraId="24C2642C" w14:textId="7E7BEBEF">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773284">
        <w:rPr>
          <w:rFonts w:ascii="Calibri" w:hAnsi="Calibri" w:cs="Calibri"/>
          <w:b/>
          <w:bCs/>
        </w:rPr>
        <w:t>pH, TSS, COD indicator monitoring:</w:t>
      </w:r>
      <w:r>
        <w:rPr>
          <w:rFonts w:ascii="Calibri" w:hAnsi="Calibri" w:cs="Calibri"/>
        </w:rPr>
        <w:t xml:space="preserve"> </w:t>
      </w:r>
      <w:r w:rsidRPr="00366777">
        <w:rPr>
          <w:rFonts w:ascii="Calibri" w:hAnsi="Calibri" w:cs="Calibri"/>
        </w:rPr>
        <w:t>Based on 2021 MSGP</w:t>
      </w:r>
      <w:r w:rsidRPr="00366777" w:rsidR="001D53F8">
        <w:rPr>
          <w:rFonts w:ascii="Calibri" w:hAnsi="Calibri" w:cs="Calibri"/>
        </w:rPr>
        <w:t xml:space="preserve"> NOI</w:t>
      </w:r>
      <w:r w:rsidRPr="00366777">
        <w:rPr>
          <w:rFonts w:ascii="Calibri" w:hAnsi="Calibri" w:cs="Calibri"/>
        </w:rPr>
        <w:t xml:space="preserve"> data, EPA estimates that there are approximately </w:t>
      </w:r>
      <w:r w:rsidR="00A82555">
        <w:rPr>
          <w:rFonts w:ascii="Calibri" w:hAnsi="Calibri" w:cs="Calibri"/>
        </w:rPr>
        <w:t>712</w:t>
      </w:r>
      <w:r w:rsidRPr="00366777">
        <w:rPr>
          <w:rFonts w:ascii="Calibri" w:hAnsi="Calibri" w:cs="Calibri"/>
        </w:rPr>
        <w:t xml:space="preserve"> respondents </w:t>
      </w:r>
      <w:r w:rsidR="000665F1">
        <w:rPr>
          <w:rFonts w:ascii="Calibri" w:hAnsi="Calibri" w:cs="Calibri"/>
        </w:rPr>
        <w:t>that would move</w:t>
      </w:r>
      <w:r w:rsidRPr="00366777" w:rsidR="000665F1">
        <w:rPr>
          <w:rFonts w:ascii="Calibri" w:hAnsi="Calibri" w:cs="Calibri"/>
        </w:rPr>
        <w:t xml:space="preserve"> </w:t>
      </w:r>
      <w:r w:rsidRPr="00366777">
        <w:rPr>
          <w:rFonts w:ascii="Calibri" w:hAnsi="Calibri" w:cs="Calibri"/>
        </w:rPr>
        <w:t xml:space="preserve">from indicator to benchmark monitoring </w:t>
      </w:r>
      <w:r w:rsidRPr="00366777" w:rsidR="001309D7">
        <w:rPr>
          <w:rFonts w:ascii="Calibri" w:hAnsi="Calibri" w:cs="Calibri"/>
        </w:rPr>
        <w:t xml:space="preserve">(described in 12.a) </w:t>
      </w:r>
      <w:r w:rsidR="000665F1">
        <w:rPr>
          <w:rFonts w:ascii="Calibri" w:hAnsi="Calibri" w:cs="Calibri"/>
        </w:rPr>
        <w:t>under the proposed 2026 MSGP</w:t>
      </w:r>
      <w:r w:rsidRPr="00366777" w:rsidR="001309D7">
        <w:rPr>
          <w:rFonts w:ascii="Calibri" w:hAnsi="Calibri" w:cs="Calibri"/>
        </w:rPr>
        <w:t xml:space="preserve"> </w:t>
      </w:r>
      <w:r w:rsidR="00075044">
        <w:rPr>
          <w:rFonts w:ascii="Calibri" w:hAnsi="Calibri" w:cs="Calibri"/>
        </w:rPr>
        <w:t>and would</w:t>
      </w:r>
      <w:r w:rsidRPr="00366777" w:rsidR="00075044">
        <w:rPr>
          <w:rFonts w:ascii="Calibri" w:hAnsi="Calibri" w:cs="Calibri"/>
        </w:rPr>
        <w:t xml:space="preserve"> </w:t>
      </w:r>
      <w:r w:rsidRPr="00366777">
        <w:rPr>
          <w:rFonts w:ascii="Calibri" w:hAnsi="Calibri" w:cs="Calibri"/>
        </w:rPr>
        <w:t>no longer need to perform quarterly indicator monitoring</w:t>
      </w:r>
      <w:r w:rsidR="005B5653">
        <w:rPr>
          <w:rFonts w:ascii="Calibri" w:hAnsi="Calibri" w:cs="Calibri"/>
        </w:rPr>
        <w:t xml:space="preserve"> </w:t>
      </w:r>
      <w:r w:rsidRPr="00366777" w:rsidR="00D33157">
        <w:rPr>
          <w:rFonts w:ascii="Calibri" w:hAnsi="Calibri" w:cs="Calibri"/>
        </w:rPr>
        <w:t>for these three parameters</w:t>
      </w:r>
      <w:r w:rsidR="00D33157">
        <w:rPr>
          <w:rFonts w:ascii="Calibri" w:hAnsi="Calibri" w:cs="Calibri"/>
        </w:rPr>
        <w:t xml:space="preserve">, </w:t>
      </w:r>
      <w:r w:rsidR="005B5653">
        <w:rPr>
          <w:rFonts w:ascii="Calibri" w:hAnsi="Calibri" w:cs="Calibri"/>
        </w:rPr>
        <w:t xml:space="preserve">for the </w:t>
      </w:r>
      <w:r w:rsidR="00832C46">
        <w:rPr>
          <w:rFonts w:ascii="Calibri" w:hAnsi="Calibri" w:cs="Calibri"/>
        </w:rPr>
        <w:t>entire 5-year permit term (i.e.,</w:t>
      </w:r>
      <w:r w:rsidRPr="00366777">
        <w:rPr>
          <w:rFonts w:ascii="Calibri" w:hAnsi="Calibri" w:cs="Calibri"/>
        </w:rPr>
        <w:t xml:space="preserve"> 20 times</w:t>
      </w:r>
      <w:r w:rsidR="00D33157">
        <w:rPr>
          <w:rFonts w:ascii="Calibri" w:hAnsi="Calibri" w:cs="Calibri"/>
        </w:rPr>
        <w:t xml:space="preserve"> total</w:t>
      </w:r>
      <w:r w:rsidR="00832C46">
        <w:rPr>
          <w:rFonts w:ascii="Calibri" w:hAnsi="Calibri" w:cs="Calibri"/>
        </w:rPr>
        <w:t>)</w:t>
      </w:r>
      <w:r w:rsidRPr="00366777">
        <w:rPr>
          <w:rFonts w:ascii="Calibri" w:hAnsi="Calibri" w:cs="Calibri"/>
        </w:rPr>
        <w:t xml:space="preserve">. </w:t>
      </w:r>
      <w:r w:rsidR="007E4992">
        <w:rPr>
          <w:rFonts w:ascii="Calibri" w:hAnsi="Calibri" w:cs="Calibri"/>
        </w:rPr>
        <w:t xml:space="preserve">Because of this, there is a reduction in burden for this activity. </w:t>
      </w:r>
      <w:r w:rsidRPr="00366777">
        <w:rPr>
          <w:rFonts w:ascii="Calibri" w:hAnsi="Calibri" w:cs="Calibri"/>
        </w:rPr>
        <w:t xml:space="preserve">EPA </w:t>
      </w:r>
      <w:r w:rsidR="00513640">
        <w:rPr>
          <w:rFonts w:ascii="Calibri" w:hAnsi="Calibri" w:cs="Calibri"/>
        </w:rPr>
        <w:t>calculated the reduction in burden</w:t>
      </w:r>
      <w:r w:rsidR="007D708C">
        <w:rPr>
          <w:rFonts w:ascii="Calibri" w:hAnsi="Calibri" w:cs="Calibri"/>
        </w:rPr>
        <w:t xml:space="preserve"> for these respondents</w:t>
      </w:r>
      <w:r w:rsidR="00513640">
        <w:rPr>
          <w:rFonts w:ascii="Calibri" w:hAnsi="Calibri" w:cs="Calibri"/>
        </w:rPr>
        <w:t xml:space="preserve"> </w:t>
      </w:r>
      <w:r w:rsidRPr="00366777">
        <w:rPr>
          <w:rFonts w:ascii="Calibri" w:hAnsi="Calibri" w:cs="Calibri"/>
        </w:rPr>
        <w:t>us</w:t>
      </w:r>
      <w:r w:rsidR="003E2C08">
        <w:rPr>
          <w:rFonts w:ascii="Calibri" w:hAnsi="Calibri" w:cs="Calibri"/>
        </w:rPr>
        <w:t>ing</w:t>
      </w:r>
      <w:r w:rsidRPr="00366777">
        <w:rPr>
          <w:rFonts w:ascii="Calibri" w:hAnsi="Calibri" w:cs="Calibri"/>
        </w:rPr>
        <w:t xml:space="preserve"> the </w:t>
      </w:r>
      <w:r w:rsidR="007E4992">
        <w:rPr>
          <w:rFonts w:ascii="Calibri" w:hAnsi="Calibri" w:cs="Calibri"/>
        </w:rPr>
        <w:t xml:space="preserve">same assumption from the </w:t>
      </w:r>
      <w:r w:rsidRPr="00366777">
        <w:rPr>
          <w:rFonts w:ascii="Calibri" w:hAnsi="Calibri" w:cs="Calibri"/>
        </w:rPr>
        <w:t xml:space="preserve">2021 </w:t>
      </w:r>
      <w:r w:rsidR="007E4992">
        <w:rPr>
          <w:rFonts w:ascii="Calibri" w:hAnsi="Calibri" w:cs="Calibri"/>
        </w:rPr>
        <w:t xml:space="preserve">MSGP </w:t>
      </w:r>
      <w:r w:rsidRPr="00366777">
        <w:rPr>
          <w:rFonts w:ascii="Calibri" w:hAnsi="Calibri" w:cs="Calibri"/>
        </w:rPr>
        <w:t>ICR</w:t>
      </w:r>
      <w:r w:rsidR="00075D0E">
        <w:rPr>
          <w:rFonts w:ascii="Calibri" w:hAnsi="Calibri" w:cs="Calibri"/>
        </w:rPr>
        <w:t>,</w:t>
      </w:r>
      <w:r w:rsidR="00A13B5A">
        <w:rPr>
          <w:rFonts w:ascii="Calibri" w:hAnsi="Calibri" w:cs="Calibri"/>
        </w:rPr>
        <w:t xml:space="preserve"> </w:t>
      </w:r>
      <w:r w:rsidR="00075D0E">
        <w:rPr>
          <w:rFonts w:ascii="Calibri" w:hAnsi="Calibri" w:cs="Calibri"/>
        </w:rPr>
        <w:t xml:space="preserve">which was </w:t>
      </w:r>
      <w:r w:rsidRPr="00366777">
        <w:rPr>
          <w:rFonts w:ascii="Calibri" w:hAnsi="Calibri" w:cs="Calibri"/>
        </w:rPr>
        <w:t xml:space="preserve">that each respondent will need 0.36 hours </w:t>
      </w:r>
      <w:r w:rsidR="002B266A">
        <w:rPr>
          <w:rFonts w:ascii="Calibri" w:hAnsi="Calibri" w:cs="Calibri"/>
        </w:rPr>
        <w:t xml:space="preserve">to </w:t>
      </w:r>
      <w:r w:rsidR="00961413">
        <w:rPr>
          <w:rFonts w:ascii="Calibri" w:hAnsi="Calibri" w:cs="Calibri"/>
        </w:rPr>
        <w:t xml:space="preserve">complete each DMR </w:t>
      </w:r>
      <w:r w:rsidR="002B266A">
        <w:rPr>
          <w:rFonts w:ascii="Calibri" w:hAnsi="Calibri" w:cs="Calibri"/>
        </w:rPr>
        <w:t>for these parameters</w:t>
      </w:r>
      <w:r w:rsidRPr="00366777">
        <w:rPr>
          <w:rFonts w:ascii="Calibri" w:hAnsi="Calibri" w:cs="Calibri"/>
        </w:rPr>
        <w:t>.</w:t>
      </w:r>
    </w:p>
    <w:p w:rsidR="004366D4" w:rsidRPr="00190645" w:rsidP="00190645" w14:paraId="4F7FCC72" w14:textId="33DAC779">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773284">
        <w:rPr>
          <w:rFonts w:ascii="Calibri" w:hAnsi="Calibri" w:cs="Calibri"/>
          <w:b/>
          <w:bCs/>
        </w:rPr>
        <w:t>PAH indicator monitoring</w:t>
      </w:r>
      <w:r>
        <w:rPr>
          <w:rFonts w:ascii="Calibri" w:hAnsi="Calibri" w:cs="Calibri"/>
        </w:rPr>
        <w:t>:</w:t>
      </w:r>
      <w:r w:rsidR="00366777">
        <w:rPr>
          <w:rFonts w:ascii="Calibri" w:hAnsi="Calibri" w:cs="Calibri"/>
        </w:rPr>
        <w:t xml:space="preserve"> </w:t>
      </w:r>
      <w:r w:rsidRPr="00366777">
        <w:rPr>
          <w:rFonts w:ascii="Calibri" w:hAnsi="Calibri" w:cs="Calibri"/>
        </w:rPr>
        <w:t>Based on 2021 MSGP</w:t>
      </w:r>
      <w:r w:rsidRPr="00366777" w:rsidR="0099257F">
        <w:rPr>
          <w:rFonts w:ascii="Calibri" w:hAnsi="Calibri" w:cs="Calibri"/>
        </w:rPr>
        <w:t xml:space="preserve"> </w:t>
      </w:r>
      <w:r w:rsidRPr="00366777" w:rsidR="00BA1F1E">
        <w:rPr>
          <w:rFonts w:ascii="Calibri" w:hAnsi="Calibri" w:cs="Calibri"/>
        </w:rPr>
        <w:t>NOI</w:t>
      </w:r>
      <w:r w:rsidRPr="00366777">
        <w:rPr>
          <w:rFonts w:ascii="Calibri" w:hAnsi="Calibri" w:cs="Calibri"/>
        </w:rPr>
        <w:t xml:space="preserve"> data, EPA estimates that a total of 727 respondents will perform PAH indicator monitoring</w:t>
      </w:r>
      <w:r w:rsidR="00475877">
        <w:rPr>
          <w:rFonts w:ascii="Calibri" w:hAnsi="Calibri" w:cs="Calibri"/>
        </w:rPr>
        <w:t xml:space="preserve">. </w:t>
      </w:r>
      <w:r w:rsidRPr="00366777">
        <w:rPr>
          <w:rFonts w:ascii="Calibri" w:hAnsi="Calibri" w:cs="Calibri"/>
        </w:rPr>
        <w:t>Each respondent would need to monitor for the 16 individual priority pollutant PAHs</w:t>
      </w:r>
      <w:r w:rsidR="004E4AB7">
        <w:rPr>
          <w:rFonts w:ascii="Calibri" w:hAnsi="Calibri" w:cs="Calibri"/>
        </w:rPr>
        <w:t xml:space="preserve"> and has an average of 2.13 discharge points</w:t>
      </w:r>
      <w:r>
        <w:rPr>
          <w:rStyle w:val="FootnoteReference"/>
          <w:rFonts w:ascii="Calibri" w:hAnsi="Calibri" w:cs="Calibri"/>
        </w:rPr>
        <w:footnoteReference w:id="4"/>
      </w:r>
      <w:r w:rsidRPr="00366777">
        <w:rPr>
          <w:rFonts w:ascii="Calibri" w:hAnsi="Calibri" w:cs="Calibri"/>
        </w:rPr>
        <w:t>, so EPA estimates that each respondent will need 2.04 hours per response</w:t>
      </w:r>
      <w:r w:rsidR="00BD0482">
        <w:rPr>
          <w:rFonts w:ascii="Calibri" w:hAnsi="Calibri" w:cs="Calibri"/>
        </w:rPr>
        <w:t>.</w:t>
      </w:r>
      <w:r w:rsidR="00A84632">
        <w:rPr>
          <w:rFonts w:ascii="Calibri" w:hAnsi="Calibri" w:cs="Calibri"/>
        </w:rPr>
        <w:t xml:space="preserve"> This is an incr</w:t>
      </w:r>
      <w:r w:rsidR="003B525E">
        <w:rPr>
          <w:rFonts w:ascii="Calibri" w:hAnsi="Calibri" w:cs="Calibri"/>
        </w:rPr>
        <w:t xml:space="preserve">ease of 0.12 hours per response from the 2021 MSGP ICR (which was 1.92 hours per response). This is a result of </w:t>
      </w:r>
      <w:r w:rsidR="00087842">
        <w:rPr>
          <w:rFonts w:ascii="Calibri" w:hAnsi="Calibri" w:cs="Calibri"/>
        </w:rPr>
        <w:t>using the 2021 NOI data to calculate an accurate</w:t>
      </w:r>
      <w:r w:rsidR="00E921DA">
        <w:rPr>
          <w:rFonts w:ascii="Calibri" w:hAnsi="Calibri" w:cs="Calibri"/>
        </w:rPr>
        <w:t xml:space="preserve"> </w:t>
      </w:r>
      <w:r w:rsidR="004A2593">
        <w:rPr>
          <w:rFonts w:ascii="Calibri" w:hAnsi="Calibri" w:cs="Calibri"/>
        </w:rPr>
        <w:t xml:space="preserve">number of discharge points </w:t>
      </w:r>
      <w:r w:rsidR="00DC63F1">
        <w:rPr>
          <w:rFonts w:ascii="Calibri" w:hAnsi="Calibri" w:cs="Calibri"/>
        </w:rPr>
        <w:t>which was used to calculate the hours per response (</w:t>
      </w:r>
      <w:r w:rsidR="00737F1A">
        <w:rPr>
          <w:rFonts w:ascii="Calibri" w:hAnsi="Calibri" w:cs="Calibri"/>
        </w:rPr>
        <w:t xml:space="preserve">i.e., </w:t>
      </w:r>
      <w:r w:rsidR="00DC63F1">
        <w:rPr>
          <w:rFonts w:ascii="Calibri" w:hAnsi="Calibri" w:cs="Calibri"/>
        </w:rPr>
        <w:t>0.06 hours per</w:t>
      </w:r>
      <w:r w:rsidR="0034750C">
        <w:rPr>
          <w:rFonts w:ascii="Calibri" w:hAnsi="Calibri" w:cs="Calibri"/>
        </w:rPr>
        <w:t xml:space="preserve"> element*16 PAH </w:t>
      </w:r>
      <w:r w:rsidR="00737F1A">
        <w:rPr>
          <w:rFonts w:ascii="Calibri" w:hAnsi="Calibri" w:cs="Calibri"/>
        </w:rPr>
        <w:t>pollutants</w:t>
      </w:r>
      <w:r w:rsidR="0034750C">
        <w:rPr>
          <w:rFonts w:ascii="Calibri" w:hAnsi="Calibri" w:cs="Calibri"/>
        </w:rPr>
        <w:t xml:space="preserve">*2.13 discharge </w:t>
      </w:r>
      <w:r w:rsidR="00737F1A">
        <w:rPr>
          <w:rFonts w:ascii="Calibri" w:hAnsi="Calibri" w:cs="Calibri"/>
        </w:rPr>
        <w:t xml:space="preserve">points). </w:t>
      </w:r>
      <w:r w:rsidR="009737BA">
        <w:rPr>
          <w:rFonts w:ascii="Calibri" w:hAnsi="Calibri" w:cs="Calibri"/>
        </w:rPr>
        <w:t>The</w:t>
      </w:r>
      <w:r w:rsidRPr="00366777" w:rsidR="009737BA">
        <w:rPr>
          <w:rFonts w:ascii="Calibri" w:hAnsi="Calibri" w:cs="Calibri"/>
        </w:rPr>
        <w:t xml:space="preserve"> change in collection schedule</w:t>
      </w:r>
      <w:r w:rsidR="009737BA">
        <w:rPr>
          <w:rFonts w:ascii="Calibri" w:hAnsi="Calibri" w:cs="Calibri"/>
        </w:rPr>
        <w:t xml:space="preserve"> that would apply under the proposed 2026 MSGP</w:t>
      </w:r>
      <w:r w:rsidRPr="00366777" w:rsidR="009737BA">
        <w:rPr>
          <w:rFonts w:ascii="Calibri" w:hAnsi="Calibri" w:cs="Calibri"/>
        </w:rPr>
        <w:t xml:space="preserve"> </w:t>
      </w:r>
      <w:r w:rsidR="009737BA">
        <w:rPr>
          <w:rFonts w:ascii="Calibri" w:hAnsi="Calibri" w:cs="Calibri"/>
        </w:rPr>
        <w:t xml:space="preserve">would require respondents to perform PAH indicator monitoring </w:t>
      </w:r>
      <w:r w:rsidRPr="00366777" w:rsidR="009737BA">
        <w:rPr>
          <w:rFonts w:ascii="Calibri" w:hAnsi="Calibri" w:cs="Calibri"/>
        </w:rPr>
        <w:t>twice a year in permit Years 1, 2, and 3</w:t>
      </w:r>
      <w:r w:rsidR="00F40003">
        <w:rPr>
          <w:rFonts w:ascii="Calibri" w:hAnsi="Calibri" w:cs="Calibri"/>
        </w:rPr>
        <w:t xml:space="preserve"> (i.e., 6 total events</w:t>
      </w:r>
      <w:r w:rsidR="00292D1A">
        <w:rPr>
          <w:rFonts w:ascii="Calibri" w:hAnsi="Calibri" w:cs="Calibri"/>
        </w:rPr>
        <w:t>)</w:t>
      </w:r>
      <w:r w:rsidRPr="00366777" w:rsidR="009737BA">
        <w:rPr>
          <w:rFonts w:ascii="Calibri" w:hAnsi="Calibri" w:cs="Calibri"/>
        </w:rPr>
        <w:t>.</w:t>
      </w:r>
      <w:r w:rsidR="00680E64">
        <w:rPr>
          <w:rFonts w:ascii="Calibri" w:hAnsi="Calibri" w:cs="Calibri"/>
        </w:rPr>
        <w:t xml:space="preserve"> This is a</w:t>
      </w:r>
      <w:r w:rsidR="006C1557">
        <w:rPr>
          <w:rFonts w:ascii="Calibri" w:hAnsi="Calibri" w:cs="Calibri"/>
        </w:rPr>
        <w:t>n</w:t>
      </w:r>
      <w:r w:rsidR="00680E64">
        <w:rPr>
          <w:rFonts w:ascii="Calibri" w:hAnsi="Calibri" w:cs="Calibri"/>
        </w:rPr>
        <w:t xml:space="preserve"> increase in the number of monitoring events compared to the 2021 MSGP, which required respondents to monitor twice a year in Years 1 and 4</w:t>
      </w:r>
      <w:r w:rsidR="00292D1A">
        <w:rPr>
          <w:rFonts w:ascii="Calibri" w:hAnsi="Calibri" w:cs="Calibri"/>
        </w:rPr>
        <w:t xml:space="preserve"> (i.e., 4 total events)</w:t>
      </w:r>
      <w:r w:rsidR="00680E64">
        <w:rPr>
          <w:rFonts w:ascii="Calibri" w:hAnsi="Calibri" w:cs="Calibri"/>
        </w:rPr>
        <w:t>.</w:t>
      </w:r>
      <w:r w:rsidRPr="00366777" w:rsidR="009737BA">
        <w:rPr>
          <w:rFonts w:ascii="Calibri" w:hAnsi="Calibri" w:cs="Calibri"/>
        </w:rPr>
        <w:t xml:space="preserve"> </w:t>
      </w:r>
      <w:r w:rsidR="003F2230">
        <w:rPr>
          <w:rFonts w:ascii="Calibri" w:hAnsi="Calibri" w:cs="Calibri"/>
        </w:rPr>
        <w:t xml:space="preserve">To account for the additional burden due to the incremental change in hours per </w:t>
      </w:r>
      <w:r w:rsidR="00225CF8">
        <w:rPr>
          <w:rFonts w:ascii="Calibri" w:hAnsi="Calibri" w:cs="Calibri"/>
        </w:rPr>
        <w:t>response, the</w:t>
      </w:r>
      <w:r w:rsidR="004C0F0F">
        <w:rPr>
          <w:rFonts w:ascii="Calibri" w:hAnsi="Calibri" w:cs="Calibri"/>
        </w:rPr>
        <w:t xml:space="preserve"> </w:t>
      </w:r>
      <w:r w:rsidR="003F2230">
        <w:rPr>
          <w:rFonts w:ascii="Calibri" w:hAnsi="Calibri" w:cs="Calibri"/>
        </w:rPr>
        <w:t>events</w:t>
      </w:r>
      <w:r w:rsidR="004C0F0F">
        <w:rPr>
          <w:rFonts w:ascii="Calibri" w:hAnsi="Calibri" w:cs="Calibri"/>
        </w:rPr>
        <w:t xml:space="preserve"> from the 2021 MSGP</w:t>
      </w:r>
      <w:r w:rsidR="00225CF8">
        <w:rPr>
          <w:rFonts w:ascii="Calibri" w:hAnsi="Calibri" w:cs="Calibri"/>
        </w:rPr>
        <w:t xml:space="preserve"> </w:t>
      </w:r>
      <w:r w:rsidR="003F2230">
        <w:rPr>
          <w:rFonts w:ascii="Calibri" w:hAnsi="Calibri" w:cs="Calibri"/>
        </w:rPr>
        <w:t>were multiplied by th</w:t>
      </w:r>
      <w:r w:rsidR="004C0F0F">
        <w:rPr>
          <w:rFonts w:ascii="Calibri" w:hAnsi="Calibri" w:cs="Calibri"/>
        </w:rPr>
        <w:t>e incremental burden (</w:t>
      </w:r>
      <w:r w:rsidR="00225CF8">
        <w:rPr>
          <w:rFonts w:ascii="Calibri" w:hAnsi="Calibri" w:cs="Calibri"/>
        </w:rPr>
        <w:t>4 total events</w:t>
      </w:r>
      <w:r w:rsidR="005E01A0">
        <w:rPr>
          <w:rFonts w:ascii="Calibri" w:hAnsi="Calibri" w:cs="Calibri"/>
        </w:rPr>
        <w:t>, or 0.8 annual events multiplied by 727 respondents, multiplied by 0.12 hours) for a t</w:t>
      </w:r>
      <w:r w:rsidR="00EC4DA4">
        <w:rPr>
          <w:rFonts w:ascii="Calibri" w:hAnsi="Calibri" w:cs="Calibri"/>
        </w:rPr>
        <w:t xml:space="preserve">otal burden of </w:t>
      </w:r>
      <w:r w:rsidR="00E70107">
        <w:rPr>
          <w:rFonts w:ascii="Calibri" w:hAnsi="Calibri" w:cs="Calibri"/>
        </w:rPr>
        <w:t>71 incremental hours</w:t>
      </w:r>
      <w:r w:rsidR="004C0F0F">
        <w:rPr>
          <w:rFonts w:ascii="Calibri" w:hAnsi="Calibri" w:cs="Calibri"/>
        </w:rPr>
        <w:t>.</w:t>
      </w:r>
      <w:r w:rsidR="003F2230">
        <w:rPr>
          <w:rFonts w:ascii="Calibri" w:hAnsi="Calibri" w:cs="Calibri"/>
        </w:rPr>
        <w:t xml:space="preserve"> </w:t>
      </w:r>
      <w:r w:rsidR="007031E9">
        <w:rPr>
          <w:rFonts w:ascii="Calibri" w:hAnsi="Calibri" w:cs="Calibri"/>
        </w:rPr>
        <w:t xml:space="preserve">For </w:t>
      </w:r>
      <w:r w:rsidR="00E70107">
        <w:rPr>
          <w:rFonts w:ascii="Calibri" w:hAnsi="Calibri" w:cs="Calibri"/>
        </w:rPr>
        <w:t>the additional 2 incremental sampling events from the</w:t>
      </w:r>
      <w:r w:rsidR="007031E9">
        <w:rPr>
          <w:rFonts w:ascii="Calibri" w:hAnsi="Calibri" w:cs="Calibri"/>
        </w:rPr>
        <w:t xml:space="preserve"> proposed 2026 MSGP ICR, EPA </w:t>
      </w:r>
      <w:r w:rsidR="000A0EA4">
        <w:rPr>
          <w:rFonts w:ascii="Calibri" w:hAnsi="Calibri" w:cs="Calibri"/>
        </w:rPr>
        <w:t xml:space="preserve">used the </w:t>
      </w:r>
      <w:r w:rsidR="00AA550A">
        <w:rPr>
          <w:rFonts w:ascii="Calibri" w:hAnsi="Calibri" w:cs="Calibri"/>
        </w:rPr>
        <w:t xml:space="preserve">net increase </w:t>
      </w:r>
      <w:r w:rsidR="00264087">
        <w:rPr>
          <w:rFonts w:ascii="Calibri" w:hAnsi="Calibri" w:cs="Calibri"/>
        </w:rPr>
        <w:t xml:space="preserve">of 2 reporting events over the permit term. </w:t>
      </w:r>
      <w:r w:rsidR="00F85132">
        <w:rPr>
          <w:rFonts w:ascii="Calibri" w:hAnsi="Calibri" w:cs="Calibri"/>
        </w:rPr>
        <w:t xml:space="preserve">EPA also calculated the number of occurrences per year of monitoring as </w:t>
      </w:r>
      <w:r w:rsidR="002C18EF">
        <w:rPr>
          <w:rFonts w:ascii="Calibri" w:hAnsi="Calibri" w:cs="Calibri"/>
        </w:rPr>
        <w:t>0.4</w:t>
      </w:r>
      <w:r w:rsidR="00F85132">
        <w:rPr>
          <w:rFonts w:ascii="Calibri" w:hAnsi="Calibri" w:cs="Calibri"/>
        </w:rPr>
        <w:t xml:space="preserve"> by dividing the </w:t>
      </w:r>
      <w:r w:rsidR="002C18EF">
        <w:rPr>
          <w:rFonts w:ascii="Calibri" w:hAnsi="Calibri" w:cs="Calibri"/>
        </w:rPr>
        <w:t>4 incremental</w:t>
      </w:r>
      <w:r w:rsidR="00C82CE5">
        <w:rPr>
          <w:rFonts w:ascii="Calibri" w:hAnsi="Calibri" w:cs="Calibri"/>
        </w:rPr>
        <w:t xml:space="preserve"> </w:t>
      </w:r>
      <w:r w:rsidR="00DA3C3E">
        <w:rPr>
          <w:rFonts w:ascii="Calibri" w:hAnsi="Calibri" w:cs="Calibri"/>
        </w:rPr>
        <w:t>reporting events by the 5</w:t>
      </w:r>
      <w:r w:rsidR="00132EAA">
        <w:rPr>
          <w:rFonts w:ascii="Calibri" w:hAnsi="Calibri" w:cs="Calibri"/>
        </w:rPr>
        <w:t>-</w:t>
      </w:r>
      <w:r w:rsidR="00DA3C3E">
        <w:rPr>
          <w:rFonts w:ascii="Calibri" w:hAnsi="Calibri" w:cs="Calibri"/>
        </w:rPr>
        <w:t>year permit term</w:t>
      </w:r>
      <w:r w:rsidR="00E70107">
        <w:rPr>
          <w:rFonts w:ascii="Calibri" w:hAnsi="Calibri" w:cs="Calibri"/>
        </w:rPr>
        <w:t>, and multiplying t</w:t>
      </w:r>
      <w:r w:rsidR="00D55265">
        <w:rPr>
          <w:rFonts w:ascii="Calibri" w:hAnsi="Calibri" w:cs="Calibri"/>
        </w:rPr>
        <w:t xml:space="preserve">he annual number of responses by the proposed 2026 MSGP total of 2.04 hours per response for a total of </w:t>
      </w:r>
      <w:r w:rsidR="00F154D5">
        <w:rPr>
          <w:rFonts w:ascii="Calibri" w:hAnsi="Calibri" w:cs="Calibri"/>
        </w:rPr>
        <w:t>594 hours annually</w:t>
      </w:r>
      <w:r w:rsidR="00DA3C3E">
        <w:rPr>
          <w:rFonts w:ascii="Calibri" w:hAnsi="Calibri" w:cs="Calibri"/>
        </w:rPr>
        <w:t>.</w:t>
      </w:r>
      <w:r w:rsidR="005A305B">
        <w:rPr>
          <w:rFonts w:ascii="Calibri" w:hAnsi="Calibri" w:cs="Calibri"/>
        </w:rPr>
        <w:t xml:space="preserve"> </w:t>
      </w:r>
    </w:p>
    <w:p w:rsidR="004366D4" w:rsidRPr="00190645" w:rsidP="00190645" w14:paraId="60B0FF48" w14:textId="02D9DA30">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b/>
          <w:bCs/>
        </w:rPr>
        <w:t>PFAS</w:t>
      </w:r>
      <w:r w:rsidRPr="00773284">
        <w:rPr>
          <w:rFonts w:ascii="Calibri" w:hAnsi="Calibri" w:cs="Calibri"/>
          <w:b/>
          <w:bCs/>
        </w:rPr>
        <w:t xml:space="preserve"> indicator monitoring</w:t>
      </w:r>
      <w:r>
        <w:rPr>
          <w:rFonts w:ascii="Calibri" w:hAnsi="Calibri" w:cs="Calibri"/>
        </w:rPr>
        <w:t xml:space="preserve">: Based on 2021 MSGP </w:t>
      </w:r>
      <w:r w:rsidR="00BA1F1E">
        <w:rPr>
          <w:rFonts w:ascii="Calibri" w:hAnsi="Calibri" w:cs="Calibri"/>
        </w:rPr>
        <w:t xml:space="preserve">NOI </w:t>
      </w:r>
      <w:r>
        <w:rPr>
          <w:rFonts w:ascii="Calibri" w:hAnsi="Calibri" w:cs="Calibri"/>
        </w:rPr>
        <w:t xml:space="preserve">data, </w:t>
      </w:r>
      <w:r w:rsidRPr="001E010D">
        <w:rPr>
          <w:rFonts w:ascii="Calibri" w:hAnsi="Calibri" w:cs="Calibri"/>
        </w:rPr>
        <w:t>EPA estimates that</w:t>
      </w:r>
      <w:r>
        <w:rPr>
          <w:rFonts w:ascii="Calibri" w:hAnsi="Calibri" w:cs="Calibri"/>
        </w:rPr>
        <w:t xml:space="preserve"> a total of 1,</w:t>
      </w:r>
      <w:r w:rsidR="00C02721">
        <w:rPr>
          <w:rFonts w:ascii="Calibri" w:hAnsi="Calibri" w:cs="Calibri"/>
        </w:rPr>
        <w:t>564</w:t>
      </w:r>
      <w:r>
        <w:rPr>
          <w:rFonts w:ascii="Calibri" w:hAnsi="Calibri" w:cs="Calibri"/>
        </w:rPr>
        <w:t xml:space="preserve"> respondents </w:t>
      </w:r>
      <w:r w:rsidR="00B22CFE">
        <w:rPr>
          <w:rFonts w:ascii="Calibri" w:hAnsi="Calibri" w:cs="Calibri"/>
        </w:rPr>
        <w:t>would</w:t>
      </w:r>
      <w:r w:rsidRPr="001E010D" w:rsidR="00B22CFE">
        <w:rPr>
          <w:rFonts w:ascii="Calibri" w:hAnsi="Calibri" w:cs="Calibri"/>
        </w:rPr>
        <w:t xml:space="preserve"> </w:t>
      </w:r>
      <w:r>
        <w:rPr>
          <w:rFonts w:ascii="Calibri" w:hAnsi="Calibri" w:cs="Calibri"/>
        </w:rPr>
        <w:t xml:space="preserve">perform PFAS indicator </w:t>
      </w:r>
      <w:r w:rsidR="002C56AE">
        <w:rPr>
          <w:rFonts w:ascii="Calibri" w:hAnsi="Calibri" w:cs="Calibri"/>
        </w:rPr>
        <w:t xml:space="preserve">monitoring </w:t>
      </w:r>
      <w:r>
        <w:rPr>
          <w:rFonts w:ascii="Calibri" w:hAnsi="Calibri" w:cs="Calibri"/>
        </w:rPr>
        <w:t xml:space="preserve">quarterly for the duration of the </w:t>
      </w:r>
      <w:r w:rsidR="00B22CFE">
        <w:rPr>
          <w:rFonts w:ascii="Calibri" w:hAnsi="Calibri" w:cs="Calibri"/>
        </w:rPr>
        <w:t xml:space="preserve">proposed MSGP </w:t>
      </w:r>
      <w:r>
        <w:rPr>
          <w:rFonts w:ascii="Calibri" w:hAnsi="Calibri" w:cs="Calibri"/>
        </w:rPr>
        <w:t>permit term</w:t>
      </w:r>
      <w:r w:rsidRPr="001E010D">
        <w:rPr>
          <w:rFonts w:ascii="Calibri" w:hAnsi="Calibri" w:cs="Calibri"/>
        </w:rPr>
        <w:t xml:space="preserve">. </w:t>
      </w:r>
      <w:r w:rsidRPr="00905439">
        <w:rPr>
          <w:rFonts w:ascii="Calibri" w:hAnsi="Calibri" w:cs="Calibri"/>
        </w:rPr>
        <w:t xml:space="preserve">To estimate the total number of </w:t>
      </w:r>
      <w:r w:rsidRPr="00C860E0">
        <w:rPr>
          <w:rFonts w:ascii="Calibri" w:hAnsi="Calibri" w:cs="Calibri"/>
        </w:rPr>
        <w:t>respondent</w:t>
      </w:r>
      <w:r w:rsidRPr="00905439">
        <w:rPr>
          <w:rFonts w:ascii="Calibri" w:hAnsi="Calibri" w:cs="Calibri"/>
        </w:rPr>
        <w:t>s</w:t>
      </w:r>
      <w:r>
        <w:rPr>
          <w:rFonts w:ascii="Calibri" w:hAnsi="Calibri" w:cs="Calibri"/>
        </w:rPr>
        <w:t xml:space="preserve">, EPA </w:t>
      </w:r>
      <w:r w:rsidR="00185382">
        <w:rPr>
          <w:rFonts w:ascii="Calibri" w:hAnsi="Calibri" w:cs="Calibri"/>
        </w:rPr>
        <w:t xml:space="preserve">used the 2021 </w:t>
      </w:r>
      <w:r w:rsidR="00185382">
        <w:rPr>
          <w:rFonts w:ascii="Calibri" w:hAnsi="Calibri" w:cs="Calibri"/>
        </w:rPr>
        <w:t xml:space="preserve">MSGP NOI data and summed </w:t>
      </w:r>
      <w:r w:rsidR="00D540DC">
        <w:rPr>
          <w:rFonts w:ascii="Calibri" w:hAnsi="Calibri" w:cs="Calibri"/>
        </w:rPr>
        <w:t xml:space="preserve">the number of respondents </w:t>
      </w:r>
      <w:r>
        <w:rPr>
          <w:rFonts w:ascii="Calibri" w:hAnsi="Calibri" w:cs="Calibri"/>
        </w:rPr>
        <w:t xml:space="preserve">across </w:t>
      </w:r>
      <w:r w:rsidR="00D540DC">
        <w:rPr>
          <w:rFonts w:ascii="Calibri" w:hAnsi="Calibri" w:cs="Calibri"/>
        </w:rPr>
        <w:t xml:space="preserve">the </w:t>
      </w:r>
      <w:r>
        <w:rPr>
          <w:rFonts w:ascii="Calibri" w:hAnsi="Calibri" w:cs="Calibri"/>
        </w:rPr>
        <w:t>2</w:t>
      </w:r>
      <w:r w:rsidR="00527214">
        <w:rPr>
          <w:rFonts w:ascii="Calibri" w:hAnsi="Calibri" w:cs="Calibri"/>
        </w:rPr>
        <w:t>3</w:t>
      </w:r>
      <w:r>
        <w:rPr>
          <w:rFonts w:ascii="Calibri" w:hAnsi="Calibri" w:cs="Calibri"/>
        </w:rPr>
        <w:t xml:space="preserve"> sectors </w:t>
      </w:r>
      <w:r w:rsidR="00D540DC">
        <w:rPr>
          <w:rFonts w:ascii="Calibri" w:hAnsi="Calibri" w:cs="Calibri"/>
        </w:rPr>
        <w:t xml:space="preserve">that would be required </w:t>
      </w:r>
      <w:r>
        <w:rPr>
          <w:rFonts w:ascii="Calibri" w:hAnsi="Calibri" w:cs="Calibri"/>
        </w:rPr>
        <w:t>to perform PFAS indicator monitoring because their industr</w:t>
      </w:r>
      <w:r w:rsidR="008C3486">
        <w:rPr>
          <w:rFonts w:ascii="Calibri" w:hAnsi="Calibri" w:cs="Calibri"/>
        </w:rPr>
        <w:t>ial</w:t>
      </w:r>
      <w:r>
        <w:rPr>
          <w:rFonts w:ascii="Calibri" w:hAnsi="Calibri" w:cs="Calibri"/>
        </w:rPr>
        <w:t xml:space="preserve"> activities have </w:t>
      </w:r>
      <w:r w:rsidR="008C3486">
        <w:rPr>
          <w:rFonts w:ascii="Calibri" w:hAnsi="Calibri" w:cs="Calibri"/>
        </w:rPr>
        <w:t xml:space="preserve">a </w:t>
      </w:r>
      <w:r>
        <w:rPr>
          <w:rFonts w:ascii="Calibri" w:hAnsi="Calibri" w:cs="Calibri"/>
        </w:rPr>
        <w:t xml:space="preserve">high risk of generating PFAS contaminated stormwater. </w:t>
      </w:r>
      <w:r w:rsidR="00E26456">
        <w:rPr>
          <w:rFonts w:ascii="Calibri" w:hAnsi="Calibri" w:cs="Calibri"/>
        </w:rPr>
        <w:t>Consisten</w:t>
      </w:r>
      <w:r w:rsidR="00582903">
        <w:rPr>
          <w:rFonts w:ascii="Calibri" w:hAnsi="Calibri" w:cs="Calibri"/>
        </w:rPr>
        <w:t>t with the assumptions for similar activities in the NPDES Programmatic ICR</w:t>
      </w:r>
      <w:r w:rsidR="00731980">
        <w:rPr>
          <w:rFonts w:ascii="Calibri" w:hAnsi="Calibri" w:cs="Calibri"/>
        </w:rPr>
        <w:t xml:space="preserve">, </w:t>
      </w:r>
      <w:r>
        <w:rPr>
          <w:rFonts w:ascii="Calibri" w:hAnsi="Calibri" w:cs="Calibri"/>
        </w:rPr>
        <w:t xml:space="preserve">EPA estimates that each respondent will need 1 hour per response to complete DMR data entry </w:t>
      </w:r>
      <w:r w:rsidR="00BB282E">
        <w:rPr>
          <w:rFonts w:ascii="Calibri" w:hAnsi="Calibri" w:cs="Calibri"/>
        </w:rPr>
        <w:t xml:space="preserve">per discharge point. </w:t>
      </w:r>
      <w:r w:rsidR="00C17D7E">
        <w:rPr>
          <w:rFonts w:ascii="Calibri" w:hAnsi="Calibri" w:cs="Calibri"/>
        </w:rPr>
        <w:t xml:space="preserve">EPA assumed that each respondent has an average of </w:t>
      </w:r>
      <w:r>
        <w:rPr>
          <w:rFonts w:ascii="Calibri" w:hAnsi="Calibri" w:cs="Calibri"/>
        </w:rPr>
        <w:t>2.0</w:t>
      </w:r>
      <w:r w:rsidR="00713390">
        <w:rPr>
          <w:rFonts w:ascii="Calibri" w:hAnsi="Calibri" w:cs="Calibri"/>
        </w:rPr>
        <w:t>6</w:t>
      </w:r>
      <w:r>
        <w:rPr>
          <w:rFonts w:ascii="Calibri" w:hAnsi="Calibri" w:cs="Calibri"/>
        </w:rPr>
        <w:t xml:space="preserve"> discharge points</w:t>
      </w:r>
      <w:r w:rsidR="00C17D7E">
        <w:rPr>
          <w:rFonts w:ascii="Calibri" w:hAnsi="Calibri" w:cs="Calibri"/>
        </w:rPr>
        <w:t xml:space="preserve"> because the 2021 MSGP NOI data indicated that these 1,564 respondents have 3,224 </w:t>
      </w:r>
      <w:r w:rsidR="00A6386F">
        <w:rPr>
          <w:rFonts w:ascii="Calibri" w:hAnsi="Calibri" w:cs="Calibri"/>
        </w:rPr>
        <w:t>discharge point</w:t>
      </w:r>
      <w:r w:rsidR="00C17D7E">
        <w:rPr>
          <w:rFonts w:ascii="Calibri" w:hAnsi="Calibri" w:cs="Calibri"/>
        </w:rPr>
        <w:t>s total</w:t>
      </w:r>
      <w:r>
        <w:rPr>
          <w:rFonts w:ascii="Calibri" w:hAnsi="Calibri" w:cs="Calibri"/>
        </w:rPr>
        <w:t xml:space="preserve">. </w:t>
      </w:r>
      <w:r w:rsidR="00701557">
        <w:rPr>
          <w:rFonts w:ascii="Calibri" w:hAnsi="Calibri" w:cs="Calibri"/>
        </w:rPr>
        <w:t>T</w:t>
      </w:r>
      <w:r w:rsidR="0068438E">
        <w:rPr>
          <w:rFonts w:ascii="Calibri" w:hAnsi="Calibri" w:cs="Calibri"/>
        </w:rPr>
        <w:t xml:space="preserve">he number of </w:t>
      </w:r>
      <w:r w:rsidR="005B65EB">
        <w:rPr>
          <w:rFonts w:ascii="Calibri" w:hAnsi="Calibri" w:cs="Calibri"/>
        </w:rPr>
        <w:t xml:space="preserve">responses per respondent </w:t>
      </w:r>
      <w:r w:rsidR="0068438E">
        <w:rPr>
          <w:rFonts w:ascii="Calibri" w:hAnsi="Calibri" w:cs="Calibri"/>
        </w:rPr>
        <w:t xml:space="preserve">per year </w:t>
      </w:r>
      <w:r w:rsidR="005B65EB">
        <w:rPr>
          <w:rFonts w:ascii="Calibri" w:hAnsi="Calibri" w:cs="Calibri"/>
        </w:rPr>
        <w:t xml:space="preserve">is </w:t>
      </w:r>
      <w:r w:rsidR="003D7AB0">
        <w:rPr>
          <w:rFonts w:ascii="Calibri" w:hAnsi="Calibri" w:cs="Calibri"/>
        </w:rPr>
        <w:t>4</w:t>
      </w:r>
      <w:r w:rsidR="005B65EB">
        <w:rPr>
          <w:rFonts w:ascii="Calibri" w:hAnsi="Calibri" w:cs="Calibri"/>
        </w:rPr>
        <w:t xml:space="preserve"> because the respondents would be required to conduct quarterly monitoring</w:t>
      </w:r>
      <w:r w:rsidR="003D7AB0">
        <w:rPr>
          <w:rFonts w:ascii="Calibri" w:hAnsi="Calibri" w:cs="Calibri"/>
        </w:rPr>
        <w:t>.</w:t>
      </w:r>
    </w:p>
    <w:p w:rsidR="00EF1EDE" w:rsidP="00366777" w14:paraId="324205C0" w14:textId="77777777">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773284">
        <w:rPr>
          <w:rFonts w:ascii="Calibri" w:hAnsi="Calibri" w:cs="Calibri"/>
          <w:b/>
          <w:bCs/>
        </w:rPr>
        <w:t>Impaired waters monitoring:</w:t>
      </w:r>
      <w:r>
        <w:rPr>
          <w:rFonts w:ascii="Calibri" w:hAnsi="Calibri" w:cs="Calibri"/>
        </w:rPr>
        <w:t xml:space="preserve"> Based on 20</w:t>
      </w:r>
      <w:r w:rsidR="000B594D">
        <w:rPr>
          <w:rFonts w:ascii="Calibri" w:hAnsi="Calibri" w:cs="Calibri"/>
        </w:rPr>
        <w:t>21 MSGP NOI data</w:t>
      </w:r>
      <w:r>
        <w:rPr>
          <w:rFonts w:ascii="Calibri" w:hAnsi="Calibri" w:cs="Calibri"/>
        </w:rPr>
        <w:t xml:space="preserve">, </w:t>
      </w:r>
      <w:r w:rsidRPr="00773284">
        <w:rPr>
          <w:rFonts w:ascii="Calibri" w:hAnsi="Calibri" w:cs="Calibri"/>
        </w:rPr>
        <w:t xml:space="preserve">EPA estimates that </w:t>
      </w:r>
      <w:r w:rsidR="00EB34FE">
        <w:rPr>
          <w:rFonts w:ascii="Calibri" w:hAnsi="Calibri" w:cs="Calibri"/>
        </w:rPr>
        <w:t>824</w:t>
      </w:r>
      <w:r w:rsidRPr="00773284" w:rsidR="00EB34FE">
        <w:rPr>
          <w:rFonts w:ascii="Calibri" w:hAnsi="Calibri" w:cs="Calibri"/>
        </w:rPr>
        <w:t xml:space="preserve"> </w:t>
      </w:r>
      <w:r w:rsidR="00EB34FE">
        <w:rPr>
          <w:rFonts w:ascii="Calibri" w:hAnsi="Calibri" w:cs="Calibri"/>
        </w:rPr>
        <w:t>respondents</w:t>
      </w:r>
      <w:r w:rsidRPr="002C63F6">
        <w:rPr>
          <w:rFonts w:ascii="Calibri" w:hAnsi="Calibri" w:cs="Calibri"/>
        </w:rPr>
        <w:t xml:space="preserve"> </w:t>
      </w:r>
      <w:r w:rsidR="002E3FAF">
        <w:rPr>
          <w:rFonts w:ascii="Calibri" w:hAnsi="Calibri" w:cs="Calibri"/>
        </w:rPr>
        <w:t>currently</w:t>
      </w:r>
      <w:r w:rsidRPr="002C63F6" w:rsidR="00571538">
        <w:rPr>
          <w:rFonts w:ascii="Calibri" w:hAnsi="Calibri" w:cs="Calibri"/>
        </w:rPr>
        <w:t xml:space="preserve"> </w:t>
      </w:r>
      <w:r w:rsidRPr="002C63F6">
        <w:rPr>
          <w:rFonts w:ascii="Calibri" w:hAnsi="Calibri" w:cs="Calibri"/>
        </w:rPr>
        <w:t>conduct impaired waters monitoring</w:t>
      </w:r>
      <w:r w:rsidR="002E3FAF">
        <w:rPr>
          <w:rFonts w:ascii="Calibri" w:hAnsi="Calibri" w:cs="Calibri"/>
        </w:rPr>
        <w:t>.</w:t>
      </w:r>
      <w:r w:rsidR="000B594D">
        <w:rPr>
          <w:rFonts w:ascii="Calibri" w:hAnsi="Calibri" w:cs="Calibri"/>
        </w:rPr>
        <w:t xml:space="preserve"> </w:t>
      </w:r>
      <w:r w:rsidR="002E3FAF">
        <w:rPr>
          <w:rFonts w:ascii="Calibri" w:hAnsi="Calibri" w:cs="Calibri"/>
        </w:rPr>
        <w:t>U</w:t>
      </w:r>
      <w:r w:rsidR="00571538">
        <w:rPr>
          <w:rFonts w:ascii="Calibri" w:hAnsi="Calibri" w:cs="Calibri"/>
        </w:rPr>
        <w:t>nder</w:t>
      </w:r>
      <w:r w:rsidR="000B594D">
        <w:rPr>
          <w:rFonts w:ascii="Calibri" w:hAnsi="Calibri" w:cs="Calibri"/>
        </w:rPr>
        <w:t xml:space="preserve"> the </w:t>
      </w:r>
      <w:r w:rsidR="00571538">
        <w:rPr>
          <w:rFonts w:ascii="Calibri" w:hAnsi="Calibri" w:cs="Calibri"/>
        </w:rPr>
        <w:t xml:space="preserve">proposed 2026 MSGP, </w:t>
      </w:r>
      <w:r w:rsidR="00F22E9C">
        <w:rPr>
          <w:rFonts w:ascii="Calibri" w:hAnsi="Calibri" w:cs="Calibri"/>
        </w:rPr>
        <w:t xml:space="preserve">there will be an additional 164 new dischargers to water quality-impaired waters </w:t>
      </w:r>
      <w:r w:rsidR="000B594D">
        <w:rPr>
          <w:rFonts w:ascii="Calibri" w:hAnsi="Calibri" w:cs="Calibri"/>
        </w:rPr>
        <w:t>based on the population change described in 12.a</w:t>
      </w:r>
      <w:r>
        <w:rPr>
          <w:rFonts w:ascii="Calibri" w:hAnsi="Calibri" w:cs="Calibri"/>
        </w:rPr>
        <w:t xml:space="preserve">. </w:t>
      </w:r>
      <w:r w:rsidR="00642100">
        <w:rPr>
          <w:rFonts w:ascii="Calibri" w:hAnsi="Calibri" w:cs="Calibri"/>
        </w:rPr>
        <w:t xml:space="preserve">Based on </w:t>
      </w:r>
      <w:r w:rsidR="002F62DA">
        <w:rPr>
          <w:rFonts w:ascii="Calibri" w:hAnsi="Calibri" w:cs="Calibri"/>
        </w:rPr>
        <w:t xml:space="preserve">the proposed 2026 </w:t>
      </w:r>
      <w:r w:rsidR="00642100">
        <w:rPr>
          <w:rFonts w:ascii="Calibri" w:hAnsi="Calibri" w:cs="Calibri"/>
        </w:rPr>
        <w:t>MSGP</w:t>
      </w:r>
      <w:r w:rsidR="00466E5A">
        <w:rPr>
          <w:rFonts w:ascii="Calibri" w:hAnsi="Calibri" w:cs="Calibri"/>
        </w:rPr>
        <w:t>,</w:t>
      </w:r>
      <w:r>
        <w:rPr>
          <w:rFonts w:ascii="Calibri" w:hAnsi="Calibri" w:cs="Calibri"/>
        </w:rPr>
        <w:t xml:space="preserve"> </w:t>
      </w:r>
      <w:r w:rsidR="008F1A77">
        <w:rPr>
          <w:rFonts w:ascii="Calibri" w:hAnsi="Calibri" w:cs="Calibri"/>
        </w:rPr>
        <w:t xml:space="preserve">respondents </w:t>
      </w:r>
      <w:r w:rsidR="009C627D">
        <w:rPr>
          <w:rFonts w:ascii="Calibri" w:hAnsi="Calibri" w:cs="Calibri"/>
        </w:rPr>
        <w:t xml:space="preserve">would </w:t>
      </w:r>
      <w:r>
        <w:rPr>
          <w:rFonts w:ascii="Calibri" w:hAnsi="Calibri" w:cs="Calibri"/>
        </w:rPr>
        <w:t xml:space="preserve">need to conduct quarterly impaired waters monitoring all 5 years of the permit term. Since there is wide variability in the number of pollutants respondents may be required to monitor, for the purpose of this ICR, EPA assumes that respondents </w:t>
      </w:r>
      <w:r w:rsidR="00FA154F">
        <w:rPr>
          <w:rFonts w:ascii="Calibri" w:hAnsi="Calibri" w:cs="Calibri"/>
        </w:rPr>
        <w:t xml:space="preserve">would </w:t>
      </w:r>
      <w:r>
        <w:rPr>
          <w:rFonts w:ascii="Calibri" w:hAnsi="Calibri" w:cs="Calibri"/>
        </w:rPr>
        <w:t xml:space="preserve">need to monitor for </w:t>
      </w:r>
      <w:r w:rsidR="00F22E9C">
        <w:rPr>
          <w:rFonts w:ascii="Calibri" w:hAnsi="Calibri" w:cs="Calibri"/>
        </w:rPr>
        <w:t xml:space="preserve">3.7 </w:t>
      </w:r>
      <w:r>
        <w:rPr>
          <w:rFonts w:ascii="Calibri" w:hAnsi="Calibri" w:cs="Calibri"/>
        </w:rPr>
        <w:t>impaired water pollutants at 1.98 discharge points</w:t>
      </w:r>
      <w:r w:rsidR="00184BF3">
        <w:rPr>
          <w:rFonts w:ascii="Calibri" w:hAnsi="Calibri" w:cs="Calibri"/>
        </w:rPr>
        <w:t>.</w:t>
      </w:r>
      <w:r>
        <w:rPr>
          <w:rStyle w:val="FootnoteReference"/>
          <w:rFonts w:ascii="Calibri" w:hAnsi="Calibri" w:cs="Calibri"/>
        </w:rPr>
        <w:footnoteReference w:id="5"/>
      </w:r>
      <w:r w:rsidR="008C1290">
        <w:rPr>
          <w:rStyle w:val="normaltextrun"/>
          <w:rFonts w:ascii="Calibri" w:hAnsi="Calibri" w:cs="Calibri"/>
        </w:rPr>
        <w:t xml:space="preserve"> </w:t>
      </w:r>
      <w:r w:rsidR="005A494D">
        <w:rPr>
          <w:rFonts w:ascii="Calibri" w:hAnsi="Calibri" w:cs="Calibri"/>
        </w:rPr>
        <w:t xml:space="preserve">The estimate of </w:t>
      </w:r>
      <w:r w:rsidR="00087411">
        <w:rPr>
          <w:rFonts w:ascii="Calibri" w:hAnsi="Calibri" w:cs="Calibri"/>
        </w:rPr>
        <w:t xml:space="preserve">3.7 </w:t>
      </w:r>
      <w:r>
        <w:rPr>
          <w:rFonts w:ascii="Calibri" w:hAnsi="Calibri" w:cs="Calibri"/>
        </w:rPr>
        <w:t xml:space="preserve">pollutants </w:t>
      </w:r>
      <w:r w:rsidR="00087411">
        <w:rPr>
          <w:rFonts w:ascii="Calibri" w:hAnsi="Calibri" w:cs="Calibri"/>
        </w:rPr>
        <w:t>was</w:t>
      </w:r>
      <w:r>
        <w:rPr>
          <w:rFonts w:ascii="Calibri" w:hAnsi="Calibri" w:cs="Calibri"/>
        </w:rPr>
        <w:t xml:space="preserve"> </w:t>
      </w:r>
      <w:r w:rsidR="005A494D">
        <w:rPr>
          <w:rFonts w:ascii="Calibri" w:hAnsi="Calibri" w:cs="Calibri"/>
        </w:rPr>
        <w:t xml:space="preserve">determined </w:t>
      </w:r>
      <w:r>
        <w:rPr>
          <w:rFonts w:ascii="Calibri" w:hAnsi="Calibri" w:cs="Calibri"/>
        </w:rPr>
        <w:t xml:space="preserve">by averaging the number of </w:t>
      </w:r>
      <w:r w:rsidR="00833660">
        <w:rPr>
          <w:rFonts w:ascii="Calibri" w:hAnsi="Calibri" w:cs="Calibri"/>
        </w:rPr>
        <w:t xml:space="preserve">impairing </w:t>
      </w:r>
      <w:r>
        <w:rPr>
          <w:rFonts w:ascii="Calibri" w:hAnsi="Calibri" w:cs="Calibri"/>
        </w:rPr>
        <w:t>pollutant</w:t>
      </w:r>
      <w:r w:rsidR="00087411">
        <w:rPr>
          <w:rFonts w:ascii="Calibri" w:hAnsi="Calibri" w:cs="Calibri"/>
        </w:rPr>
        <w:t>s</w:t>
      </w:r>
      <w:r w:rsidR="00A6386F">
        <w:rPr>
          <w:rFonts w:ascii="Calibri" w:hAnsi="Calibri" w:cs="Calibri"/>
        </w:rPr>
        <w:t xml:space="preserve"> </w:t>
      </w:r>
      <w:r w:rsidR="00833660">
        <w:rPr>
          <w:rFonts w:ascii="Calibri" w:hAnsi="Calibri" w:cs="Calibri"/>
        </w:rPr>
        <w:t xml:space="preserve">at </w:t>
      </w:r>
      <w:r>
        <w:rPr>
          <w:rFonts w:ascii="Calibri" w:hAnsi="Calibri" w:cs="Calibri"/>
        </w:rPr>
        <w:t xml:space="preserve">890 facilities </w:t>
      </w:r>
      <w:r w:rsidR="00833660">
        <w:rPr>
          <w:rFonts w:ascii="Calibri" w:hAnsi="Calibri" w:cs="Calibri"/>
        </w:rPr>
        <w:t>that discharge into</w:t>
      </w:r>
      <w:r>
        <w:rPr>
          <w:rFonts w:ascii="Calibri" w:hAnsi="Calibri" w:cs="Calibri"/>
        </w:rPr>
        <w:t xml:space="preserve"> impaired water monitoring</w:t>
      </w:r>
      <w:r w:rsidR="00833660">
        <w:rPr>
          <w:rFonts w:ascii="Calibri" w:hAnsi="Calibri" w:cs="Calibri"/>
        </w:rPr>
        <w:t xml:space="preserve"> (whether or not they currently require monitoring under the 2021 MSGP)</w:t>
      </w:r>
      <w:r>
        <w:rPr>
          <w:rFonts w:ascii="Calibri" w:hAnsi="Calibri" w:cs="Calibri"/>
        </w:rPr>
        <w:t xml:space="preserve">. Thus, EPA estimates each respondent will need </w:t>
      </w:r>
      <w:r w:rsidR="001863B3">
        <w:rPr>
          <w:rFonts w:ascii="Calibri" w:hAnsi="Calibri" w:cs="Calibri"/>
        </w:rPr>
        <w:t>0.44</w:t>
      </w:r>
      <w:r>
        <w:rPr>
          <w:rFonts w:ascii="Calibri" w:hAnsi="Calibri" w:cs="Calibri"/>
        </w:rPr>
        <w:t xml:space="preserve"> hours per </w:t>
      </w:r>
      <w:r w:rsidR="00A4140F">
        <w:rPr>
          <w:rFonts w:ascii="Calibri" w:hAnsi="Calibri" w:cs="Calibri"/>
        </w:rPr>
        <w:t>response</w:t>
      </w:r>
      <w:r w:rsidR="00060B0F">
        <w:rPr>
          <w:rFonts w:ascii="Calibri" w:hAnsi="Calibri" w:cs="Calibri"/>
        </w:rPr>
        <w:t xml:space="preserve"> </w:t>
      </w:r>
      <w:r>
        <w:rPr>
          <w:rFonts w:ascii="Calibri" w:hAnsi="Calibri" w:cs="Calibri"/>
        </w:rPr>
        <w:t>to complete DMR data entry</w:t>
      </w:r>
      <w:r w:rsidR="009E7C65">
        <w:rPr>
          <w:rFonts w:ascii="Calibri" w:hAnsi="Calibri" w:cs="Calibri"/>
        </w:rPr>
        <w:t xml:space="preserve"> by multiplying the time per element (0.06 hours) by the number of elements (</w:t>
      </w:r>
      <w:r w:rsidR="001863B3">
        <w:rPr>
          <w:rFonts w:ascii="Calibri" w:hAnsi="Calibri" w:cs="Calibri"/>
        </w:rPr>
        <w:t>3.7</w:t>
      </w:r>
      <w:r w:rsidR="009E7C65">
        <w:rPr>
          <w:rFonts w:ascii="Calibri" w:hAnsi="Calibri" w:cs="Calibri"/>
        </w:rPr>
        <w:t xml:space="preserve"> pollutants) by </w:t>
      </w:r>
      <w:r w:rsidR="00060B0F">
        <w:rPr>
          <w:rFonts w:ascii="Calibri" w:hAnsi="Calibri" w:cs="Calibri"/>
        </w:rPr>
        <w:t xml:space="preserve">the average number of </w:t>
      </w:r>
      <w:r w:rsidR="00A6386F">
        <w:rPr>
          <w:rFonts w:ascii="Calibri" w:hAnsi="Calibri" w:cs="Calibri"/>
        </w:rPr>
        <w:t>discharge point</w:t>
      </w:r>
      <w:r w:rsidR="00060B0F">
        <w:rPr>
          <w:rFonts w:ascii="Calibri" w:hAnsi="Calibri" w:cs="Calibri"/>
        </w:rPr>
        <w:t xml:space="preserve">s (1.98 </w:t>
      </w:r>
      <w:r w:rsidR="00A6386F">
        <w:rPr>
          <w:rFonts w:ascii="Calibri" w:hAnsi="Calibri" w:cs="Calibri"/>
        </w:rPr>
        <w:t>discharge points</w:t>
      </w:r>
      <w:r w:rsidR="00060B0F">
        <w:rPr>
          <w:rFonts w:ascii="Calibri" w:hAnsi="Calibri" w:cs="Calibri"/>
        </w:rPr>
        <w:t>)</w:t>
      </w:r>
      <w:r>
        <w:rPr>
          <w:rFonts w:ascii="Calibri" w:hAnsi="Calibri" w:cs="Calibri"/>
        </w:rPr>
        <w:t xml:space="preserve">. </w:t>
      </w:r>
      <w:r w:rsidR="00917144">
        <w:rPr>
          <w:rFonts w:ascii="Calibri" w:hAnsi="Calibri" w:cs="Calibri"/>
        </w:rPr>
        <w:t xml:space="preserve">The incremental </w:t>
      </w:r>
      <w:r w:rsidR="00AF0569">
        <w:rPr>
          <w:rFonts w:ascii="Calibri" w:hAnsi="Calibri" w:cs="Calibri"/>
        </w:rPr>
        <w:t>increase in th</w:t>
      </w:r>
      <w:r w:rsidR="00576027">
        <w:rPr>
          <w:rFonts w:ascii="Calibri" w:hAnsi="Calibri" w:cs="Calibri"/>
        </w:rPr>
        <w:t>e</w:t>
      </w:r>
      <w:r w:rsidR="00AF0569">
        <w:rPr>
          <w:rFonts w:ascii="Calibri" w:hAnsi="Calibri" w:cs="Calibri"/>
        </w:rPr>
        <w:t xml:space="preserve"> </w:t>
      </w:r>
      <w:r w:rsidR="00917144">
        <w:rPr>
          <w:rFonts w:ascii="Calibri" w:hAnsi="Calibri" w:cs="Calibri"/>
        </w:rPr>
        <w:t xml:space="preserve">number of total samples for the entire permit term was determined by calculating the </w:t>
      </w:r>
      <w:r w:rsidR="009C7442">
        <w:rPr>
          <w:rFonts w:ascii="Calibri" w:hAnsi="Calibri" w:cs="Calibri"/>
        </w:rPr>
        <w:t xml:space="preserve">total number of samples </w:t>
      </w:r>
      <w:r w:rsidR="00322644">
        <w:rPr>
          <w:rFonts w:ascii="Calibri" w:hAnsi="Calibri" w:cs="Calibri"/>
        </w:rPr>
        <w:t xml:space="preserve">in the proposed 2026 MSGP </w:t>
      </w:r>
      <w:r w:rsidR="009C7442">
        <w:rPr>
          <w:rFonts w:ascii="Calibri" w:hAnsi="Calibri" w:cs="Calibri"/>
        </w:rPr>
        <w:t>(</w:t>
      </w:r>
      <w:r w:rsidR="00576027">
        <w:rPr>
          <w:rFonts w:ascii="Calibri" w:hAnsi="Calibri" w:cs="Calibri"/>
        </w:rPr>
        <w:t xml:space="preserve">i.e., </w:t>
      </w:r>
      <w:r w:rsidR="009C7442">
        <w:rPr>
          <w:rFonts w:ascii="Calibri" w:hAnsi="Calibri" w:cs="Calibri"/>
        </w:rPr>
        <w:t>quarterly samples for five years</w:t>
      </w:r>
      <w:r w:rsidR="00576027">
        <w:rPr>
          <w:rFonts w:ascii="Calibri" w:hAnsi="Calibri" w:cs="Calibri"/>
        </w:rPr>
        <w:t>=</w:t>
      </w:r>
      <w:r w:rsidR="009C7442">
        <w:rPr>
          <w:rFonts w:ascii="Calibri" w:hAnsi="Calibri" w:cs="Calibri"/>
        </w:rPr>
        <w:t xml:space="preserve"> 20 total samples)</w:t>
      </w:r>
      <w:r w:rsidR="001803A6">
        <w:rPr>
          <w:rFonts w:ascii="Calibri" w:hAnsi="Calibri" w:cs="Calibri"/>
        </w:rPr>
        <w:t xml:space="preserve"> and then subtracting the total number of samples </w:t>
      </w:r>
      <w:r w:rsidR="00576027">
        <w:rPr>
          <w:rFonts w:ascii="Calibri" w:hAnsi="Calibri" w:cs="Calibri"/>
        </w:rPr>
        <w:t>required</w:t>
      </w:r>
      <w:r w:rsidR="001803A6">
        <w:rPr>
          <w:rFonts w:ascii="Calibri" w:hAnsi="Calibri" w:cs="Calibri"/>
        </w:rPr>
        <w:t xml:space="preserve"> in the 2021 MSGP ICR (2.3 samples</w:t>
      </w:r>
      <w:r w:rsidR="00981ACD">
        <w:rPr>
          <w:rFonts w:ascii="Calibri" w:hAnsi="Calibri" w:cs="Calibri"/>
        </w:rPr>
        <w:t xml:space="preserve"> total</w:t>
      </w:r>
      <w:r w:rsidR="001803A6">
        <w:rPr>
          <w:rFonts w:ascii="Calibri" w:hAnsi="Calibri" w:cs="Calibri"/>
        </w:rPr>
        <w:t>)</w:t>
      </w:r>
      <w:r w:rsidR="009E7FEE">
        <w:rPr>
          <w:rFonts w:ascii="Calibri" w:hAnsi="Calibri" w:cs="Calibri"/>
        </w:rPr>
        <w:t xml:space="preserve"> for 17.7 total number of responses</w:t>
      </w:r>
      <w:r w:rsidR="003D2572">
        <w:rPr>
          <w:rFonts w:ascii="Calibri" w:hAnsi="Calibri" w:cs="Calibri"/>
        </w:rPr>
        <w:t>, or 3.54 annual responses per respondent per year</w:t>
      </w:r>
      <w:r w:rsidR="003E36B6">
        <w:rPr>
          <w:rFonts w:ascii="Calibri" w:hAnsi="Calibri" w:cs="Calibri"/>
        </w:rPr>
        <w:t>.</w:t>
      </w:r>
      <w:r w:rsidR="00FB7BAA">
        <w:rPr>
          <w:rFonts w:ascii="Calibri" w:hAnsi="Calibri" w:cs="Calibri"/>
        </w:rPr>
        <w:t xml:space="preserve"> </w:t>
      </w:r>
    </w:p>
    <w:p w:rsidR="00904679" w:rsidP="000714BA" w14:paraId="0AE99493" w14:textId="6B6C3BE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 </w:t>
      </w:r>
    </w:p>
    <w:p w:rsidR="00140DEA" w:rsidP="00FF20B0" w14:paraId="1B3C8C4B" w14:textId="4D86F6A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The burden calculation was then split into </w:t>
      </w:r>
      <w:r w:rsidR="00904679">
        <w:rPr>
          <w:rFonts w:ascii="Calibri" w:hAnsi="Calibri" w:cs="Calibri"/>
        </w:rPr>
        <w:t>three</w:t>
      </w:r>
      <w:r>
        <w:rPr>
          <w:rFonts w:ascii="Calibri" w:hAnsi="Calibri" w:cs="Calibri"/>
        </w:rPr>
        <w:t xml:space="preserve"> </w:t>
      </w:r>
      <w:r w:rsidR="009B787E">
        <w:rPr>
          <w:rFonts w:ascii="Calibri" w:hAnsi="Calibri" w:cs="Calibri"/>
        </w:rPr>
        <w:t>separate analyses to account for the increase in hours per response, and the increase in frequency from the proposed 2026 MSGP (described in 12.a)</w:t>
      </w:r>
      <w:r w:rsidR="00904679">
        <w:rPr>
          <w:rFonts w:ascii="Calibri" w:hAnsi="Calibri" w:cs="Calibri"/>
        </w:rPr>
        <w:t>. The first two analyses calculate the burden for the current permittees requiring impaired waters monitoring:</w:t>
      </w:r>
    </w:p>
    <w:p w:rsidR="00C33A15" w:rsidP="00140DEA" w14:paraId="14B2D8AA" w14:textId="6D907970">
      <w:pPr>
        <w:pStyle w:val="ListParagraph"/>
        <w:numPr>
          <w:ilvl w:val="1"/>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u w:val="single"/>
        </w:rPr>
        <w:t>Burden based on change in monitoring frequency</w:t>
      </w:r>
      <w:r>
        <w:rPr>
          <w:rFonts w:ascii="Calibri" w:hAnsi="Calibri" w:cs="Calibri"/>
        </w:rPr>
        <w:t xml:space="preserve">: </w:t>
      </w:r>
      <w:r w:rsidR="009B787E">
        <w:rPr>
          <w:rFonts w:ascii="Calibri" w:hAnsi="Calibri" w:cs="Calibri"/>
        </w:rPr>
        <w:t xml:space="preserve">The </w:t>
      </w:r>
      <w:r w:rsidR="003E36B6">
        <w:rPr>
          <w:rFonts w:ascii="Calibri" w:hAnsi="Calibri" w:cs="Calibri"/>
        </w:rPr>
        <w:t xml:space="preserve">incremental increase in </w:t>
      </w:r>
      <w:r>
        <w:rPr>
          <w:rFonts w:ascii="Calibri" w:hAnsi="Calibri" w:cs="Calibri"/>
        </w:rPr>
        <w:t>annual</w:t>
      </w:r>
      <w:r w:rsidR="003E36B6">
        <w:rPr>
          <w:rFonts w:ascii="Calibri" w:hAnsi="Calibri" w:cs="Calibri"/>
        </w:rPr>
        <w:t xml:space="preserve"> samples required </w:t>
      </w:r>
      <w:r w:rsidR="007810EF">
        <w:rPr>
          <w:rFonts w:ascii="Calibri" w:hAnsi="Calibri" w:cs="Calibri"/>
        </w:rPr>
        <w:t>under</w:t>
      </w:r>
      <w:r w:rsidR="003E36B6">
        <w:rPr>
          <w:rFonts w:ascii="Calibri" w:hAnsi="Calibri" w:cs="Calibri"/>
        </w:rPr>
        <w:t xml:space="preserve"> the 2026 MSGP is</w:t>
      </w:r>
      <w:r w:rsidR="001803A6">
        <w:rPr>
          <w:rFonts w:ascii="Calibri" w:hAnsi="Calibri" w:cs="Calibri"/>
        </w:rPr>
        <w:t xml:space="preserve"> </w:t>
      </w:r>
      <w:r w:rsidR="00D86C7F">
        <w:rPr>
          <w:rFonts w:ascii="Calibri" w:hAnsi="Calibri" w:cs="Calibri"/>
        </w:rPr>
        <w:t xml:space="preserve">3.54 </w:t>
      </w:r>
      <w:r w:rsidR="001803A6">
        <w:rPr>
          <w:rFonts w:ascii="Calibri" w:hAnsi="Calibri" w:cs="Calibri"/>
        </w:rPr>
        <w:t>samples</w:t>
      </w:r>
      <w:r w:rsidR="009B787E">
        <w:rPr>
          <w:rFonts w:ascii="Calibri" w:hAnsi="Calibri" w:cs="Calibri"/>
        </w:rPr>
        <w:t xml:space="preserve"> </w:t>
      </w:r>
      <w:r w:rsidR="00E119E0">
        <w:rPr>
          <w:rFonts w:ascii="Calibri" w:hAnsi="Calibri" w:cs="Calibri"/>
        </w:rPr>
        <w:t xml:space="preserve">was multiplied by the existing number of </w:t>
      </w:r>
      <w:r>
        <w:rPr>
          <w:rFonts w:ascii="Calibri" w:hAnsi="Calibri" w:cs="Calibri"/>
        </w:rPr>
        <w:t>permittees requiring</w:t>
      </w:r>
      <w:r w:rsidR="002615E8">
        <w:rPr>
          <w:rFonts w:ascii="Calibri" w:hAnsi="Calibri" w:cs="Calibri"/>
        </w:rPr>
        <w:t xml:space="preserve"> impaired waters</w:t>
      </w:r>
      <w:r>
        <w:rPr>
          <w:rFonts w:ascii="Calibri" w:hAnsi="Calibri" w:cs="Calibri"/>
        </w:rPr>
        <w:t xml:space="preserve"> sampling (824 respondents)</w:t>
      </w:r>
      <w:r w:rsidR="00D9557A">
        <w:rPr>
          <w:rFonts w:ascii="Calibri" w:hAnsi="Calibri" w:cs="Calibri"/>
        </w:rPr>
        <w:t>, and then by the proposed 2026 MSGP total hours per response (0.44 hours) for a total incremental annual burden of 12</w:t>
      </w:r>
      <w:r>
        <w:rPr>
          <w:rFonts w:ascii="Calibri" w:hAnsi="Calibri" w:cs="Calibri"/>
        </w:rPr>
        <w:t>71 hours annually.</w:t>
      </w:r>
    </w:p>
    <w:p w:rsidR="00904679" w:rsidP="00FF20B0" w14:paraId="3DFC4651" w14:textId="6A07C347">
      <w:pPr>
        <w:pStyle w:val="ListParagraph"/>
        <w:numPr>
          <w:ilvl w:val="1"/>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FF20B0">
        <w:rPr>
          <w:rFonts w:ascii="Calibri" w:hAnsi="Calibri" w:cs="Calibri"/>
          <w:u w:val="single"/>
        </w:rPr>
        <w:t xml:space="preserve">Burden </w:t>
      </w:r>
      <w:r w:rsidRPr="00FF20B0">
        <w:rPr>
          <w:rFonts w:ascii="Calibri" w:hAnsi="Calibri" w:cs="Calibri"/>
          <w:u w:val="single"/>
        </w:rPr>
        <w:t>based on change in hours per response:</w:t>
      </w:r>
      <w:r w:rsidR="00140DEA">
        <w:rPr>
          <w:rFonts w:ascii="Calibri" w:hAnsi="Calibri" w:cs="Calibri"/>
        </w:rPr>
        <w:t xml:space="preserve"> </w:t>
      </w:r>
      <w:r w:rsidR="003E36B6">
        <w:rPr>
          <w:rFonts w:ascii="Calibri" w:hAnsi="Calibri" w:cs="Calibri"/>
        </w:rPr>
        <w:t xml:space="preserve">The </w:t>
      </w:r>
      <w:r w:rsidR="000F107E">
        <w:rPr>
          <w:rFonts w:ascii="Calibri" w:hAnsi="Calibri" w:cs="Calibri"/>
        </w:rPr>
        <w:t xml:space="preserve">total number of </w:t>
      </w:r>
      <w:r w:rsidR="00175102">
        <w:rPr>
          <w:rFonts w:ascii="Calibri" w:hAnsi="Calibri" w:cs="Calibri"/>
        </w:rPr>
        <w:t xml:space="preserve">annual </w:t>
      </w:r>
      <w:r w:rsidR="000F107E">
        <w:rPr>
          <w:rFonts w:ascii="Calibri" w:hAnsi="Calibri" w:cs="Calibri"/>
        </w:rPr>
        <w:t xml:space="preserve">responses in the </w:t>
      </w:r>
      <w:r w:rsidR="00942D32">
        <w:rPr>
          <w:rFonts w:ascii="Calibri" w:hAnsi="Calibri" w:cs="Calibri"/>
        </w:rPr>
        <w:t>2021</w:t>
      </w:r>
      <w:r w:rsidR="000F107E">
        <w:rPr>
          <w:rFonts w:ascii="Calibri" w:hAnsi="Calibri" w:cs="Calibri"/>
        </w:rPr>
        <w:t xml:space="preserve"> MSGP </w:t>
      </w:r>
      <w:r w:rsidR="00175102">
        <w:rPr>
          <w:rFonts w:ascii="Calibri" w:hAnsi="Calibri" w:cs="Calibri"/>
        </w:rPr>
        <w:t xml:space="preserve">was </w:t>
      </w:r>
      <w:r w:rsidR="002615E8">
        <w:rPr>
          <w:rFonts w:ascii="Calibri" w:hAnsi="Calibri" w:cs="Calibri"/>
        </w:rPr>
        <w:t>0.46</w:t>
      </w:r>
      <w:r w:rsidR="00175102">
        <w:rPr>
          <w:rFonts w:ascii="Calibri" w:hAnsi="Calibri" w:cs="Calibri"/>
        </w:rPr>
        <w:t xml:space="preserve"> responses (i.e., </w:t>
      </w:r>
      <w:r w:rsidR="002615E8">
        <w:rPr>
          <w:rFonts w:ascii="Calibri" w:hAnsi="Calibri" w:cs="Calibri"/>
        </w:rPr>
        <w:t>2.3</w:t>
      </w:r>
      <w:r w:rsidR="00175102">
        <w:rPr>
          <w:rFonts w:ascii="Calibri" w:hAnsi="Calibri" w:cs="Calibri"/>
        </w:rPr>
        <w:t xml:space="preserve"> total responses over 5 years</w:t>
      </w:r>
      <w:r w:rsidR="006D19BE">
        <w:rPr>
          <w:rFonts w:ascii="Calibri" w:hAnsi="Calibri" w:cs="Calibri"/>
        </w:rPr>
        <w:t xml:space="preserve"> of the permit term), and that was multiplied by the </w:t>
      </w:r>
      <w:r w:rsidR="002615E8">
        <w:rPr>
          <w:rFonts w:ascii="Calibri" w:hAnsi="Calibri" w:cs="Calibri"/>
        </w:rPr>
        <w:t>existing number of</w:t>
      </w:r>
      <w:r w:rsidR="006D19BE">
        <w:rPr>
          <w:rFonts w:ascii="Calibri" w:hAnsi="Calibri" w:cs="Calibri"/>
        </w:rPr>
        <w:t xml:space="preserve"> respondents </w:t>
      </w:r>
      <w:r w:rsidR="002615E8">
        <w:rPr>
          <w:rFonts w:ascii="Calibri" w:hAnsi="Calibri" w:cs="Calibri"/>
        </w:rPr>
        <w:t>requiring impaired waters sampling (824 respondents), and then</w:t>
      </w:r>
      <w:r w:rsidR="003A307F">
        <w:rPr>
          <w:rFonts w:ascii="Calibri" w:hAnsi="Calibri" w:cs="Calibri"/>
        </w:rPr>
        <w:t xml:space="preserve"> multiplied</w:t>
      </w:r>
      <w:r w:rsidR="002615E8">
        <w:rPr>
          <w:rFonts w:ascii="Calibri" w:hAnsi="Calibri" w:cs="Calibri"/>
        </w:rPr>
        <w:t xml:space="preserve"> by the </w:t>
      </w:r>
      <w:r w:rsidR="00050655">
        <w:rPr>
          <w:rFonts w:ascii="Calibri" w:hAnsi="Calibri" w:cs="Calibri"/>
        </w:rPr>
        <w:t>proposed incremental hours per response of 0.32 hours for a total incremental annual burden of</w:t>
      </w:r>
      <w:r>
        <w:rPr>
          <w:rFonts w:ascii="Calibri" w:hAnsi="Calibri" w:cs="Calibri"/>
        </w:rPr>
        <w:t xml:space="preserve"> 120 hours annually.</w:t>
      </w:r>
    </w:p>
    <w:p w:rsidR="00AE3D29" w:rsidP="00825882" w14:paraId="18C5B6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alibri" w:hAnsi="Calibri" w:cs="Calibri"/>
        </w:rPr>
      </w:pPr>
    </w:p>
    <w:p w:rsidR="00904679" w:rsidRPr="00FF20B0" w:rsidP="00825882" w14:paraId="488A7E4F" w14:textId="19EC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alibri" w:hAnsi="Calibri" w:cs="Calibri"/>
        </w:rPr>
      </w:pPr>
      <w:r>
        <w:rPr>
          <w:rFonts w:ascii="Calibri" w:hAnsi="Calibri" w:cs="Calibri"/>
        </w:rPr>
        <w:t>The third analysis calculated the burden for the new dischargers requiring impaired waters monitoring (discussed in 12.a):</w:t>
      </w:r>
    </w:p>
    <w:p w:rsidR="009C7031" w:rsidRPr="006E1431" w:rsidP="006E1431" w14:paraId="5652D303" w14:textId="745686DA">
      <w:pPr>
        <w:pStyle w:val="ListParagraph"/>
        <w:numPr>
          <w:ilvl w:val="1"/>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FF20B0">
        <w:rPr>
          <w:rFonts w:ascii="Calibri" w:hAnsi="Calibri" w:cs="Calibri"/>
          <w:u w:val="single"/>
        </w:rPr>
        <w:t>Burden based on new dischargers</w:t>
      </w:r>
      <w:r>
        <w:rPr>
          <w:rFonts w:ascii="Calibri" w:hAnsi="Calibri" w:cs="Calibri"/>
        </w:rPr>
        <w:t>:</w:t>
      </w:r>
      <w:r w:rsidR="006D19BE">
        <w:rPr>
          <w:rFonts w:ascii="Calibri" w:hAnsi="Calibri" w:cs="Calibri"/>
        </w:rPr>
        <w:t xml:space="preserve"> </w:t>
      </w:r>
      <w:r w:rsidR="00374FAF">
        <w:rPr>
          <w:rFonts w:ascii="Calibri" w:hAnsi="Calibri" w:cs="Calibri"/>
        </w:rPr>
        <w:t xml:space="preserve">The annual number of responses used </w:t>
      </w:r>
      <w:r w:rsidR="000E2AA1">
        <w:rPr>
          <w:rFonts w:ascii="Calibri" w:hAnsi="Calibri" w:cs="Calibri"/>
        </w:rPr>
        <w:t xml:space="preserve">is </w:t>
      </w:r>
      <w:r w:rsidR="00374FAF">
        <w:rPr>
          <w:rFonts w:ascii="Calibri" w:hAnsi="Calibri" w:cs="Calibri"/>
        </w:rPr>
        <w:t>4 responses (20 total responses divided by the 5-year permit term). That was multiplied by the</w:t>
      </w:r>
      <w:r>
        <w:rPr>
          <w:rFonts w:ascii="Calibri" w:hAnsi="Calibri" w:cs="Calibri"/>
        </w:rPr>
        <w:t xml:space="preserve"> total number of </w:t>
      </w:r>
      <w:r w:rsidR="006256CF">
        <w:rPr>
          <w:rFonts w:ascii="Calibri" w:hAnsi="Calibri" w:cs="Calibri"/>
        </w:rPr>
        <w:t xml:space="preserve">new dischargers (164 respondents) </w:t>
      </w:r>
      <w:r w:rsidR="00767F9C">
        <w:rPr>
          <w:rFonts w:ascii="Calibri" w:hAnsi="Calibri" w:cs="Calibri"/>
        </w:rPr>
        <w:t>and then</w:t>
      </w:r>
      <w:r w:rsidR="006616E7">
        <w:rPr>
          <w:rFonts w:ascii="Calibri" w:hAnsi="Calibri" w:cs="Calibri"/>
        </w:rPr>
        <w:t xml:space="preserve"> multiplied by 0.44 hours per response for a total of </w:t>
      </w:r>
      <w:r w:rsidR="004363B1">
        <w:rPr>
          <w:rFonts w:ascii="Calibri" w:hAnsi="Calibri" w:cs="Calibri"/>
        </w:rPr>
        <w:t>286</w:t>
      </w:r>
      <w:r w:rsidR="00767F9C">
        <w:rPr>
          <w:rFonts w:ascii="Calibri" w:hAnsi="Calibri" w:cs="Calibri"/>
        </w:rPr>
        <w:t xml:space="preserve"> hour</w:t>
      </w:r>
      <w:r w:rsidR="004363B1">
        <w:rPr>
          <w:rFonts w:ascii="Calibri" w:hAnsi="Calibri" w:cs="Calibri"/>
        </w:rPr>
        <w:t>s annually.</w:t>
      </w:r>
    </w:p>
    <w:p w:rsidR="004366D4" w:rsidRPr="00366777" w:rsidP="00366777" w14:paraId="0A024C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366777">
        <w:rPr>
          <w:rFonts w:ascii="Calibri" w:hAnsi="Calibri" w:cs="Calibri"/>
          <w:b/>
        </w:rPr>
        <w:t xml:space="preserve">Corrective Action/Additional Implementation Measure Reporting </w:t>
      </w:r>
    </w:p>
    <w:p w:rsidR="00C34F64" w:rsidP="00366777" w14:paraId="35AB3468" w14:textId="0C293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The</w:t>
      </w:r>
      <w:r w:rsidRPr="001E010D">
        <w:t xml:space="preserve"> </w:t>
      </w:r>
      <w:r w:rsidR="00E5140B">
        <w:t xml:space="preserve">proposed </w:t>
      </w:r>
      <w:r>
        <w:t>2026 MSGP</w:t>
      </w:r>
      <w:r w:rsidRPr="001E010D">
        <w:t xml:space="preserve"> </w:t>
      </w:r>
      <w:r w:rsidR="0053239B">
        <w:t>includes a new requirement</w:t>
      </w:r>
      <w:r w:rsidR="00107257">
        <w:t xml:space="preserve"> that</w:t>
      </w:r>
      <w:r w:rsidR="0053239B">
        <w:t xml:space="preserve"> </w:t>
      </w:r>
      <w:r w:rsidR="00E5140B">
        <w:t>would</w:t>
      </w:r>
      <w:r w:rsidRPr="001E010D">
        <w:t xml:space="preserve"> require </w:t>
      </w:r>
      <w:r w:rsidR="00E729B2">
        <w:t xml:space="preserve">respondents to submit a </w:t>
      </w:r>
      <w:r w:rsidRPr="001E010D">
        <w:t xml:space="preserve">corrective action </w:t>
      </w:r>
      <w:r w:rsidR="00E729B2">
        <w:t xml:space="preserve">report </w:t>
      </w:r>
      <w:r w:rsidR="006B05C3">
        <w:t xml:space="preserve">anytime an AIM level is triggered. Respondents must submit the report </w:t>
      </w:r>
      <w:r>
        <w:t xml:space="preserve">within 30 days to MSGP-NeT. This </w:t>
      </w:r>
      <w:r w:rsidR="006B05C3">
        <w:t xml:space="preserve">requirement </w:t>
      </w:r>
      <w:r>
        <w:t>applies to both benchmark monitoring and impaired waters monitoring</w:t>
      </w:r>
      <w:r w:rsidR="00FE4A7B">
        <w:t xml:space="preserve"> because both </w:t>
      </w:r>
      <w:r w:rsidR="006C6D97">
        <w:t>could</w:t>
      </w:r>
      <w:r w:rsidR="00D23FAA">
        <w:t xml:space="preserve"> trigger AIM</w:t>
      </w:r>
      <w:r w:rsidR="00E729B2">
        <w:t>.</w:t>
      </w:r>
    </w:p>
    <w:p w:rsidR="00E430EA" w:rsidP="28D8B764" w14:paraId="151E9075" w14:textId="702422EF">
      <w:pPr>
        <w:pStyle w:val="ListParagraph"/>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For benchmark monitoring,</w:t>
      </w:r>
      <w:r w:rsidR="004225E9">
        <w:t xml:space="preserve"> </w:t>
      </w:r>
      <w:r w:rsidR="007E62D3">
        <w:t xml:space="preserve">EPA used </w:t>
      </w:r>
      <w:r w:rsidR="003D6352">
        <w:t xml:space="preserve">data from </w:t>
      </w:r>
      <w:r w:rsidR="0004318F">
        <w:t xml:space="preserve">EPA’s </w:t>
      </w:r>
      <w:r w:rsidR="004225E9">
        <w:t xml:space="preserve">AIM </w:t>
      </w:r>
      <w:r w:rsidR="2B010FC8">
        <w:t>data</w:t>
      </w:r>
      <w:r w:rsidR="0004318F">
        <w:t xml:space="preserve"> and DMR monitoring data </w:t>
      </w:r>
      <w:r w:rsidR="004225E9">
        <w:t xml:space="preserve">to </w:t>
      </w:r>
      <w:r>
        <w:t>estimate</w:t>
      </w:r>
      <w:r w:rsidR="006404E8">
        <w:t xml:space="preserve"> </w:t>
      </w:r>
      <w:r w:rsidR="007E35A4">
        <w:t xml:space="preserve">how many facilities moved </w:t>
      </w:r>
      <w:r w:rsidR="00482910">
        <w:t>between AIM levels in a single year</w:t>
      </w:r>
      <w:r w:rsidR="007A7B24">
        <w:t>:</w:t>
      </w:r>
      <w:r w:rsidR="00482910">
        <w:t xml:space="preserve"> </w:t>
      </w:r>
      <w:r w:rsidR="007A7B24">
        <w:t xml:space="preserve">from </w:t>
      </w:r>
      <w:r w:rsidR="007E35A4">
        <w:t xml:space="preserve">baseline to </w:t>
      </w:r>
      <w:r w:rsidR="007E62D3">
        <w:t xml:space="preserve">AIM </w:t>
      </w:r>
      <w:r w:rsidR="00BD0E6D">
        <w:t>L</w:t>
      </w:r>
      <w:r w:rsidR="007E35A4">
        <w:t>evel 1</w:t>
      </w:r>
      <w:r w:rsidR="007A7B24">
        <w:t xml:space="preserve"> (211 facilities)</w:t>
      </w:r>
      <w:r w:rsidR="00DB4D58">
        <w:t>,</w:t>
      </w:r>
      <w:r w:rsidR="007E35A4">
        <w:t xml:space="preserve"> </w:t>
      </w:r>
      <w:r w:rsidR="007E62D3">
        <w:t xml:space="preserve">AIM </w:t>
      </w:r>
      <w:r w:rsidR="00BD0E6D">
        <w:t>L</w:t>
      </w:r>
      <w:r w:rsidR="007E35A4">
        <w:t xml:space="preserve">evel 1 to </w:t>
      </w:r>
      <w:r w:rsidR="007E62D3">
        <w:t xml:space="preserve">AIM </w:t>
      </w:r>
      <w:r w:rsidR="00BD0E6D">
        <w:t>L</w:t>
      </w:r>
      <w:r w:rsidR="007E35A4">
        <w:t>evel 2 (</w:t>
      </w:r>
      <w:r w:rsidR="00C863F2">
        <w:t xml:space="preserve">146 facilities), and </w:t>
      </w:r>
      <w:r w:rsidR="006B0114">
        <w:t xml:space="preserve">AIM </w:t>
      </w:r>
      <w:r w:rsidR="00BD0E6D">
        <w:t>L</w:t>
      </w:r>
      <w:r w:rsidR="00C863F2">
        <w:t xml:space="preserve">evel 2 to </w:t>
      </w:r>
      <w:r w:rsidR="006B0114">
        <w:t xml:space="preserve">AIM </w:t>
      </w:r>
      <w:r w:rsidR="00BD0E6D">
        <w:t>L</w:t>
      </w:r>
      <w:r w:rsidR="00C863F2">
        <w:t>evel 3 (106 facilities)</w:t>
      </w:r>
      <w:r w:rsidR="00DB4D58">
        <w:t>.</w:t>
      </w:r>
      <w:r w:rsidR="00E67A82">
        <w:t xml:space="preserve"> </w:t>
      </w:r>
      <w:r w:rsidR="00DB4D58">
        <w:t xml:space="preserve">EPA assumes there would be </w:t>
      </w:r>
      <w:r w:rsidR="00E67A82">
        <w:t xml:space="preserve">approximately 463 corrective action reports </w:t>
      </w:r>
      <w:r w:rsidR="00DB4D58">
        <w:t xml:space="preserve">per year </w:t>
      </w:r>
      <w:r w:rsidR="00E67A82">
        <w:t xml:space="preserve">for benchmark monitoring. </w:t>
      </w:r>
    </w:p>
    <w:p w:rsidR="00B25571" w:rsidP="00C34F64" w14:paraId="4D5527C5" w14:textId="6A03D4A1">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 xml:space="preserve">For impaired waters monitoring, </w:t>
      </w:r>
      <w:r w:rsidR="0032010F">
        <w:t>t</w:t>
      </w:r>
      <w:r w:rsidRPr="0032010F" w:rsidR="0032010F">
        <w:t xml:space="preserve">he proposed 2026 MSGP would require </w:t>
      </w:r>
      <w:r w:rsidR="00544891">
        <w:t xml:space="preserve">a respondent </w:t>
      </w:r>
      <w:r w:rsidR="0032010F">
        <w:t xml:space="preserve">to </w:t>
      </w:r>
      <w:r w:rsidR="00F5654A">
        <w:t>trigger</w:t>
      </w:r>
      <w:r w:rsidR="0032010F">
        <w:t xml:space="preserve"> </w:t>
      </w:r>
      <w:r>
        <w:t>AIM Level 1</w:t>
      </w:r>
      <w:r w:rsidR="00EC1FE6">
        <w:t xml:space="preserve"> </w:t>
      </w:r>
      <w:r w:rsidR="00544891">
        <w:t>if they detect an impaired pollutant</w:t>
      </w:r>
      <w:r w:rsidR="007D277B">
        <w:t>. Therefore</w:t>
      </w:r>
      <w:r w:rsidR="00171D20">
        <w:t>,</w:t>
      </w:r>
      <w:r>
        <w:t xml:space="preserve"> </w:t>
      </w:r>
      <w:r w:rsidR="00F5654A">
        <w:t xml:space="preserve">to estimate the number of corrective action reports </w:t>
      </w:r>
      <w:r w:rsidR="00421198">
        <w:t>each</w:t>
      </w:r>
      <w:r w:rsidR="00947195">
        <w:t xml:space="preserve"> year </w:t>
      </w:r>
      <w:r w:rsidR="00F5654A">
        <w:t xml:space="preserve">for impaired waters </w:t>
      </w:r>
      <w:r w:rsidR="00947195">
        <w:t xml:space="preserve">monitoring, </w:t>
      </w:r>
      <w:r w:rsidR="00B15EFA">
        <w:t xml:space="preserve">EPA multiplied </w:t>
      </w:r>
      <w:r>
        <w:t xml:space="preserve">the </w:t>
      </w:r>
      <w:r w:rsidR="000C746D">
        <w:t xml:space="preserve">total number of estimated respondents (890 from </w:t>
      </w:r>
      <w:r w:rsidR="00EB59E5">
        <w:t xml:space="preserve">the </w:t>
      </w:r>
      <w:r w:rsidR="00650875">
        <w:t xml:space="preserve">previously described </w:t>
      </w:r>
      <w:r w:rsidR="000C746D">
        <w:t>analysis</w:t>
      </w:r>
      <w:r w:rsidR="00376BD4">
        <w:t>)</w:t>
      </w:r>
      <w:r w:rsidR="000C746D">
        <w:t>)</w:t>
      </w:r>
      <w:r w:rsidR="00B15EFA">
        <w:t xml:space="preserve"> </w:t>
      </w:r>
      <w:r w:rsidR="008D27D8">
        <w:t xml:space="preserve">by the “worst case scenario” multiplier </w:t>
      </w:r>
      <w:r w:rsidR="00BE7B61">
        <w:t>used in the 2021 MSGP ICR</w:t>
      </w:r>
      <w:r w:rsidR="00376BD4">
        <w:t xml:space="preserve"> for </w:t>
      </w:r>
      <w:r w:rsidR="00101B6C">
        <w:t>respondents who would detect an impairment</w:t>
      </w:r>
      <w:r w:rsidR="00BE7B61">
        <w:t xml:space="preserve"> </w:t>
      </w:r>
      <w:r w:rsidR="00EB59E5">
        <w:t>(</w:t>
      </w:r>
      <w:r w:rsidR="008D27D8">
        <w:t>19.5%</w:t>
      </w:r>
      <w:r w:rsidR="00EB59E5">
        <w:t>)</w:t>
      </w:r>
      <w:r w:rsidR="00E52AC7">
        <w:t xml:space="preserve">, and then divided by </w:t>
      </w:r>
      <w:r w:rsidR="00206BBF">
        <w:t xml:space="preserve">the </w:t>
      </w:r>
      <w:r w:rsidR="00E52AC7">
        <w:t>5</w:t>
      </w:r>
      <w:r w:rsidR="00206BBF">
        <w:t>-</w:t>
      </w:r>
      <w:r w:rsidR="00E52AC7">
        <w:t>year</w:t>
      </w:r>
      <w:r w:rsidR="00206BBF">
        <w:t xml:space="preserve"> permit term</w:t>
      </w:r>
      <w:r w:rsidR="00A267AE">
        <w:t>, resulting in</w:t>
      </w:r>
      <w:r w:rsidR="00E52AC7">
        <w:t xml:space="preserve"> </w:t>
      </w:r>
      <w:r w:rsidR="004F4243">
        <w:t xml:space="preserve">35 </w:t>
      </w:r>
      <w:r>
        <w:t xml:space="preserve">corrective action reports </w:t>
      </w:r>
      <w:r w:rsidR="00A267AE">
        <w:t>per year</w:t>
      </w:r>
      <w:r w:rsidR="004F4243">
        <w:t xml:space="preserve">. </w:t>
      </w:r>
    </w:p>
    <w:p w:rsidR="004366D4" w:rsidRPr="00366777" w:rsidP="00B25571" w14:paraId="2BD77EB9" w14:textId="325FB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 xml:space="preserve">Therefore, EPA estimates </w:t>
      </w:r>
      <w:r w:rsidR="004F4243">
        <w:t xml:space="preserve">the total </w:t>
      </w:r>
      <w:r>
        <w:t xml:space="preserve">number of corrective action reports per year is </w:t>
      </w:r>
      <w:r w:rsidR="003642E9">
        <w:t>498</w:t>
      </w:r>
      <w:r w:rsidR="00764D92">
        <w:t xml:space="preserve"> (i.e., the sum of 463 and 35)</w:t>
      </w:r>
      <w:r>
        <w:t>.</w:t>
      </w:r>
      <w:r w:rsidR="003642E9">
        <w:t xml:space="preserve"> </w:t>
      </w:r>
      <w:r>
        <w:t xml:space="preserve">EPA assumes that respondents would need </w:t>
      </w:r>
      <w:r w:rsidR="006C6D97">
        <w:t xml:space="preserve">30 minutes </w:t>
      </w:r>
      <w:r w:rsidR="00445770">
        <w:t xml:space="preserve">(or 0.5 hours) </w:t>
      </w:r>
      <w:r>
        <w:t xml:space="preserve">to complete each </w:t>
      </w:r>
      <w:r w:rsidR="006C6D97">
        <w:t>report</w:t>
      </w:r>
      <w:r w:rsidR="00D1669E">
        <w:t>.</w:t>
      </w:r>
    </w:p>
    <w:p w:rsidR="00D1669E" w:rsidP="00366777" w14:paraId="4DCB6368" w14:textId="304B213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rPr>
          <w:rFonts w:ascii="Calibri" w:hAnsi="Calibri" w:cs="Calibri"/>
        </w:rPr>
      </w:pPr>
      <w:r w:rsidRPr="0088303C">
        <w:rPr>
          <w:rFonts w:ascii="Calibri" w:hAnsi="Calibri" w:cs="Calibri"/>
        </w:rPr>
        <w:t xml:space="preserve">The </w:t>
      </w:r>
      <w:r w:rsidR="00BD67BA">
        <w:rPr>
          <w:rFonts w:ascii="Calibri" w:hAnsi="Calibri" w:cs="Calibri"/>
        </w:rPr>
        <w:t xml:space="preserve">proposed </w:t>
      </w:r>
      <w:r w:rsidRPr="0088303C">
        <w:rPr>
          <w:rFonts w:ascii="Calibri" w:hAnsi="Calibri" w:cs="Calibri"/>
        </w:rPr>
        <w:t>2026 MSGP</w:t>
      </w:r>
      <w:r w:rsidR="00BD67BA">
        <w:rPr>
          <w:rFonts w:ascii="Calibri" w:hAnsi="Calibri" w:cs="Calibri"/>
        </w:rPr>
        <w:t xml:space="preserve"> would</w:t>
      </w:r>
      <w:r w:rsidRPr="0088303C">
        <w:rPr>
          <w:rFonts w:ascii="Calibri" w:hAnsi="Calibri" w:cs="Calibri"/>
        </w:rPr>
        <w:t xml:space="preserve"> also require an AIM Level 1 inspection </w:t>
      </w:r>
      <w:r w:rsidR="006C6D97">
        <w:rPr>
          <w:rFonts w:ascii="Calibri" w:hAnsi="Calibri" w:cs="Calibri"/>
        </w:rPr>
        <w:t xml:space="preserve">report to be submitted </w:t>
      </w:r>
      <w:r w:rsidRPr="0088303C">
        <w:rPr>
          <w:rFonts w:ascii="Calibri" w:hAnsi="Calibri" w:cs="Calibri"/>
        </w:rPr>
        <w:t xml:space="preserve">when a benchmark or </w:t>
      </w:r>
      <w:r w:rsidR="006C6D97">
        <w:rPr>
          <w:rFonts w:ascii="Calibri" w:hAnsi="Calibri" w:cs="Calibri"/>
        </w:rPr>
        <w:t xml:space="preserve">an </w:t>
      </w:r>
      <w:r w:rsidRPr="0088303C">
        <w:rPr>
          <w:rFonts w:ascii="Calibri" w:hAnsi="Calibri" w:cs="Calibri"/>
        </w:rPr>
        <w:t xml:space="preserve">impaired water monitoring result triggers AIM Level 1. Using the same </w:t>
      </w:r>
      <w:r w:rsidR="007F4A50">
        <w:rPr>
          <w:rFonts w:ascii="Calibri" w:hAnsi="Calibri" w:cs="Calibri"/>
        </w:rPr>
        <w:t xml:space="preserve">assumptions above, </w:t>
      </w:r>
      <w:r w:rsidRPr="0088303C">
        <w:rPr>
          <w:rFonts w:ascii="Calibri" w:hAnsi="Calibri" w:cs="Calibri"/>
        </w:rPr>
        <w:t xml:space="preserve">EPA </w:t>
      </w:r>
      <w:r w:rsidR="007F4A50">
        <w:rPr>
          <w:rFonts w:ascii="Calibri" w:hAnsi="Calibri" w:cs="Calibri"/>
        </w:rPr>
        <w:t xml:space="preserve">estimates </w:t>
      </w:r>
      <w:r w:rsidRPr="0088303C">
        <w:rPr>
          <w:rFonts w:ascii="Calibri" w:hAnsi="Calibri" w:cs="Calibri"/>
        </w:rPr>
        <w:t xml:space="preserve">there would be approximately 211 annual AIM Level 1 inspections required for </w:t>
      </w:r>
      <w:r w:rsidRPr="0088303C">
        <w:rPr>
          <w:rFonts w:ascii="Calibri" w:hAnsi="Calibri" w:cs="Calibri"/>
        </w:rPr>
        <w:t>benchmark monitoring, and approximately 35 annual AIM Level 1 inspections required for impaired waters monitoring</w:t>
      </w:r>
      <w:r w:rsidR="007F4A50">
        <w:rPr>
          <w:rFonts w:ascii="Calibri" w:hAnsi="Calibri" w:cs="Calibri"/>
        </w:rPr>
        <w:t>, or a</w:t>
      </w:r>
      <w:r w:rsidRPr="0088303C">
        <w:rPr>
          <w:rFonts w:ascii="Calibri" w:hAnsi="Calibri" w:cs="Calibri"/>
        </w:rPr>
        <w:t xml:space="preserve"> total of </w:t>
      </w:r>
      <w:r w:rsidR="00DC3DD2">
        <w:rPr>
          <w:rFonts w:ascii="Calibri" w:hAnsi="Calibri" w:cs="Calibri"/>
        </w:rPr>
        <w:t xml:space="preserve">246 </w:t>
      </w:r>
      <w:r w:rsidRPr="0088303C">
        <w:rPr>
          <w:rFonts w:ascii="Calibri" w:hAnsi="Calibri" w:cs="Calibri"/>
        </w:rPr>
        <w:t>annual AIM Level 1 inspections. EPA assume</w:t>
      </w:r>
      <w:r w:rsidR="00DC3DD2">
        <w:rPr>
          <w:rFonts w:ascii="Calibri" w:hAnsi="Calibri" w:cs="Calibri"/>
        </w:rPr>
        <w:t>s</w:t>
      </w:r>
      <w:r w:rsidRPr="0088303C">
        <w:rPr>
          <w:rFonts w:ascii="Calibri" w:hAnsi="Calibri" w:cs="Calibri"/>
        </w:rPr>
        <w:t xml:space="preserve"> each inspection report submittal would take approximately 0.5 hours.</w:t>
      </w:r>
      <w:r w:rsidR="003F29EB">
        <w:rPr>
          <w:rFonts w:ascii="Calibri" w:hAnsi="Calibri" w:cs="Calibri"/>
        </w:rPr>
        <w:t xml:space="preserve"> </w:t>
      </w:r>
    </w:p>
    <w:p w:rsidR="000110AA" w:rsidP="00366777" w14:paraId="0B9BEDF2"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rPr>
          <w:rFonts w:ascii="Calibri" w:hAnsi="Calibri" w:cs="Calibri"/>
        </w:rPr>
      </w:pPr>
    </w:p>
    <w:p w:rsidR="009C71E9" w:rsidRPr="00090AD2" w:rsidP="00825882" w14:paraId="4A7C8B25" w14:textId="27AF640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pPr>
      <w:r>
        <w:rPr>
          <w:rFonts w:ascii="Calibri" w:hAnsi="Calibri" w:cs="Calibri"/>
        </w:rPr>
        <w:t xml:space="preserve">As described in Section 12.c, the SWPPP requires </w:t>
      </w:r>
      <w:r w:rsidR="00A97036">
        <w:rPr>
          <w:rFonts w:ascii="Calibri" w:hAnsi="Calibri" w:cs="Calibri"/>
        </w:rPr>
        <w:t xml:space="preserve">corrective action documentation when </w:t>
      </w:r>
      <w:r>
        <w:rPr>
          <w:rFonts w:ascii="Calibri" w:hAnsi="Calibri" w:cs="Calibri"/>
        </w:rPr>
        <w:t xml:space="preserve">AIM is triggered. It was estimated that </w:t>
      </w:r>
      <w:r w:rsidR="00A97036">
        <w:rPr>
          <w:rFonts w:ascii="Calibri" w:hAnsi="Calibri" w:cs="Calibri"/>
        </w:rPr>
        <w:t xml:space="preserve">it would take approximately 1 hour to update the SWPPP with corrective action documentation. The </w:t>
      </w:r>
      <w:r w:rsidR="00C05E9C">
        <w:rPr>
          <w:rFonts w:ascii="Calibri" w:hAnsi="Calibri" w:cs="Calibri"/>
        </w:rPr>
        <w:t>same</w:t>
      </w:r>
      <w:r w:rsidR="00954F8D">
        <w:rPr>
          <w:rFonts w:ascii="Calibri" w:hAnsi="Calibri" w:cs="Calibri"/>
        </w:rPr>
        <w:t xml:space="preserve"> number of </w:t>
      </w:r>
      <w:r w:rsidR="00A6613C">
        <w:rPr>
          <w:rFonts w:ascii="Calibri" w:hAnsi="Calibri" w:cs="Calibri"/>
        </w:rPr>
        <w:t>respondents (495)</w:t>
      </w:r>
      <w:r w:rsidR="00111B3F">
        <w:rPr>
          <w:rFonts w:ascii="Calibri" w:hAnsi="Calibri" w:cs="Calibri"/>
        </w:rPr>
        <w:t xml:space="preserve"> would spend 1 hour updating their SWPPP with corrective action documentation.</w:t>
      </w:r>
    </w:p>
    <w:p w:rsidR="00107F71" w:rsidRPr="006F2883" w:rsidP="00856149" w14:paraId="7B73A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6F2883">
        <w:rPr>
          <w:rFonts w:ascii="Calibri" w:hAnsi="Calibri" w:cs="Calibri"/>
          <w:b/>
        </w:rPr>
        <w:t>Con</w:t>
      </w:r>
      <w:r w:rsidRPr="006F2883" w:rsidR="00FD3C3F">
        <w:rPr>
          <w:rFonts w:ascii="Calibri" w:hAnsi="Calibri" w:cs="Calibri"/>
          <w:b/>
        </w:rPr>
        <w:t>struction General Permit Requirements</w:t>
      </w:r>
    </w:p>
    <w:p w:rsidR="008A0178" w:rsidRPr="006F2883" w:rsidP="00A81FF6" w14:paraId="383D664F" w14:textId="4953A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Calibri" w:hAnsi="Calibri" w:cs="Calibri"/>
        </w:rPr>
      </w:pPr>
      <w:r>
        <w:rPr>
          <w:rFonts w:ascii="Calibri" w:hAnsi="Calibri" w:cs="Calibri"/>
          <w:bCs/>
        </w:rPr>
        <w:t>EPA used a</w:t>
      </w:r>
      <w:r w:rsidRPr="006F2883" w:rsidR="00107F71">
        <w:rPr>
          <w:rFonts w:ascii="Calibri" w:hAnsi="Calibri" w:cs="Calibri"/>
          <w:bCs/>
        </w:rPr>
        <w:t xml:space="preserve">ssumptions </w:t>
      </w:r>
      <w:r>
        <w:rPr>
          <w:rFonts w:ascii="Calibri" w:hAnsi="Calibri" w:cs="Calibri"/>
          <w:bCs/>
        </w:rPr>
        <w:t xml:space="preserve">that align with </w:t>
      </w:r>
      <w:r w:rsidRPr="006F2883" w:rsidR="00107F71">
        <w:rPr>
          <w:rFonts w:ascii="Calibri" w:hAnsi="Calibri" w:cs="Calibri"/>
          <w:bCs/>
        </w:rPr>
        <w:t xml:space="preserve">the 2022 CGP ICR to calculate </w:t>
      </w:r>
      <w:r w:rsidRPr="006F2883" w:rsidR="00555945">
        <w:rPr>
          <w:rFonts w:ascii="Calibri" w:hAnsi="Calibri" w:cs="Calibri"/>
          <w:bCs/>
        </w:rPr>
        <w:t xml:space="preserve">the new respondent burden </w:t>
      </w:r>
      <w:r w:rsidRPr="006F2883" w:rsidR="00D5056B">
        <w:rPr>
          <w:rFonts w:ascii="Calibri" w:hAnsi="Calibri" w:cs="Calibri"/>
          <w:bCs/>
        </w:rPr>
        <w:t xml:space="preserve">for mining sectors </w:t>
      </w:r>
      <w:r w:rsidR="00191BB1">
        <w:rPr>
          <w:rFonts w:ascii="Calibri" w:hAnsi="Calibri" w:cs="Calibri"/>
          <w:bCs/>
        </w:rPr>
        <w:t>(Sectors G, H, and J)</w:t>
      </w:r>
      <w:r w:rsidRPr="006F2883" w:rsidR="00D5056B">
        <w:rPr>
          <w:rFonts w:ascii="Calibri" w:hAnsi="Calibri" w:cs="Calibri"/>
          <w:bCs/>
        </w:rPr>
        <w:t xml:space="preserve"> </w:t>
      </w:r>
      <w:r w:rsidR="00B2067C">
        <w:rPr>
          <w:rFonts w:ascii="Calibri" w:hAnsi="Calibri" w:cs="Calibri"/>
          <w:bCs/>
        </w:rPr>
        <w:t xml:space="preserve">that would </w:t>
      </w:r>
      <w:r w:rsidR="009431C0">
        <w:rPr>
          <w:rFonts w:ascii="Calibri" w:hAnsi="Calibri" w:cs="Calibri"/>
          <w:bCs/>
        </w:rPr>
        <w:t xml:space="preserve">have their construction stormwater discharges covered under the proposed 2026 MSGP </w:t>
      </w:r>
      <w:r w:rsidRPr="006F2883" w:rsidR="00D5056B">
        <w:rPr>
          <w:rFonts w:ascii="Calibri" w:hAnsi="Calibri" w:cs="Calibri"/>
          <w:bCs/>
        </w:rPr>
        <w:t>(refer to Section 12.a)</w:t>
      </w:r>
      <w:r w:rsidRPr="006F2883" w:rsidR="00555945">
        <w:rPr>
          <w:rFonts w:ascii="Calibri" w:hAnsi="Calibri" w:cs="Calibri"/>
          <w:bCs/>
        </w:rPr>
        <w:t>.</w:t>
      </w:r>
    </w:p>
    <w:p w:rsidR="008157CD" w:rsidRPr="00BE4DE8" w:rsidP="008157CD" w14:paraId="64AEA82F" w14:textId="2F3AAB04">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6F2883">
        <w:rPr>
          <w:rFonts w:ascii="Calibri" w:hAnsi="Calibri" w:cs="Calibri"/>
          <w:b/>
        </w:rPr>
        <w:t>Dewatering</w:t>
      </w:r>
      <w:r w:rsidRPr="006F2883" w:rsidR="00D41078">
        <w:rPr>
          <w:rFonts w:ascii="Calibri" w:hAnsi="Calibri" w:cs="Calibri"/>
          <w:b/>
        </w:rPr>
        <w:t xml:space="preserve"> Inspection Reports and Corrective Actions</w:t>
      </w:r>
      <w:r w:rsidRPr="006F2883">
        <w:rPr>
          <w:rFonts w:ascii="Calibri" w:hAnsi="Calibri" w:cs="Calibri"/>
          <w:b/>
        </w:rPr>
        <w:t xml:space="preserve">: </w:t>
      </w:r>
      <w:r w:rsidRPr="006F2883" w:rsidR="00D41078">
        <w:rPr>
          <w:rFonts w:ascii="Calibri" w:hAnsi="Calibri" w:cs="Calibri"/>
          <w:bCs/>
        </w:rPr>
        <w:t xml:space="preserve">The </w:t>
      </w:r>
      <w:r w:rsidR="00863CE4">
        <w:rPr>
          <w:rFonts w:ascii="Calibri" w:hAnsi="Calibri" w:cs="Calibri"/>
          <w:bCs/>
        </w:rPr>
        <w:t xml:space="preserve">proposed </w:t>
      </w:r>
      <w:r w:rsidRPr="006F2883" w:rsidR="00FD4FAB">
        <w:rPr>
          <w:rFonts w:ascii="Calibri" w:hAnsi="Calibri" w:cs="Calibri"/>
          <w:bCs/>
        </w:rPr>
        <w:t>2026</w:t>
      </w:r>
      <w:r w:rsidRPr="006F2883" w:rsidR="00D41078">
        <w:rPr>
          <w:rFonts w:ascii="Calibri" w:hAnsi="Calibri" w:cs="Calibri"/>
          <w:bCs/>
        </w:rPr>
        <w:t xml:space="preserve"> </w:t>
      </w:r>
      <w:r w:rsidRPr="006F2883" w:rsidR="00FD4FAB">
        <w:rPr>
          <w:rFonts w:ascii="Calibri" w:hAnsi="Calibri" w:cs="Calibri"/>
          <w:bCs/>
        </w:rPr>
        <w:t>MSGP</w:t>
      </w:r>
      <w:r w:rsidRPr="006F2883" w:rsidR="00D41078">
        <w:rPr>
          <w:rFonts w:ascii="Calibri" w:hAnsi="Calibri" w:cs="Calibri"/>
          <w:bCs/>
        </w:rPr>
        <w:t xml:space="preserve"> </w:t>
      </w:r>
      <w:r w:rsidR="00863CE4">
        <w:rPr>
          <w:rFonts w:ascii="Calibri" w:hAnsi="Calibri" w:cs="Calibri"/>
          <w:bCs/>
        </w:rPr>
        <w:t>would</w:t>
      </w:r>
      <w:r w:rsidRPr="006F2883" w:rsidR="00D41078">
        <w:rPr>
          <w:rFonts w:ascii="Calibri" w:hAnsi="Calibri" w:cs="Calibri"/>
          <w:bCs/>
        </w:rPr>
        <w:t xml:space="preserve"> include new dewatering inspection requirements. </w:t>
      </w:r>
      <w:r w:rsidR="00D51171">
        <w:rPr>
          <w:rFonts w:ascii="Calibri" w:hAnsi="Calibri" w:cs="Calibri"/>
          <w:bCs/>
        </w:rPr>
        <w:t>O</w:t>
      </w:r>
      <w:r w:rsidRPr="006F2883" w:rsidR="00D41078">
        <w:rPr>
          <w:rFonts w:ascii="Calibri" w:hAnsi="Calibri" w:cs="Calibri"/>
          <w:bCs/>
        </w:rPr>
        <w:t xml:space="preserve">perators conducting dewatering activities </w:t>
      </w:r>
      <w:r w:rsidR="004A0806">
        <w:rPr>
          <w:rFonts w:ascii="Calibri" w:hAnsi="Calibri" w:cs="Calibri"/>
          <w:bCs/>
        </w:rPr>
        <w:t xml:space="preserve">in mining sectors </w:t>
      </w:r>
      <w:r w:rsidRPr="006F2883" w:rsidR="00D41078">
        <w:rPr>
          <w:rFonts w:ascii="Calibri" w:hAnsi="Calibri" w:cs="Calibri"/>
          <w:bCs/>
        </w:rPr>
        <w:t xml:space="preserve">must perform a daily inspection of all areas where </w:t>
      </w:r>
      <w:r w:rsidR="007229B4">
        <w:rPr>
          <w:rFonts w:ascii="Calibri" w:hAnsi="Calibri" w:cs="Calibri"/>
          <w:bCs/>
        </w:rPr>
        <w:t xml:space="preserve">they discharge </w:t>
      </w:r>
      <w:r w:rsidRPr="006F2883" w:rsidR="00D41078">
        <w:rPr>
          <w:rFonts w:ascii="Calibri" w:hAnsi="Calibri" w:cs="Calibri"/>
          <w:bCs/>
        </w:rPr>
        <w:t>construction dewatering water, including stormwater controls to treat the dewatering discharge</w:t>
      </w:r>
      <w:r w:rsidR="00AE3028">
        <w:rPr>
          <w:rFonts w:ascii="Calibri" w:hAnsi="Calibri" w:cs="Calibri"/>
          <w:bCs/>
        </w:rPr>
        <w:t>s</w:t>
      </w:r>
      <w:r w:rsidRPr="006F2883" w:rsidR="00D41078">
        <w:rPr>
          <w:rFonts w:ascii="Calibri" w:hAnsi="Calibri" w:cs="Calibri"/>
          <w:bCs/>
        </w:rPr>
        <w:t xml:space="preserve">. EPA estimates that complying with the new dewatering inspection and recordkeeping requirements will take </w:t>
      </w:r>
      <w:r w:rsidR="00282589">
        <w:rPr>
          <w:rFonts w:ascii="Calibri" w:hAnsi="Calibri" w:cs="Calibri"/>
          <w:bCs/>
        </w:rPr>
        <w:t xml:space="preserve">234 </w:t>
      </w:r>
      <w:r w:rsidRPr="006F2883" w:rsidR="00D41078">
        <w:rPr>
          <w:rFonts w:ascii="Calibri" w:hAnsi="Calibri" w:cs="Calibri"/>
          <w:bCs/>
        </w:rPr>
        <w:t xml:space="preserve">respondents approximately 0.25 hours per dewatering event. The </w:t>
      </w:r>
      <w:r w:rsidRPr="006F2883" w:rsidR="001C14B3">
        <w:rPr>
          <w:rFonts w:ascii="Calibri" w:hAnsi="Calibri" w:cs="Calibri"/>
          <w:bCs/>
        </w:rPr>
        <w:t>2026</w:t>
      </w:r>
      <w:r w:rsidRPr="00BE4DE8" w:rsidR="00D41078">
        <w:rPr>
          <w:rFonts w:ascii="Calibri" w:hAnsi="Calibri" w:cs="Calibri"/>
          <w:bCs/>
        </w:rPr>
        <w:t xml:space="preserve"> </w:t>
      </w:r>
      <w:r w:rsidRPr="00BE4DE8" w:rsidR="001C14B3">
        <w:rPr>
          <w:rFonts w:ascii="Calibri" w:hAnsi="Calibri" w:cs="Calibri"/>
          <w:bCs/>
        </w:rPr>
        <w:t>MSG</w:t>
      </w:r>
      <w:r w:rsidRPr="00BE4DE8" w:rsidR="00D41078">
        <w:rPr>
          <w:rFonts w:ascii="Calibri" w:hAnsi="Calibri" w:cs="Calibri"/>
          <w:bCs/>
        </w:rPr>
        <w:t>P also requires respondents to take corrective actions and generate corrective action records if an inspector observes evidence of a sediment plume, sheen, and/or other evidence of pollutants during dewatering inspections. EPA makes the following assumptions</w:t>
      </w:r>
      <w:r w:rsidR="000B0EA9">
        <w:rPr>
          <w:rFonts w:ascii="Calibri" w:hAnsi="Calibri" w:cs="Calibri"/>
          <w:bCs/>
        </w:rPr>
        <w:t xml:space="preserve"> for this ICR</w:t>
      </w:r>
      <w:r w:rsidRPr="00BE4DE8" w:rsidR="00D41078">
        <w:rPr>
          <w:rFonts w:ascii="Calibri" w:hAnsi="Calibri" w:cs="Calibri"/>
          <w:b/>
        </w:rPr>
        <w:t>:</w:t>
      </w:r>
    </w:p>
    <w:p w:rsidR="0092473E" w:rsidRPr="00BE4DE8" w:rsidP="00555945" w14:paraId="6B6BDC4F" w14:textId="5ADD1020">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Pr>
          <w:rFonts w:ascii="Calibri" w:hAnsi="Calibri" w:cs="Calibri"/>
          <w:bCs/>
        </w:rPr>
        <w:t>All</w:t>
      </w:r>
      <w:r w:rsidRPr="0092473E">
        <w:rPr>
          <w:rFonts w:ascii="Calibri" w:hAnsi="Calibri" w:cs="Calibri"/>
          <w:bCs/>
        </w:rPr>
        <w:t xml:space="preserve"> respondent</w:t>
      </w:r>
      <w:r>
        <w:rPr>
          <w:rFonts w:ascii="Calibri" w:hAnsi="Calibri" w:cs="Calibri"/>
          <w:bCs/>
        </w:rPr>
        <w:t>s</w:t>
      </w:r>
      <w:r w:rsidRPr="007E5E04" w:rsidR="007E5E04">
        <w:rPr>
          <w:rFonts w:ascii="Calibri" w:hAnsi="Calibri" w:cs="Calibri"/>
          <w:bCs/>
        </w:rPr>
        <w:t xml:space="preserve"> </w:t>
      </w:r>
      <w:r w:rsidR="007E5E04">
        <w:rPr>
          <w:rFonts w:ascii="Calibri" w:hAnsi="Calibri" w:cs="Calibri"/>
          <w:bCs/>
        </w:rPr>
        <w:t xml:space="preserve">in Sectors G, H, and J </w:t>
      </w:r>
      <w:r w:rsidRPr="0092473E">
        <w:rPr>
          <w:rFonts w:ascii="Calibri" w:hAnsi="Calibri" w:cs="Calibri"/>
          <w:bCs/>
        </w:rPr>
        <w:t>will dewater accumulated stormwater or</w:t>
      </w:r>
      <w:r w:rsidR="00555945">
        <w:rPr>
          <w:rFonts w:ascii="Calibri" w:hAnsi="Calibri" w:cs="Calibri"/>
          <w:bCs/>
        </w:rPr>
        <w:t xml:space="preserve"> </w:t>
      </w:r>
      <w:r w:rsidRPr="00BE4DE8">
        <w:rPr>
          <w:rFonts w:ascii="Calibri" w:hAnsi="Calibri" w:cs="Calibri"/>
          <w:bCs/>
        </w:rPr>
        <w:t>groundwater during their project</w:t>
      </w:r>
      <w:r w:rsidR="00282589">
        <w:rPr>
          <w:rFonts w:ascii="Calibri" w:hAnsi="Calibri" w:cs="Calibri"/>
          <w:bCs/>
        </w:rPr>
        <w:t xml:space="preserve"> (234 </w:t>
      </w:r>
      <w:r w:rsidR="00EC617E">
        <w:rPr>
          <w:rFonts w:ascii="Calibri" w:hAnsi="Calibri" w:cs="Calibri"/>
          <w:bCs/>
        </w:rPr>
        <w:t>respondents).</w:t>
      </w:r>
    </w:p>
    <w:p w:rsidR="0092473E" w:rsidRPr="0092473E" w:rsidP="0092473E" w14:paraId="23EFAF6C" w14:textId="52A5A50E">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92473E">
        <w:rPr>
          <w:rFonts w:ascii="Calibri" w:hAnsi="Calibri" w:cs="Calibri"/>
          <w:bCs/>
        </w:rPr>
        <w:t xml:space="preserve">Each respondent </w:t>
      </w:r>
      <w:r w:rsidR="00735468">
        <w:rPr>
          <w:rFonts w:ascii="Calibri" w:hAnsi="Calibri" w:cs="Calibri"/>
          <w:bCs/>
        </w:rPr>
        <w:t xml:space="preserve">in Sectors G, H, and J </w:t>
      </w:r>
      <w:r w:rsidRPr="0092473E">
        <w:rPr>
          <w:rFonts w:ascii="Calibri" w:hAnsi="Calibri" w:cs="Calibri"/>
          <w:bCs/>
        </w:rPr>
        <w:t>has an average of one dewatering discharge point.</w:t>
      </w:r>
    </w:p>
    <w:p w:rsidR="0092473E" w:rsidRPr="0092473E" w:rsidP="0092473E" w14:paraId="3D298B4A" w14:textId="253E044B">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92473E">
        <w:rPr>
          <w:rFonts w:ascii="Calibri" w:hAnsi="Calibri" w:cs="Calibri"/>
          <w:bCs/>
        </w:rPr>
        <w:t xml:space="preserve">Each respondent </w:t>
      </w:r>
      <w:r w:rsidR="00735468">
        <w:rPr>
          <w:rFonts w:ascii="Calibri" w:hAnsi="Calibri" w:cs="Calibri"/>
          <w:bCs/>
        </w:rPr>
        <w:t xml:space="preserve">in Sectors G, H, and J </w:t>
      </w:r>
      <w:r w:rsidRPr="0092473E">
        <w:rPr>
          <w:rFonts w:ascii="Calibri" w:hAnsi="Calibri" w:cs="Calibri"/>
          <w:bCs/>
        </w:rPr>
        <w:t xml:space="preserve">will have a total of 29 dewatering events per </w:t>
      </w:r>
      <w:r w:rsidRPr="0092473E">
        <w:rPr>
          <w:rFonts w:ascii="Calibri" w:hAnsi="Calibri" w:cs="Calibri"/>
          <w:bCs/>
        </w:rPr>
        <w:t>year.</w:t>
      </w:r>
      <w:r>
        <w:rPr>
          <w:rStyle w:val="FootnoteReference"/>
          <w:rFonts w:ascii="Calibri" w:hAnsi="Calibri" w:cs="Calibri"/>
          <w:bCs/>
        </w:rPr>
        <w:footnoteReference w:id="6"/>
      </w:r>
    </w:p>
    <w:p w:rsidR="00617835" w:rsidP="00617835" w14:paraId="7F4187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alibri" w:hAnsi="Calibri" w:cs="Calibri"/>
          <w:bCs/>
        </w:rPr>
      </w:pPr>
    </w:p>
    <w:p w:rsidR="0092473E" w:rsidRPr="003852EA" w:rsidP="00274D3A" w14:paraId="6EE57BF7" w14:textId="01C9B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alibri" w:hAnsi="Calibri" w:cs="Calibri"/>
          <w:bCs/>
        </w:rPr>
      </w:pPr>
      <w:r>
        <w:rPr>
          <w:rFonts w:ascii="Calibri" w:hAnsi="Calibri" w:cs="Calibri"/>
          <w:bCs/>
        </w:rPr>
        <w:t>EPA included t</w:t>
      </w:r>
      <w:r w:rsidRPr="003852EA">
        <w:rPr>
          <w:rFonts w:ascii="Calibri" w:hAnsi="Calibri" w:cs="Calibri"/>
          <w:bCs/>
        </w:rPr>
        <w:t>he time to document corrective actions in the overall burden estimate for</w:t>
      </w:r>
      <w:r w:rsidRPr="003852EA" w:rsidR="00555945">
        <w:rPr>
          <w:rFonts w:ascii="Calibri" w:hAnsi="Calibri" w:cs="Calibri"/>
          <w:bCs/>
        </w:rPr>
        <w:t xml:space="preserve"> </w:t>
      </w:r>
      <w:r w:rsidRPr="003852EA">
        <w:rPr>
          <w:rFonts w:ascii="Calibri" w:hAnsi="Calibri" w:cs="Calibri"/>
          <w:bCs/>
        </w:rPr>
        <w:t>this activity.</w:t>
      </w:r>
    </w:p>
    <w:p w:rsidR="00617835" w:rsidRPr="00D158D3" w:rsidP="00AE0083" w14:paraId="5D65995C"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Calibri" w:hAnsi="Calibri" w:cs="Calibri"/>
          <w:bCs/>
        </w:rPr>
      </w:pPr>
    </w:p>
    <w:p w:rsidR="001179DC" w:rsidRPr="00F658A3" w:rsidP="00F658A3" w14:paraId="130E330C" w14:textId="6119E53D">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
        </w:rPr>
      </w:pPr>
      <w:r w:rsidRPr="00DA0A7A">
        <w:rPr>
          <w:rFonts w:ascii="Calibri" w:hAnsi="Calibri" w:cs="Calibri"/>
          <w:b/>
        </w:rPr>
        <w:t>Dewatering T</w:t>
      </w:r>
      <w:r w:rsidRPr="00DA0A7A" w:rsidR="008157CD">
        <w:rPr>
          <w:rFonts w:ascii="Calibri" w:hAnsi="Calibri" w:cs="Calibri"/>
          <w:b/>
        </w:rPr>
        <w:t>urbidity</w:t>
      </w:r>
      <w:r w:rsidRPr="00F658A3">
        <w:rPr>
          <w:rFonts w:ascii="Calibri" w:hAnsi="Calibri" w:cs="Calibri"/>
          <w:b/>
        </w:rPr>
        <w:t xml:space="preserve"> Benchmark Monitoring</w:t>
      </w:r>
      <w:r w:rsidR="00052612">
        <w:rPr>
          <w:rFonts w:ascii="Calibri" w:hAnsi="Calibri" w:cs="Calibri"/>
          <w:b/>
        </w:rPr>
        <w:t xml:space="preserve"> -</w:t>
      </w:r>
      <w:r w:rsidRPr="00F658A3">
        <w:rPr>
          <w:rFonts w:ascii="Calibri" w:hAnsi="Calibri" w:cs="Calibri"/>
          <w:b/>
        </w:rPr>
        <w:t xml:space="preserve"> S</w:t>
      </w:r>
      <w:r w:rsidRPr="00F658A3" w:rsidR="00D5056B">
        <w:rPr>
          <w:rFonts w:ascii="Calibri" w:hAnsi="Calibri" w:cs="Calibri"/>
          <w:b/>
        </w:rPr>
        <w:t xml:space="preserve">ample </w:t>
      </w:r>
      <w:r w:rsidRPr="00DA0A7A" w:rsidR="00D5056B">
        <w:rPr>
          <w:rFonts w:ascii="Calibri" w:hAnsi="Calibri" w:cs="Calibri"/>
          <w:b/>
        </w:rPr>
        <w:t>Collection</w:t>
      </w:r>
      <w:r w:rsidRPr="00F658A3" w:rsidR="00D5056B">
        <w:rPr>
          <w:rFonts w:ascii="Calibri" w:hAnsi="Calibri" w:cs="Calibri"/>
          <w:b/>
        </w:rPr>
        <w:t xml:space="preserve">, Reporting, and Corrective Actions: </w:t>
      </w:r>
      <w:r w:rsidRPr="00F658A3" w:rsidR="00D5056B">
        <w:rPr>
          <w:rFonts w:ascii="Calibri" w:hAnsi="Calibri" w:cs="Calibri"/>
          <w:bCs/>
        </w:rPr>
        <w:t xml:space="preserve">The </w:t>
      </w:r>
      <w:r w:rsidR="007E6E7E">
        <w:rPr>
          <w:rFonts w:ascii="Calibri" w:hAnsi="Calibri" w:cs="Calibri"/>
          <w:bCs/>
        </w:rPr>
        <w:t xml:space="preserve">proposed </w:t>
      </w:r>
      <w:r w:rsidRPr="00F658A3" w:rsidR="00D5056B">
        <w:rPr>
          <w:rFonts w:ascii="Calibri" w:hAnsi="Calibri" w:cs="Calibri"/>
          <w:bCs/>
        </w:rPr>
        <w:t xml:space="preserve">2026 MSGP </w:t>
      </w:r>
      <w:r w:rsidR="007E6E7E">
        <w:rPr>
          <w:rFonts w:ascii="Calibri" w:hAnsi="Calibri" w:cs="Calibri"/>
          <w:bCs/>
        </w:rPr>
        <w:t>would add</w:t>
      </w:r>
      <w:r w:rsidRPr="00F658A3" w:rsidR="00D5056B">
        <w:rPr>
          <w:rFonts w:ascii="Calibri" w:hAnsi="Calibri" w:cs="Calibri"/>
          <w:bCs/>
        </w:rPr>
        <w:t xml:space="preserve"> a new turbidity benchmark monitoring requirement with associated reporting and corrective action requirements, only applicable to respondents </w:t>
      </w:r>
      <w:r w:rsidR="00FC2BEA">
        <w:rPr>
          <w:rFonts w:ascii="Calibri" w:hAnsi="Calibri" w:cs="Calibri"/>
          <w:bCs/>
        </w:rPr>
        <w:t xml:space="preserve">in Sectors G, H, and J </w:t>
      </w:r>
      <w:r w:rsidR="00966DE0">
        <w:rPr>
          <w:rFonts w:ascii="Calibri" w:hAnsi="Calibri" w:cs="Calibri"/>
          <w:bCs/>
        </w:rPr>
        <w:t xml:space="preserve">who </w:t>
      </w:r>
      <w:r w:rsidRPr="00F658A3" w:rsidR="00D5056B">
        <w:rPr>
          <w:rFonts w:ascii="Calibri" w:hAnsi="Calibri" w:cs="Calibri"/>
          <w:bCs/>
        </w:rPr>
        <w:t>discharg</w:t>
      </w:r>
      <w:r w:rsidR="00966DE0">
        <w:rPr>
          <w:rFonts w:ascii="Calibri" w:hAnsi="Calibri" w:cs="Calibri"/>
          <w:bCs/>
        </w:rPr>
        <w:t>e</w:t>
      </w:r>
      <w:r w:rsidRPr="00F658A3" w:rsidR="00D5056B">
        <w:rPr>
          <w:rFonts w:ascii="Calibri" w:hAnsi="Calibri" w:cs="Calibri"/>
          <w:bCs/>
        </w:rPr>
        <w:t xml:space="preserve"> dewatering water to sensitive waters. </w:t>
      </w:r>
      <w:r w:rsidR="00A215D2">
        <w:rPr>
          <w:rFonts w:ascii="Calibri" w:hAnsi="Calibri" w:cs="Calibri"/>
          <w:bCs/>
        </w:rPr>
        <w:t xml:space="preserve">EPA reviewed </w:t>
      </w:r>
      <w:r w:rsidRPr="00F658A3" w:rsidR="00AE74D4">
        <w:rPr>
          <w:rFonts w:ascii="Calibri" w:hAnsi="Calibri" w:cs="Calibri"/>
          <w:bCs/>
        </w:rPr>
        <w:t>2026</w:t>
      </w:r>
      <w:r w:rsidRPr="00F658A3" w:rsidR="00D5056B">
        <w:rPr>
          <w:rFonts w:ascii="Calibri" w:hAnsi="Calibri" w:cs="Calibri"/>
          <w:bCs/>
        </w:rPr>
        <w:t xml:space="preserve"> </w:t>
      </w:r>
      <w:r w:rsidRPr="00F658A3" w:rsidR="00AE74D4">
        <w:rPr>
          <w:rFonts w:ascii="Calibri" w:hAnsi="Calibri" w:cs="Calibri"/>
          <w:bCs/>
        </w:rPr>
        <w:t>MSGP</w:t>
      </w:r>
      <w:r w:rsidRPr="00F658A3" w:rsidR="00D5056B">
        <w:rPr>
          <w:rFonts w:ascii="Calibri" w:hAnsi="Calibri" w:cs="Calibri"/>
          <w:bCs/>
        </w:rPr>
        <w:t xml:space="preserve"> NOI data from </w:t>
      </w:r>
      <w:r w:rsidRPr="00F658A3" w:rsidR="002D22D2">
        <w:rPr>
          <w:rFonts w:ascii="Calibri" w:hAnsi="Calibri" w:cs="Calibri"/>
          <w:bCs/>
        </w:rPr>
        <w:t>2021</w:t>
      </w:r>
      <w:r w:rsidRPr="00F658A3" w:rsidR="00D5056B">
        <w:rPr>
          <w:rFonts w:ascii="Calibri" w:hAnsi="Calibri" w:cs="Calibri"/>
          <w:bCs/>
        </w:rPr>
        <w:t xml:space="preserve"> through </w:t>
      </w:r>
      <w:r w:rsidRPr="00F658A3" w:rsidR="002D22D2">
        <w:rPr>
          <w:rFonts w:ascii="Calibri" w:hAnsi="Calibri" w:cs="Calibri"/>
          <w:bCs/>
        </w:rPr>
        <w:t>202</w:t>
      </w:r>
      <w:r w:rsidRPr="00F658A3" w:rsidR="00B6143F">
        <w:rPr>
          <w:rFonts w:ascii="Calibri" w:hAnsi="Calibri" w:cs="Calibri"/>
          <w:bCs/>
        </w:rPr>
        <w:t>4</w:t>
      </w:r>
      <w:r w:rsidR="00A215D2">
        <w:rPr>
          <w:rFonts w:ascii="Calibri" w:hAnsi="Calibri" w:cs="Calibri"/>
          <w:bCs/>
        </w:rPr>
        <w:t xml:space="preserve"> and found that </w:t>
      </w:r>
      <w:r w:rsidR="004868F5">
        <w:rPr>
          <w:rFonts w:ascii="Calibri" w:hAnsi="Calibri" w:cs="Calibri"/>
          <w:bCs/>
        </w:rPr>
        <w:t>23</w:t>
      </w:r>
      <w:r w:rsidR="003852EA">
        <w:rPr>
          <w:rFonts w:ascii="Calibri" w:hAnsi="Calibri" w:cs="Calibri"/>
          <w:bCs/>
        </w:rPr>
        <w:t xml:space="preserve"> </w:t>
      </w:r>
      <w:r w:rsidR="00D13055">
        <w:rPr>
          <w:rFonts w:ascii="Calibri" w:hAnsi="Calibri" w:cs="Calibri"/>
          <w:bCs/>
        </w:rPr>
        <w:t>entities</w:t>
      </w:r>
      <w:r w:rsidR="00EE50CC">
        <w:rPr>
          <w:rFonts w:ascii="Calibri" w:hAnsi="Calibri" w:cs="Calibri"/>
          <w:bCs/>
        </w:rPr>
        <w:t xml:space="preserve"> in Sectors G, H, and J</w:t>
      </w:r>
      <w:r w:rsidR="00D13055">
        <w:rPr>
          <w:rFonts w:ascii="Calibri" w:hAnsi="Calibri" w:cs="Calibri"/>
          <w:bCs/>
        </w:rPr>
        <w:t xml:space="preserve"> discharge to sensitive waters. Therefore, </w:t>
      </w:r>
      <w:r w:rsidRPr="00F658A3" w:rsidR="00D5056B">
        <w:rPr>
          <w:rFonts w:ascii="Calibri" w:hAnsi="Calibri" w:cs="Calibri"/>
          <w:bCs/>
        </w:rPr>
        <w:t xml:space="preserve">EPA estimates that </w:t>
      </w:r>
      <w:r w:rsidR="00C73DE9">
        <w:rPr>
          <w:rFonts w:ascii="Calibri" w:hAnsi="Calibri" w:cs="Calibri"/>
          <w:bCs/>
        </w:rPr>
        <w:t>23</w:t>
      </w:r>
      <w:r w:rsidRPr="00F658A3" w:rsidR="00D5056B">
        <w:rPr>
          <w:rFonts w:ascii="Calibri" w:hAnsi="Calibri" w:cs="Calibri"/>
          <w:bCs/>
        </w:rPr>
        <w:t xml:space="preserve"> respondents</w:t>
      </w:r>
      <w:r w:rsidR="006115A6">
        <w:rPr>
          <w:rFonts w:ascii="Calibri" w:hAnsi="Calibri" w:cs="Calibri"/>
          <w:bCs/>
        </w:rPr>
        <w:t xml:space="preserve"> </w:t>
      </w:r>
      <w:r w:rsidRPr="00F658A3" w:rsidR="00D5056B">
        <w:rPr>
          <w:rFonts w:ascii="Calibri" w:hAnsi="Calibri" w:cs="Calibri"/>
          <w:bCs/>
        </w:rPr>
        <w:t>will be required to comply with turbidity benchmark monitoring.</w:t>
      </w:r>
    </w:p>
    <w:p w:rsidR="00332244" w:rsidP="00D50C95" w14:paraId="3D979F5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p>
    <w:p w:rsidR="00ED4425" w:rsidP="00D50C95" w14:paraId="781F24B3" w14:textId="3A5A209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Pr>
          <w:rFonts w:ascii="Calibri" w:hAnsi="Calibri" w:cs="Calibri"/>
          <w:bCs/>
        </w:rPr>
        <w:t xml:space="preserve">These respondents </w:t>
      </w:r>
      <w:r w:rsidR="004C1766">
        <w:rPr>
          <w:rFonts w:ascii="Calibri" w:hAnsi="Calibri" w:cs="Calibri"/>
          <w:bCs/>
        </w:rPr>
        <w:t>would be</w:t>
      </w:r>
      <w:r w:rsidRPr="00F658A3" w:rsidR="004C1766">
        <w:rPr>
          <w:rFonts w:ascii="Calibri" w:hAnsi="Calibri" w:cs="Calibri"/>
          <w:bCs/>
        </w:rPr>
        <w:t xml:space="preserve"> </w:t>
      </w:r>
      <w:r w:rsidRPr="00F658A3" w:rsidR="001921E8">
        <w:rPr>
          <w:rFonts w:ascii="Calibri" w:hAnsi="Calibri" w:cs="Calibri"/>
          <w:bCs/>
        </w:rPr>
        <w:t>required to conduct turbidity monitoring from the dewatering</w:t>
      </w:r>
      <w:r w:rsidR="001179DC">
        <w:rPr>
          <w:rFonts w:ascii="Calibri" w:hAnsi="Calibri" w:cs="Calibri"/>
          <w:bCs/>
        </w:rPr>
        <w:t xml:space="preserve"> </w:t>
      </w:r>
      <w:r w:rsidRPr="00DA0A7A" w:rsidR="001921E8">
        <w:rPr>
          <w:rFonts w:ascii="Calibri" w:hAnsi="Calibri" w:cs="Calibri"/>
          <w:bCs/>
        </w:rPr>
        <w:t xml:space="preserve">discharge point. </w:t>
      </w:r>
      <w:r w:rsidR="008F6EF8">
        <w:rPr>
          <w:rFonts w:ascii="Calibri" w:hAnsi="Calibri" w:cs="Calibri"/>
          <w:bCs/>
        </w:rPr>
        <w:t xml:space="preserve">On each day </w:t>
      </w:r>
      <w:r w:rsidR="00082347">
        <w:rPr>
          <w:rFonts w:ascii="Calibri" w:hAnsi="Calibri" w:cs="Calibri"/>
          <w:bCs/>
        </w:rPr>
        <w:t xml:space="preserve">when </w:t>
      </w:r>
      <w:r w:rsidR="008F6EF8">
        <w:rPr>
          <w:rFonts w:ascii="Calibri" w:hAnsi="Calibri" w:cs="Calibri"/>
          <w:bCs/>
        </w:rPr>
        <w:t xml:space="preserve">there is dewatering water discharged, </w:t>
      </w:r>
      <w:r w:rsidRPr="00DA0A7A" w:rsidR="001921E8">
        <w:rPr>
          <w:rFonts w:ascii="Calibri" w:hAnsi="Calibri" w:cs="Calibri"/>
          <w:bCs/>
        </w:rPr>
        <w:t xml:space="preserve">EPA requires </w:t>
      </w:r>
      <w:r>
        <w:rPr>
          <w:rFonts w:ascii="Calibri" w:hAnsi="Calibri" w:cs="Calibri"/>
          <w:bCs/>
        </w:rPr>
        <w:t>these</w:t>
      </w:r>
      <w:r w:rsidRPr="00DA0A7A" w:rsidR="001921E8">
        <w:rPr>
          <w:rFonts w:ascii="Calibri" w:hAnsi="Calibri" w:cs="Calibri"/>
          <w:bCs/>
        </w:rPr>
        <w:t xml:space="preserve"> respondents to collect and analyze at least one turbidity sample from the </w:t>
      </w:r>
      <w:r w:rsidR="005C57BA">
        <w:rPr>
          <w:rFonts w:ascii="Calibri" w:hAnsi="Calibri" w:cs="Calibri"/>
          <w:bCs/>
        </w:rPr>
        <w:t xml:space="preserve">dewatering water </w:t>
      </w:r>
      <w:r w:rsidRPr="00DA0A7A" w:rsidR="001921E8">
        <w:rPr>
          <w:rFonts w:ascii="Calibri" w:hAnsi="Calibri" w:cs="Calibri"/>
          <w:bCs/>
        </w:rPr>
        <w:t xml:space="preserve">discharge and report the weekly average value on a quarterly turbidity monitoring report. </w:t>
      </w:r>
    </w:p>
    <w:p w:rsidR="00ED4425" w:rsidP="00D50C95" w14:paraId="11AED7B2" w14:textId="47E8D6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sidRPr="00BE4DE8">
        <w:rPr>
          <w:rFonts w:ascii="Calibri" w:hAnsi="Calibri" w:cs="Calibri"/>
          <w:bCs/>
        </w:rPr>
        <w:t>EPA makes the following assumptions</w:t>
      </w:r>
      <w:r>
        <w:rPr>
          <w:rFonts w:ascii="Calibri" w:hAnsi="Calibri" w:cs="Calibri"/>
          <w:bCs/>
        </w:rPr>
        <w:t xml:space="preserve"> for this ICR:</w:t>
      </w:r>
    </w:p>
    <w:p w:rsidR="00ED4425" w:rsidP="00ED4425" w14:paraId="18F21A89" w14:textId="016D104E">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Pr>
          <w:rFonts w:ascii="Calibri" w:hAnsi="Calibri" w:cs="Calibri"/>
          <w:bCs/>
        </w:rPr>
        <w:t>A</w:t>
      </w:r>
      <w:r w:rsidRPr="00DA0A7A" w:rsidR="001921E8">
        <w:rPr>
          <w:rFonts w:ascii="Calibri" w:hAnsi="Calibri" w:cs="Calibri"/>
          <w:bCs/>
        </w:rPr>
        <w:t xml:space="preserve">ll respondents </w:t>
      </w:r>
      <w:r>
        <w:rPr>
          <w:rFonts w:ascii="Calibri" w:hAnsi="Calibri" w:cs="Calibri"/>
          <w:bCs/>
        </w:rPr>
        <w:t xml:space="preserve">in Sectors G, H, and J </w:t>
      </w:r>
      <w:r w:rsidRPr="00DA0A7A" w:rsidR="001921E8">
        <w:rPr>
          <w:rFonts w:ascii="Calibri" w:hAnsi="Calibri" w:cs="Calibri"/>
          <w:bCs/>
        </w:rPr>
        <w:t>will dewater accumulated stormwater or groundwater during their project</w:t>
      </w:r>
      <w:r w:rsidR="007E2FF3">
        <w:rPr>
          <w:rFonts w:ascii="Calibri" w:hAnsi="Calibri" w:cs="Calibri"/>
          <w:bCs/>
        </w:rPr>
        <w:t>.</w:t>
      </w:r>
      <w:r w:rsidRPr="00DA0A7A" w:rsidR="001921E8">
        <w:rPr>
          <w:rFonts w:ascii="Calibri" w:hAnsi="Calibri" w:cs="Calibri"/>
          <w:bCs/>
        </w:rPr>
        <w:t xml:space="preserve"> </w:t>
      </w:r>
    </w:p>
    <w:p w:rsidR="007E2FF3" w:rsidP="00ED4425" w14:paraId="522077B3" w14:textId="0D645AB5">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Pr>
          <w:rFonts w:ascii="Calibri" w:hAnsi="Calibri" w:cs="Calibri"/>
          <w:bCs/>
        </w:rPr>
        <w:t>E</w:t>
      </w:r>
      <w:r w:rsidRPr="00DA0A7A" w:rsidR="001921E8">
        <w:rPr>
          <w:rFonts w:ascii="Calibri" w:hAnsi="Calibri" w:cs="Calibri"/>
          <w:bCs/>
        </w:rPr>
        <w:t xml:space="preserve">ach respondent </w:t>
      </w:r>
      <w:r>
        <w:rPr>
          <w:rFonts w:ascii="Calibri" w:hAnsi="Calibri" w:cs="Calibri"/>
          <w:bCs/>
        </w:rPr>
        <w:t xml:space="preserve">in Sectors G, H, and J </w:t>
      </w:r>
      <w:r w:rsidRPr="00DA0A7A" w:rsidR="001921E8">
        <w:rPr>
          <w:rFonts w:ascii="Calibri" w:hAnsi="Calibri" w:cs="Calibri"/>
          <w:bCs/>
        </w:rPr>
        <w:t>has an average of one dewatering discharge point</w:t>
      </w:r>
      <w:r>
        <w:rPr>
          <w:rFonts w:ascii="Calibri" w:hAnsi="Calibri" w:cs="Calibri"/>
          <w:bCs/>
        </w:rPr>
        <w:t>.</w:t>
      </w:r>
      <w:r w:rsidRPr="00DA0A7A" w:rsidR="001921E8">
        <w:rPr>
          <w:rFonts w:ascii="Calibri" w:hAnsi="Calibri" w:cs="Calibri"/>
          <w:bCs/>
        </w:rPr>
        <w:t xml:space="preserve"> </w:t>
      </w:r>
    </w:p>
    <w:p w:rsidR="007E2FF3" w:rsidP="00ED4425" w14:paraId="28677448" w14:textId="04A60769">
      <w:pPr>
        <w:pStyle w:val="ListParagraph"/>
        <w:numPr>
          <w:ilvl w:val="1"/>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Pr>
          <w:rFonts w:ascii="Calibri" w:hAnsi="Calibri" w:cs="Calibri"/>
          <w:bCs/>
        </w:rPr>
        <w:t>E</w:t>
      </w:r>
      <w:r w:rsidRPr="00DA0A7A" w:rsidR="001921E8">
        <w:rPr>
          <w:rFonts w:ascii="Calibri" w:hAnsi="Calibri" w:cs="Calibri"/>
          <w:bCs/>
        </w:rPr>
        <w:t xml:space="preserve">ach respondent </w:t>
      </w:r>
      <w:r w:rsidR="00617835">
        <w:rPr>
          <w:rFonts w:ascii="Calibri" w:hAnsi="Calibri" w:cs="Calibri"/>
          <w:bCs/>
        </w:rPr>
        <w:t xml:space="preserve">has </w:t>
      </w:r>
      <w:r w:rsidRPr="00DA0A7A" w:rsidR="001921E8">
        <w:rPr>
          <w:rFonts w:ascii="Calibri" w:hAnsi="Calibri" w:cs="Calibri"/>
          <w:bCs/>
        </w:rPr>
        <w:t xml:space="preserve">a total of 29 dewatering events per year. </w:t>
      </w:r>
    </w:p>
    <w:p w:rsidR="004E5995" w:rsidRPr="00E74A53" w:rsidP="00E74A53" w14:paraId="792794A1" w14:textId="35584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ind w:left="720"/>
        <w:rPr>
          <w:rFonts w:ascii="Calibri" w:hAnsi="Calibri" w:cs="Calibri"/>
          <w:bCs/>
        </w:rPr>
      </w:pPr>
      <w:r w:rsidRPr="00E74A53">
        <w:rPr>
          <w:rFonts w:ascii="Calibri" w:hAnsi="Calibri" w:cs="Calibri"/>
          <w:bCs/>
        </w:rPr>
        <w:t xml:space="preserve">These assumptions are consistent with those described above for dewatering inspections. </w:t>
      </w:r>
    </w:p>
    <w:p w:rsidR="001921E8" w:rsidP="00D50C95" w14:paraId="170E87EA" w14:textId="7BCD0D6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sidRPr="004E5995">
        <w:rPr>
          <w:rFonts w:ascii="Calibri" w:hAnsi="Calibri" w:cs="Calibri"/>
          <w:bCs/>
        </w:rPr>
        <w:t xml:space="preserve">Based on EPA’s experience administering other stormwater permits with sampling requirements, EPA estimates respondents will need 0.5 hours per sampling event to conduct sampling, including required calibration checks. EPA also estimates that respondents will need </w:t>
      </w:r>
      <w:r w:rsidRPr="004E5995">
        <w:rPr>
          <w:rFonts w:ascii="Calibri" w:hAnsi="Calibri" w:cs="Calibri"/>
          <w:bCs/>
        </w:rPr>
        <w:t>0.75 hours to complete and submit each quarterly turbidity monitoring report.</w:t>
      </w:r>
      <w:r w:rsidR="00A55B22">
        <w:rPr>
          <w:rFonts w:ascii="Calibri" w:hAnsi="Calibri" w:cs="Calibri"/>
          <w:bCs/>
        </w:rPr>
        <w:t xml:space="preserve"> </w:t>
      </w:r>
      <w:r w:rsidRPr="009012A8" w:rsidR="00587649">
        <w:rPr>
          <w:rFonts w:ascii="Calibri" w:hAnsi="Calibri" w:cs="Calibri"/>
          <w:bCs/>
        </w:rPr>
        <w:t>The turbidity monitoring report has 13 data elements</w:t>
      </w:r>
      <w:r w:rsidR="009C1811">
        <w:rPr>
          <w:rFonts w:ascii="Calibri" w:hAnsi="Calibri" w:cs="Calibri"/>
          <w:bCs/>
        </w:rPr>
        <w:t xml:space="preserve"> and EPA assumes it takes 3.6 minutes to fill each data element</w:t>
      </w:r>
      <w:r w:rsidR="00587649">
        <w:rPr>
          <w:rFonts w:ascii="Calibri" w:hAnsi="Calibri" w:cs="Calibri"/>
          <w:bCs/>
        </w:rPr>
        <w:t xml:space="preserve">. </w:t>
      </w:r>
      <w:r w:rsidR="00F036B5">
        <w:rPr>
          <w:rFonts w:ascii="Calibri" w:hAnsi="Calibri" w:cs="Calibri"/>
          <w:bCs/>
        </w:rPr>
        <w:t xml:space="preserve">Each </w:t>
      </w:r>
      <w:r w:rsidRPr="009012A8" w:rsidR="009012A8">
        <w:rPr>
          <w:rFonts w:ascii="Calibri" w:hAnsi="Calibri" w:cs="Calibri"/>
          <w:bCs/>
        </w:rPr>
        <w:t xml:space="preserve">respondent </w:t>
      </w:r>
      <w:r w:rsidR="00F036B5">
        <w:rPr>
          <w:rFonts w:ascii="Calibri" w:hAnsi="Calibri" w:cs="Calibri"/>
          <w:bCs/>
        </w:rPr>
        <w:t xml:space="preserve">is </w:t>
      </w:r>
      <w:r w:rsidRPr="009012A8" w:rsidR="009012A8">
        <w:rPr>
          <w:rFonts w:ascii="Calibri" w:hAnsi="Calibri" w:cs="Calibri"/>
          <w:bCs/>
        </w:rPr>
        <w:t xml:space="preserve">required to fill out </w:t>
      </w:r>
      <w:r w:rsidR="00F036B5">
        <w:rPr>
          <w:rFonts w:ascii="Calibri" w:hAnsi="Calibri" w:cs="Calibri"/>
          <w:bCs/>
        </w:rPr>
        <w:t xml:space="preserve">all </w:t>
      </w:r>
      <w:r w:rsidRPr="009012A8" w:rsidR="009012A8">
        <w:rPr>
          <w:rFonts w:ascii="Calibri" w:hAnsi="Calibri" w:cs="Calibri"/>
          <w:bCs/>
        </w:rPr>
        <w:t xml:space="preserve">13 data elements </w:t>
      </w:r>
      <w:r w:rsidR="00F036B5">
        <w:rPr>
          <w:rFonts w:ascii="Calibri" w:hAnsi="Calibri" w:cs="Calibri"/>
          <w:bCs/>
        </w:rPr>
        <w:t xml:space="preserve">for each report </w:t>
      </w:r>
      <w:r w:rsidRPr="009012A8" w:rsidR="009012A8">
        <w:rPr>
          <w:rFonts w:ascii="Calibri" w:hAnsi="Calibri" w:cs="Calibri"/>
          <w:bCs/>
        </w:rPr>
        <w:t>(i.e., for each quarter</w:t>
      </w:r>
      <w:r w:rsidR="00F036B5">
        <w:rPr>
          <w:rFonts w:ascii="Calibri" w:hAnsi="Calibri" w:cs="Calibri"/>
          <w:bCs/>
        </w:rPr>
        <w:t>ly report</w:t>
      </w:r>
      <w:r w:rsidRPr="009012A8" w:rsidR="009012A8">
        <w:rPr>
          <w:rFonts w:ascii="Calibri" w:hAnsi="Calibri" w:cs="Calibri"/>
          <w:bCs/>
        </w:rPr>
        <w:t xml:space="preserve">, there are </w:t>
      </w:r>
      <w:r w:rsidR="009C1811">
        <w:rPr>
          <w:rFonts w:ascii="Calibri" w:hAnsi="Calibri" w:cs="Calibri"/>
          <w:bCs/>
        </w:rPr>
        <w:t xml:space="preserve">up to </w:t>
      </w:r>
      <w:r w:rsidRPr="009012A8" w:rsidR="009012A8">
        <w:rPr>
          <w:rFonts w:ascii="Calibri" w:hAnsi="Calibri" w:cs="Calibri"/>
          <w:bCs/>
        </w:rPr>
        <w:t>13 separate turbidity values that must be reported for each week). Respondents either input the weekly average turbidity value or indicate that no dewatering activities occurred.</w:t>
      </w:r>
    </w:p>
    <w:p w:rsidR="00617835" w:rsidP="00E01DFD" w14:paraId="0660E41C"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p>
    <w:p w:rsidR="00E916C1" w:rsidRPr="00E01DFD" w:rsidP="00E01DFD" w14:paraId="16DA4F88" w14:textId="4B1114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auto"/>
        <w:rPr>
          <w:rFonts w:ascii="Calibri" w:hAnsi="Calibri" w:cs="Calibri"/>
          <w:bCs/>
        </w:rPr>
      </w:pPr>
      <w:r w:rsidRPr="009012A8">
        <w:rPr>
          <w:rFonts w:ascii="Calibri" w:hAnsi="Calibri" w:cs="Calibri"/>
          <w:bCs/>
        </w:rPr>
        <w:t xml:space="preserve">If the </w:t>
      </w:r>
      <w:r w:rsidRPr="009012A8">
        <w:rPr>
          <w:rFonts w:ascii="Calibri" w:hAnsi="Calibri" w:cs="Calibri"/>
          <w:bCs/>
        </w:rPr>
        <w:t>weekly average of a respondent’s turbidity monitoring results exceeds the 50 NTU benchmark, or alternate benchmark approved by EPA, the respondent must take corrective action. The time to document corrective actions is included in the overall burden estimate for this activity.</w:t>
      </w:r>
    </w:p>
    <w:p w:rsidR="008A0178" w:rsidRPr="008A0178" w:rsidP="008A0178" w14:paraId="0146F1FC" w14:textId="21D00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8A0178">
        <w:rPr>
          <w:rFonts w:cstheme="minorHAnsi"/>
        </w:rPr>
        <w:t xml:space="preserve">With burden hour estimates included in </w:t>
      </w:r>
      <w:r>
        <w:rPr>
          <w:rFonts w:cstheme="minorHAnsi"/>
        </w:rPr>
        <w:t>this section,</w:t>
      </w:r>
      <w:r w:rsidRPr="008A0178">
        <w:rPr>
          <w:rFonts w:cstheme="minorHAnsi"/>
        </w:rPr>
        <w:t xml:space="preserve"> the next step is to estimate the labor cost per respondent and the capital costs required to complete each activity that would be required under the </w:t>
      </w:r>
      <w:r w:rsidR="000E1525">
        <w:rPr>
          <w:rFonts w:cstheme="minorHAnsi"/>
        </w:rPr>
        <w:t xml:space="preserve">proposed </w:t>
      </w:r>
      <w:r w:rsidRPr="008A0178">
        <w:rPr>
          <w:rFonts w:cstheme="minorHAnsi"/>
        </w:rPr>
        <w:t xml:space="preserve">2026 MSGP. The total cost for each respondent activity is composed of the following: </w:t>
      </w:r>
    </w:p>
    <w:p w:rsidR="008A0178" w:rsidRPr="008A0178" w:rsidP="008A0178" w14:paraId="19BE0620" w14:textId="0E900A1C">
      <w:pPr>
        <w:pStyle w:val="ListParagraph"/>
        <w:numPr>
          <w:ilvl w:val="0"/>
          <w:numId w:val="39"/>
        </w:numPr>
        <w:spacing w:before="60"/>
        <w:rPr>
          <w:rFonts w:cstheme="minorHAnsi"/>
        </w:rPr>
      </w:pPr>
      <w:r w:rsidRPr="008A0178">
        <w:rPr>
          <w:rFonts w:cstheme="minorHAnsi"/>
        </w:rPr>
        <w:t xml:space="preserve">Labor cost;  </w:t>
      </w:r>
    </w:p>
    <w:p w:rsidR="008A0178" w:rsidRPr="008A0178" w:rsidP="008A0178" w14:paraId="29FDA83C" w14:textId="3074CD7D">
      <w:pPr>
        <w:pStyle w:val="ListParagraph"/>
        <w:numPr>
          <w:ilvl w:val="0"/>
          <w:numId w:val="39"/>
        </w:numPr>
        <w:spacing w:before="60"/>
        <w:rPr>
          <w:rFonts w:cstheme="minorHAnsi"/>
        </w:rPr>
      </w:pPr>
      <w:r w:rsidRPr="008A0178">
        <w:rPr>
          <w:rFonts w:cstheme="minorHAnsi"/>
        </w:rPr>
        <w:t xml:space="preserve">Operating and maintenance (O&amp;M) cost; and </w:t>
      </w:r>
    </w:p>
    <w:p w:rsidR="008A0178" w:rsidP="008A0178" w14:paraId="27DCE9FF" w14:textId="055083A8">
      <w:pPr>
        <w:pStyle w:val="ListParagraph"/>
        <w:numPr>
          <w:ilvl w:val="0"/>
          <w:numId w:val="39"/>
        </w:numPr>
        <w:spacing w:before="60"/>
        <w:rPr>
          <w:rFonts w:cstheme="minorHAnsi"/>
        </w:rPr>
      </w:pPr>
      <w:r w:rsidRPr="008A0178">
        <w:rPr>
          <w:rFonts w:cstheme="minorHAnsi"/>
        </w:rPr>
        <w:t>Capital/start-up cost.</w:t>
      </w:r>
    </w:p>
    <w:p w:rsidR="008A0178" w:rsidRPr="008A0178" w:rsidP="008A0178" w14:paraId="72A8B588" w14:textId="47133B22">
      <w:pPr>
        <w:spacing w:before="60"/>
        <w:rPr>
          <w:rFonts w:cstheme="minorHAnsi"/>
        </w:rPr>
      </w:pPr>
      <w:r w:rsidRPr="008A0178">
        <w:rPr>
          <w:rFonts w:cstheme="minorHAnsi"/>
        </w:rPr>
        <w:t>When calculating respondent labor costs, EPA assumes the average loaded hourly rate in the private sector is $</w:t>
      </w:r>
      <w:r w:rsidR="006B6595">
        <w:rPr>
          <w:rFonts w:cstheme="minorHAnsi"/>
        </w:rPr>
        <w:t>43.94</w:t>
      </w:r>
      <w:r w:rsidRPr="008A0178">
        <w:rPr>
          <w:rFonts w:cstheme="minorHAnsi"/>
        </w:rPr>
        <w:t xml:space="preserve"> (source: </w:t>
      </w:r>
      <w:hyperlink r:id="rId11" w:history="1">
        <w:r w:rsidRPr="009F7B46">
          <w:rPr>
            <w:rStyle w:val="Hyperlink"/>
            <w:rFonts w:cstheme="minorHAnsi"/>
          </w:rPr>
          <w:t>https://www.bls.gov/news.release/pdf/ecec.pdf</w:t>
        </w:r>
      </w:hyperlink>
      <w:r>
        <w:rPr>
          <w:rFonts w:cstheme="minorHAnsi"/>
        </w:rPr>
        <w:t xml:space="preserve"> </w:t>
      </w:r>
      <w:r w:rsidRPr="008A0178">
        <w:rPr>
          <w:rFonts w:cstheme="minorHAnsi"/>
        </w:rPr>
        <w:t xml:space="preserve">accessed </w:t>
      </w:r>
      <w:r w:rsidR="006B6595">
        <w:rPr>
          <w:rFonts w:cstheme="minorHAnsi"/>
        </w:rPr>
        <w:t>November</w:t>
      </w:r>
      <w:r w:rsidRPr="008A0178" w:rsidR="006B6595">
        <w:rPr>
          <w:rFonts w:cstheme="minorHAnsi"/>
        </w:rPr>
        <w:t xml:space="preserve"> </w:t>
      </w:r>
      <w:r w:rsidR="006B6595">
        <w:rPr>
          <w:rFonts w:cstheme="minorHAnsi"/>
        </w:rPr>
        <w:t>12</w:t>
      </w:r>
      <w:r w:rsidRPr="008A0178">
        <w:rPr>
          <w:rFonts w:cstheme="minorHAnsi"/>
        </w:rPr>
        <w:t xml:space="preserve">, 2024). </w:t>
      </w:r>
      <w:r>
        <w:rPr>
          <w:rFonts w:cstheme="minorHAnsi"/>
        </w:rPr>
        <w:t xml:space="preserve"> </w:t>
      </w:r>
    </w:p>
    <w:p w:rsidR="008A0178" w:rsidP="008A0178" w14:paraId="5FDEED73" w14:textId="59771FA0">
      <w:pPr>
        <w:spacing w:after="100" w:afterAutospacing="1" w:line="240" w:lineRule="auto"/>
        <w:contextualSpacing/>
        <w:rPr>
          <w:rFonts w:ascii="Calibri" w:hAnsi="Calibri" w:cs="Calibri"/>
        </w:rPr>
      </w:pPr>
      <w:r w:rsidRPr="001E010D">
        <w:rPr>
          <w:rFonts w:ascii="Calibri" w:hAnsi="Calibri" w:cs="Calibri"/>
        </w:rPr>
        <w:t xml:space="preserve">The bottom-line burden hours and costs for </w:t>
      </w:r>
      <w:r>
        <w:rPr>
          <w:rFonts w:ascii="Calibri" w:hAnsi="Calibri" w:cs="Calibri"/>
        </w:rPr>
        <w:t>respondents</w:t>
      </w:r>
      <w:r w:rsidRPr="001E010D">
        <w:rPr>
          <w:rFonts w:ascii="Calibri" w:hAnsi="Calibri" w:cs="Calibri"/>
        </w:rPr>
        <w:t xml:space="preserve"> are the average annual hours and costs collectively incurred for all activities during the period covered by this ICR</w:t>
      </w:r>
      <w:r>
        <w:rPr>
          <w:rFonts w:ascii="Calibri" w:hAnsi="Calibri" w:cs="Calibri"/>
        </w:rPr>
        <w:t>. A portion of this burden was accounted for in the 2023 NPDES Programmatic ICR. When EPA renews the NPDES Programmatic ICR, it will account for the total burden of the 2026 MSGP, by adding the incremental burden associated with refining the estimated burdens and including new burdens associated with modifications to permit conditions from the 2021 MSGP to the 2026 MSGP</w:t>
      </w:r>
      <w:r w:rsidRPr="001E010D">
        <w:rPr>
          <w:rFonts w:ascii="Calibri" w:hAnsi="Calibri" w:cs="Calibri"/>
        </w:rPr>
        <w:t xml:space="preserve">. </w:t>
      </w:r>
      <w:r w:rsidR="00DA34C1">
        <w:rPr>
          <w:rFonts w:ascii="Calibri" w:hAnsi="Calibri" w:cs="Calibri"/>
        </w:rPr>
        <w:t xml:space="preserve">Table </w:t>
      </w:r>
      <w:r w:rsidR="0053326C">
        <w:rPr>
          <w:rFonts w:ascii="Calibri" w:hAnsi="Calibri" w:cs="Calibri"/>
        </w:rPr>
        <w:t>3</w:t>
      </w:r>
      <w:r w:rsidRPr="001E010D">
        <w:rPr>
          <w:rFonts w:ascii="Calibri" w:hAnsi="Calibri" w:cs="Calibri"/>
        </w:rPr>
        <w:t xml:space="preserve"> below provid</w:t>
      </w:r>
      <w:r w:rsidRPr="001E010D">
        <w:rPr>
          <w:rFonts w:ascii="Calibri" w:hAnsi="Calibri" w:cs="Calibri"/>
        </w:rPr>
        <w:t>es a summary of the average</w:t>
      </w:r>
      <w:r w:rsidR="00A04573">
        <w:rPr>
          <w:rFonts w:ascii="Calibri" w:hAnsi="Calibri" w:cs="Calibri"/>
        </w:rPr>
        <w:t xml:space="preserve"> </w:t>
      </w:r>
      <w:r>
        <w:rPr>
          <w:rFonts w:ascii="Calibri" w:hAnsi="Calibri" w:cs="Calibri"/>
        </w:rPr>
        <w:t xml:space="preserve">total </w:t>
      </w:r>
      <w:r w:rsidR="00013B92">
        <w:rPr>
          <w:rFonts w:ascii="Calibri" w:hAnsi="Calibri" w:cs="Calibri"/>
        </w:rPr>
        <w:t>annual</w:t>
      </w:r>
      <w:r w:rsidR="009236D6">
        <w:rPr>
          <w:rFonts w:ascii="Calibri" w:hAnsi="Calibri" w:cs="Calibri"/>
        </w:rPr>
        <w:t xml:space="preserve"> </w:t>
      </w:r>
      <w:r w:rsidR="00763907">
        <w:rPr>
          <w:rFonts w:ascii="Calibri" w:hAnsi="Calibri" w:cs="Calibri"/>
        </w:rPr>
        <w:t xml:space="preserve">labor </w:t>
      </w:r>
      <w:r w:rsidRPr="001E010D">
        <w:rPr>
          <w:rFonts w:ascii="Calibri" w:hAnsi="Calibri" w:cs="Calibri"/>
        </w:rPr>
        <w:t xml:space="preserve">burden hours and </w:t>
      </w:r>
      <w:r>
        <w:rPr>
          <w:rFonts w:ascii="Calibri" w:hAnsi="Calibri" w:cs="Calibri"/>
        </w:rPr>
        <w:t>total</w:t>
      </w:r>
      <w:r w:rsidRPr="001E010D">
        <w:rPr>
          <w:rFonts w:ascii="Calibri" w:hAnsi="Calibri" w:cs="Calibri"/>
        </w:rPr>
        <w:t xml:space="preserve"> </w:t>
      </w:r>
      <w:r w:rsidR="009236D6">
        <w:rPr>
          <w:rFonts w:ascii="Calibri" w:hAnsi="Calibri" w:cs="Calibri"/>
        </w:rPr>
        <w:t xml:space="preserve">annual </w:t>
      </w:r>
      <w:r w:rsidR="00763907">
        <w:rPr>
          <w:rFonts w:ascii="Calibri" w:hAnsi="Calibri" w:cs="Calibri"/>
        </w:rPr>
        <w:t xml:space="preserve">labor </w:t>
      </w:r>
      <w:r w:rsidRPr="001E010D">
        <w:rPr>
          <w:rFonts w:ascii="Calibri" w:hAnsi="Calibri" w:cs="Calibri"/>
        </w:rPr>
        <w:t>costs.</w:t>
      </w:r>
    </w:p>
    <w:p w:rsidR="008A0178" w:rsidP="008A0178" w14:paraId="06485150" w14:textId="77777777">
      <w:pPr>
        <w:spacing w:after="100" w:afterAutospacing="1" w:line="240" w:lineRule="auto"/>
        <w:contextualSpacing/>
      </w:pPr>
    </w:p>
    <w:tbl>
      <w:tblPr>
        <w:tblStyle w:val="TableGrid"/>
        <w:tblW w:w="5220" w:type="dxa"/>
        <w:tblInd w:w="-5" w:type="dxa"/>
        <w:tblLook w:val="04A0"/>
      </w:tblPr>
      <w:tblGrid>
        <w:gridCol w:w="2790"/>
        <w:gridCol w:w="2430"/>
      </w:tblGrid>
      <w:tr w14:paraId="295D7D31" w14:textId="77777777" w:rsidTr="000714BA">
        <w:tblPrEx>
          <w:tblW w:w="5220" w:type="dxa"/>
          <w:tblInd w:w="-5" w:type="dxa"/>
          <w:tblLook w:val="04A0"/>
        </w:tblPrEx>
        <w:tc>
          <w:tcPr>
            <w:tcW w:w="2790" w:type="dxa"/>
            <w:shd w:val="pct12" w:color="auto" w:fill="auto"/>
          </w:tcPr>
          <w:p w:rsidR="000714BA" w:rsidRPr="004023BA" w:rsidP="003C0399" w14:paraId="2540A292" w14:textId="77777777">
            <w:pPr>
              <w:spacing w:after="100" w:afterAutospacing="1"/>
              <w:contextualSpacing/>
              <w:rPr>
                <w:rFonts w:ascii="Calibri" w:hAnsi="Calibri" w:cs="Calibri"/>
                <w:bCs/>
              </w:rPr>
            </w:pPr>
          </w:p>
        </w:tc>
        <w:tc>
          <w:tcPr>
            <w:tcW w:w="2430" w:type="dxa"/>
            <w:shd w:val="pct12" w:color="auto" w:fill="auto"/>
          </w:tcPr>
          <w:p w:rsidR="000714BA" w:rsidRPr="00B37B51" w:rsidP="003C0399" w14:paraId="6EC226F5" w14:textId="204038D6">
            <w:pPr>
              <w:spacing w:after="100" w:afterAutospacing="1"/>
              <w:contextualSpacing/>
              <w:jc w:val="center"/>
              <w:rPr>
                <w:rFonts w:ascii="Calibri" w:hAnsi="Calibri" w:cs="Calibri"/>
                <w:b/>
              </w:rPr>
            </w:pPr>
            <w:r>
              <w:rPr>
                <w:rFonts w:ascii="Calibri" w:hAnsi="Calibri" w:cs="Calibri"/>
                <w:b/>
              </w:rPr>
              <w:t xml:space="preserve">Proposed 2026 MSGP </w:t>
            </w:r>
            <w:r w:rsidRPr="00B37B51">
              <w:rPr>
                <w:rFonts w:ascii="Calibri" w:hAnsi="Calibri" w:cs="Calibri"/>
                <w:b/>
              </w:rPr>
              <w:t>Incremental Change</w:t>
            </w:r>
          </w:p>
        </w:tc>
      </w:tr>
      <w:tr w14:paraId="7A2C747C" w14:textId="77777777" w:rsidTr="000714BA">
        <w:tblPrEx>
          <w:tblW w:w="5220" w:type="dxa"/>
          <w:tblInd w:w="-5" w:type="dxa"/>
          <w:tblLook w:val="04A0"/>
        </w:tblPrEx>
        <w:tc>
          <w:tcPr>
            <w:tcW w:w="2790" w:type="dxa"/>
          </w:tcPr>
          <w:p w:rsidR="000714BA" w:rsidRPr="004023BA" w:rsidP="003C0399" w14:paraId="029881C5" w14:textId="77777777">
            <w:pPr>
              <w:spacing w:after="100" w:afterAutospacing="1"/>
              <w:contextualSpacing/>
              <w:rPr>
                <w:rFonts w:ascii="Calibri" w:hAnsi="Calibri" w:cs="Calibri"/>
                <w:bCs/>
              </w:rPr>
            </w:pPr>
            <w:r>
              <w:rPr>
                <w:rFonts w:ascii="Calibri" w:hAnsi="Calibri" w:cs="Calibri"/>
                <w:bCs/>
              </w:rPr>
              <w:t>Burden (hours)</w:t>
            </w:r>
          </w:p>
        </w:tc>
        <w:tc>
          <w:tcPr>
            <w:tcW w:w="2430" w:type="dxa"/>
          </w:tcPr>
          <w:p w:rsidR="000714BA" w:rsidRPr="004023BA" w:rsidP="003C0399" w14:paraId="1ADBB7F2" w14:textId="1BD070FA">
            <w:pPr>
              <w:spacing w:after="100" w:afterAutospacing="1"/>
              <w:contextualSpacing/>
              <w:jc w:val="right"/>
              <w:rPr>
                <w:rFonts w:ascii="Calibri" w:hAnsi="Calibri" w:cs="Calibri"/>
                <w:bCs/>
              </w:rPr>
            </w:pPr>
            <w:r w:rsidRPr="00375771">
              <w:rPr>
                <w:rFonts w:ascii="Calibri" w:hAnsi="Calibri" w:cs="Calibri"/>
              </w:rPr>
              <w:t>2</w:t>
            </w:r>
            <w:r w:rsidRPr="00375771" w:rsidR="009C41E2">
              <w:rPr>
                <w:rFonts w:ascii="Calibri" w:hAnsi="Calibri" w:cs="Calibri"/>
              </w:rPr>
              <w:t>2</w:t>
            </w:r>
            <w:r w:rsidRPr="00375771">
              <w:rPr>
                <w:rFonts w:ascii="Calibri" w:hAnsi="Calibri" w:cs="Calibri"/>
              </w:rPr>
              <w:t>,</w:t>
            </w:r>
            <w:r w:rsidRPr="00375771" w:rsidR="009C41E2">
              <w:rPr>
                <w:rFonts w:ascii="Calibri" w:hAnsi="Calibri" w:cs="Calibri"/>
              </w:rPr>
              <w:t>543</w:t>
            </w:r>
            <w:r w:rsidRPr="00375771">
              <w:rPr>
                <w:bCs/>
              </w:rPr>
              <w:t xml:space="preserve"> hours</w:t>
            </w:r>
          </w:p>
        </w:tc>
      </w:tr>
      <w:tr w14:paraId="3548509A" w14:textId="77777777" w:rsidTr="000714BA">
        <w:tblPrEx>
          <w:tblW w:w="5220" w:type="dxa"/>
          <w:tblInd w:w="-5" w:type="dxa"/>
          <w:tblLook w:val="04A0"/>
        </w:tblPrEx>
        <w:tc>
          <w:tcPr>
            <w:tcW w:w="2790" w:type="dxa"/>
          </w:tcPr>
          <w:p w:rsidR="000714BA" w:rsidRPr="004023BA" w:rsidP="003C0399" w14:paraId="167DB462" w14:textId="662084C2">
            <w:pPr>
              <w:spacing w:after="100" w:afterAutospacing="1"/>
              <w:contextualSpacing/>
              <w:rPr>
                <w:rFonts w:ascii="Calibri" w:hAnsi="Calibri" w:cs="Calibri"/>
                <w:bCs/>
              </w:rPr>
            </w:pPr>
            <w:r>
              <w:rPr>
                <w:rFonts w:ascii="Calibri" w:hAnsi="Calibri" w:cs="Calibri"/>
                <w:bCs/>
              </w:rPr>
              <w:t xml:space="preserve">Costs – </w:t>
            </w:r>
            <w:r w:rsidR="00964832">
              <w:rPr>
                <w:rFonts w:ascii="Calibri" w:hAnsi="Calibri" w:cs="Calibri"/>
                <w:bCs/>
              </w:rPr>
              <w:t xml:space="preserve">Total </w:t>
            </w:r>
            <w:r>
              <w:rPr>
                <w:rFonts w:ascii="Calibri" w:hAnsi="Calibri" w:cs="Calibri"/>
                <w:bCs/>
              </w:rPr>
              <w:t>(dollars)</w:t>
            </w:r>
          </w:p>
        </w:tc>
        <w:tc>
          <w:tcPr>
            <w:tcW w:w="2430" w:type="dxa"/>
          </w:tcPr>
          <w:p w:rsidR="000714BA" w:rsidRPr="004023BA" w:rsidP="003C0399" w14:paraId="47341CF9" w14:textId="21E77D13">
            <w:pPr>
              <w:spacing w:after="100" w:afterAutospacing="1"/>
              <w:contextualSpacing/>
              <w:jc w:val="right"/>
              <w:rPr>
                <w:rFonts w:ascii="Calibri" w:hAnsi="Calibri" w:cs="Calibri"/>
                <w:bCs/>
              </w:rPr>
            </w:pPr>
            <w:r>
              <w:rPr>
                <w:rFonts w:ascii="Calibri" w:hAnsi="Calibri" w:cs="Calibri"/>
                <w:bCs/>
              </w:rPr>
              <w:t>$1,</w:t>
            </w:r>
            <w:r w:rsidR="00B34BBD">
              <w:rPr>
                <w:rFonts w:ascii="Calibri" w:hAnsi="Calibri" w:cs="Calibri"/>
                <w:bCs/>
              </w:rPr>
              <w:t>014,989.56</w:t>
            </w:r>
          </w:p>
        </w:tc>
      </w:tr>
    </w:tbl>
    <w:p w:rsidR="008A0178" w:rsidRPr="008A0178" w:rsidP="008A0178" w14:paraId="4C9EB92E" w14:textId="77777777">
      <w:pPr>
        <w:spacing w:before="60"/>
        <w:rPr>
          <w:rFonts w:cstheme="minorHAnsi"/>
        </w:rPr>
      </w:pPr>
    </w:p>
    <w:p w:rsidR="00BB2B15" w:rsidRPr="00163C69" w:rsidP="00CD2D40" w14:paraId="5D1B71A2" w14:textId="3AD7DB59">
      <w:pPr>
        <w:pStyle w:val="Heading1"/>
        <w:numPr>
          <w:ilvl w:val="0"/>
          <w:numId w:val="41"/>
        </w:numPr>
        <w:rPr>
          <w:rFonts w:cstheme="minorHAnsi"/>
        </w:rPr>
      </w:pPr>
      <w:bookmarkStart w:id="19" w:name="_Toc156593386"/>
      <w:r>
        <w:t>RESPONDENT</w:t>
      </w:r>
      <w:r w:rsidRPr="4BDBF0A0" w:rsidR="009A09EC">
        <w:t xml:space="preserve"> </w:t>
      </w:r>
      <w:r w:rsidRPr="4BDBF0A0" w:rsidR="00D17BB9">
        <w:t>CAPITAL AND O&amp;</w:t>
      </w:r>
      <w:r w:rsidR="00CD2D40">
        <w:t>M</w:t>
      </w:r>
      <w:r w:rsidRPr="4BDBF0A0" w:rsidR="00D17BB9">
        <w:t xml:space="preserve"> </w:t>
      </w:r>
      <w:bookmarkEnd w:id="19"/>
      <w:r w:rsidRPr="4BDBF0A0" w:rsidR="00CD2D40">
        <w:t>Costs</w:t>
      </w:r>
      <w:r w:rsidRPr="4BDBF0A0" w:rsidR="004E3CB0">
        <w:t xml:space="preserve"> </w:t>
      </w:r>
    </w:p>
    <w:p w:rsidR="00BB3410" w:rsidP="00854AAE" w14:paraId="678BA42F" w14:textId="77F185B1">
      <w:pPr>
        <w:pBdr>
          <w:top w:val="single" w:sz="6" w:space="0" w:color="FFFFFF"/>
          <w:left w:val="single" w:sz="6" w:space="0" w:color="FFFFFF"/>
          <w:bottom w:val="single" w:sz="6" w:space="0" w:color="FFFFFF"/>
          <w:right w:val="single" w:sz="6" w:space="0" w:color="FFFFFF"/>
        </w:pBdr>
        <w:rPr>
          <w:rFonts w:cstheme="minorHAnsi"/>
        </w:rPr>
      </w:pPr>
      <w:r w:rsidRPr="00000177">
        <w:rPr>
          <w:rFonts w:cstheme="minorHAnsi"/>
        </w:rPr>
        <w:t xml:space="preserve">No </w:t>
      </w:r>
      <w:r w:rsidRPr="00000177" w:rsidR="00000177">
        <w:rPr>
          <w:rFonts w:ascii="Calibri" w:hAnsi="Calibri" w:cs="Calibri"/>
        </w:rPr>
        <w:t>O&amp;M costs</w:t>
      </w:r>
      <w:r w:rsidRPr="00000177">
        <w:rPr>
          <w:rFonts w:cstheme="minorHAnsi"/>
        </w:rPr>
        <w:t xml:space="preserve"> are anticipated for this ICR.</w:t>
      </w:r>
      <w:r w:rsidR="00B0113C">
        <w:rPr>
          <w:rFonts w:cstheme="minorHAnsi"/>
        </w:rPr>
        <w:t xml:space="preserve"> </w:t>
      </w:r>
      <w:r w:rsidR="00F93076">
        <w:rPr>
          <w:rFonts w:cstheme="minorHAnsi"/>
        </w:rPr>
        <w:t xml:space="preserve">There is a </w:t>
      </w:r>
      <w:r w:rsidR="00F271E1">
        <w:rPr>
          <w:rFonts w:cstheme="minorHAnsi"/>
        </w:rPr>
        <w:t>capital/startup cost</w:t>
      </w:r>
      <w:r w:rsidR="00FF4911">
        <w:rPr>
          <w:rFonts w:cstheme="minorHAnsi"/>
        </w:rPr>
        <w:t xml:space="preserve"> for a subset of re</w:t>
      </w:r>
      <w:r w:rsidR="00D151AA">
        <w:rPr>
          <w:rFonts w:cstheme="minorHAnsi"/>
        </w:rPr>
        <w:t xml:space="preserve">spondents </w:t>
      </w:r>
      <w:r w:rsidR="00F93076">
        <w:rPr>
          <w:rFonts w:cstheme="minorHAnsi"/>
        </w:rPr>
        <w:t xml:space="preserve">to </w:t>
      </w:r>
      <w:r w:rsidR="00032E6B">
        <w:rPr>
          <w:rFonts w:cstheme="minorHAnsi"/>
        </w:rPr>
        <w:t>purchase</w:t>
      </w:r>
      <w:r w:rsidR="001A3149">
        <w:rPr>
          <w:rFonts w:cstheme="minorHAnsi"/>
        </w:rPr>
        <w:t xml:space="preserve"> turbidity monitoring equipment</w:t>
      </w:r>
      <w:r w:rsidR="00F93076">
        <w:rPr>
          <w:rFonts w:cstheme="minorHAnsi"/>
        </w:rPr>
        <w:t xml:space="preserve"> for those respondents who must conduct dewatering turbidity benchmark monitoring</w:t>
      </w:r>
      <w:r w:rsidR="001A3149">
        <w:rPr>
          <w:rFonts w:cstheme="minorHAnsi"/>
        </w:rPr>
        <w:t xml:space="preserve">. </w:t>
      </w:r>
    </w:p>
    <w:tbl>
      <w:tblPr>
        <w:tblStyle w:val="TableGrid"/>
        <w:tblW w:w="6600" w:type="dxa"/>
        <w:tblInd w:w="-5" w:type="dxa"/>
        <w:tblLook w:val="04A0"/>
      </w:tblPr>
      <w:tblGrid>
        <w:gridCol w:w="3990"/>
        <w:gridCol w:w="2610"/>
      </w:tblGrid>
      <w:tr w14:paraId="1522352C" w14:textId="77777777" w:rsidTr="000714BA">
        <w:tblPrEx>
          <w:tblW w:w="6600" w:type="dxa"/>
          <w:tblInd w:w="-5" w:type="dxa"/>
          <w:tblLook w:val="04A0"/>
        </w:tblPrEx>
        <w:tc>
          <w:tcPr>
            <w:tcW w:w="3990" w:type="dxa"/>
            <w:shd w:val="pct12" w:color="auto" w:fill="auto"/>
          </w:tcPr>
          <w:p w:rsidR="000714BA" w:rsidRPr="004023BA" w:rsidP="000F517B" w14:paraId="723C9821" w14:textId="77777777">
            <w:pPr>
              <w:spacing w:after="100" w:afterAutospacing="1"/>
              <w:contextualSpacing/>
              <w:rPr>
                <w:rFonts w:ascii="Calibri" w:hAnsi="Calibri" w:cs="Calibri"/>
                <w:bCs/>
              </w:rPr>
            </w:pPr>
          </w:p>
        </w:tc>
        <w:tc>
          <w:tcPr>
            <w:tcW w:w="2610" w:type="dxa"/>
            <w:shd w:val="pct12" w:color="auto" w:fill="auto"/>
          </w:tcPr>
          <w:p w:rsidR="000714BA" w:rsidRPr="00B37B51" w:rsidP="000F517B" w14:paraId="19E8DAE5" w14:textId="77777777">
            <w:pPr>
              <w:spacing w:after="100" w:afterAutospacing="1"/>
              <w:contextualSpacing/>
              <w:jc w:val="center"/>
              <w:rPr>
                <w:rFonts w:ascii="Calibri" w:hAnsi="Calibri" w:cs="Calibri"/>
                <w:b/>
              </w:rPr>
            </w:pPr>
            <w:r>
              <w:rPr>
                <w:rFonts w:ascii="Calibri" w:hAnsi="Calibri" w:cs="Calibri"/>
                <w:b/>
              </w:rPr>
              <w:t xml:space="preserve">Proposed 2026 MSGP </w:t>
            </w:r>
            <w:r w:rsidRPr="00B37B51">
              <w:rPr>
                <w:rFonts w:ascii="Calibri" w:hAnsi="Calibri" w:cs="Calibri"/>
                <w:b/>
              </w:rPr>
              <w:t>Incremental Change</w:t>
            </w:r>
          </w:p>
        </w:tc>
      </w:tr>
      <w:tr w14:paraId="139C9D61" w14:textId="77777777" w:rsidTr="000714BA">
        <w:tblPrEx>
          <w:tblW w:w="6600" w:type="dxa"/>
          <w:tblInd w:w="-5" w:type="dxa"/>
          <w:tblLook w:val="04A0"/>
        </w:tblPrEx>
        <w:tc>
          <w:tcPr>
            <w:tcW w:w="3990" w:type="dxa"/>
          </w:tcPr>
          <w:p w:rsidR="000714BA" w:rsidRPr="004023BA" w:rsidP="000F517B" w14:paraId="5DFBFE8E" w14:textId="77777777">
            <w:pPr>
              <w:spacing w:after="100" w:afterAutospacing="1"/>
              <w:contextualSpacing/>
              <w:rPr>
                <w:rFonts w:ascii="Calibri" w:hAnsi="Calibri" w:cs="Calibri"/>
                <w:bCs/>
              </w:rPr>
            </w:pPr>
            <w:r>
              <w:rPr>
                <w:rFonts w:ascii="Calibri" w:hAnsi="Calibri" w:cs="Calibri"/>
                <w:bCs/>
              </w:rPr>
              <w:t>Costs – Capital (dollars)</w:t>
            </w:r>
          </w:p>
        </w:tc>
        <w:tc>
          <w:tcPr>
            <w:tcW w:w="2610" w:type="dxa"/>
          </w:tcPr>
          <w:p w:rsidR="000714BA" w:rsidRPr="004023BA" w:rsidP="000F517B" w14:paraId="5E483816" w14:textId="17BC4D72">
            <w:pPr>
              <w:spacing w:after="100" w:afterAutospacing="1"/>
              <w:contextualSpacing/>
              <w:jc w:val="right"/>
              <w:rPr>
                <w:rFonts w:ascii="Calibri" w:hAnsi="Calibri" w:cs="Calibri"/>
                <w:bCs/>
              </w:rPr>
            </w:pPr>
            <w:r>
              <w:rPr>
                <w:rFonts w:ascii="Calibri" w:hAnsi="Calibri" w:cs="Calibri"/>
                <w:bCs/>
              </w:rPr>
              <w:t>$24,472.00</w:t>
            </w:r>
          </w:p>
        </w:tc>
      </w:tr>
      <w:tr w14:paraId="1D5FAAAF" w14:textId="77777777" w:rsidTr="000714BA">
        <w:tblPrEx>
          <w:tblW w:w="6600" w:type="dxa"/>
          <w:tblInd w:w="-5" w:type="dxa"/>
          <w:tblLook w:val="04A0"/>
        </w:tblPrEx>
        <w:tc>
          <w:tcPr>
            <w:tcW w:w="3990" w:type="dxa"/>
          </w:tcPr>
          <w:p w:rsidR="000714BA" w:rsidRPr="004023BA" w:rsidP="000F517B" w14:paraId="7A4E4F9A" w14:textId="77777777">
            <w:pPr>
              <w:spacing w:after="100" w:afterAutospacing="1"/>
              <w:contextualSpacing/>
              <w:rPr>
                <w:rFonts w:ascii="Calibri" w:hAnsi="Calibri" w:cs="Calibri"/>
                <w:bCs/>
              </w:rPr>
            </w:pPr>
            <w:r>
              <w:rPr>
                <w:rFonts w:ascii="Calibri" w:hAnsi="Calibri" w:cs="Calibri"/>
                <w:bCs/>
              </w:rPr>
              <w:t>Costs – O&amp;M (dollars)</w:t>
            </w:r>
          </w:p>
        </w:tc>
        <w:tc>
          <w:tcPr>
            <w:tcW w:w="2610" w:type="dxa"/>
          </w:tcPr>
          <w:p w:rsidR="000714BA" w:rsidRPr="004023BA" w:rsidP="000F517B" w14:paraId="1998FE47" w14:textId="77777777">
            <w:pPr>
              <w:spacing w:after="100" w:afterAutospacing="1"/>
              <w:contextualSpacing/>
              <w:jc w:val="right"/>
              <w:rPr>
                <w:rFonts w:ascii="Calibri" w:eastAsia="Times New Roman" w:hAnsi="Calibri" w:cs="Calibri"/>
                <w:bCs/>
                <w:color w:val="000000"/>
              </w:rPr>
            </w:pPr>
            <w:r>
              <w:rPr>
                <w:rFonts w:ascii="Calibri" w:eastAsia="Times New Roman" w:hAnsi="Calibri" w:cs="Calibri"/>
                <w:bCs/>
                <w:color w:val="000000"/>
              </w:rPr>
              <w:t>$0</w:t>
            </w:r>
          </w:p>
        </w:tc>
      </w:tr>
      <w:tr w14:paraId="79410E14" w14:textId="77777777" w:rsidTr="000714BA">
        <w:tblPrEx>
          <w:tblW w:w="6600" w:type="dxa"/>
          <w:tblInd w:w="-5" w:type="dxa"/>
          <w:tblLook w:val="04A0"/>
        </w:tblPrEx>
        <w:tc>
          <w:tcPr>
            <w:tcW w:w="3990" w:type="dxa"/>
          </w:tcPr>
          <w:p w:rsidR="000714BA" w:rsidRPr="004023BA" w:rsidP="000F517B" w14:paraId="7A23BA96" w14:textId="26FE2BA5">
            <w:pPr>
              <w:spacing w:after="100" w:afterAutospacing="1"/>
              <w:contextualSpacing/>
              <w:rPr>
                <w:rFonts w:ascii="Calibri" w:hAnsi="Calibri" w:cs="Calibri"/>
                <w:bCs/>
              </w:rPr>
            </w:pPr>
            <w:r>
              <w:rPr>
                <w:rFonts w:ascii="Calibri" w:hAnsi="Calibri" w:cs="Calibri"/>
                <w:bCs/>
              </w:rPr>
              <w:t>Total Capital and O&amp;M Costs (dollars)</w:t>
            </w:r>
          </w:p>
        </w:tc>
        <w:tc>
          <w:tcPr>
            <w:tcW w:w="2610" w:type="dxa"/>
          </w:tcPr>
          <w:p w:rsidR="000714BA" w:rsidRPr="004023BA" w:rsidP="000F517B" w14:paraId="46244A3E" w14:textId="6F1C6C37">
            <w:pPr>
              <w:spacing w:after="100" w:afterAutospacing="1"/>
              <w:contextualSpacing/>
              <w:jc w:val="right"/>
              <w:rPr>
                <w:rFonts w:ascii="Calibri" w:hAnsi="Calibri" w:cs="Calibri"/>
                <w:bCs/>
              </w:rPr>
            </w:pPr>
            <w:r>
              <w:rPr>
                <w:rFonts w:ascii="Calibri" w:hAnsi="Calibri" w:cs="Calibri"/>
                <w:bCs/>
              </w:rPr>
              <w:t>$24,472.00</w:t>
            </w:r>
          </w:p>
        </w:tc>
      </w:tr>
    </w:tbl>
    <w:p w:rsidR="00051D5C" w:rsidRPr="00E2329D" w:rsidP="00854AAE" w14:paraId="0ADEA41D" w14:textId="29852593">
      <w:pPr>
        <w:pBdr>
          <w:top w:val="single" w:sz="6" w:space="0" w:color="FFFFFF"/>
          <w:left w:val="single" w:sz="6" w:space="0" w:color="FFFFFF"/>
          <w:bottom w:val="single" w:sz="6" w:space="0" w:color="FFFFFF"/>
          <w:right w:val="single" w:sz="6" w:space="0" w:color="FFFFFF"/>
        </w:pBdr>
        <w:rPr>
          <w:rFonts w:cstheme="minorHAnsi"/>
          <w:b/>
          <w:bCs/>
          <w:color w:val="000000"/>
        </w:rPr>
      </w:pPr>
    </w:p>
    <w:p w:rsidR="00023EFE" w:rsidRPr="00163C69" w:rsidP="00914EB5" w14:paraId="7D2BF7DE" w14:textId="701D1EB9">
      <w:pPr>
        <w:pStyle w:val="Heading1"/>
        <w:numPr>
          <w:ilvl w:val="0"/>
          <w:numId w:val="41"/>
        </w:numPr>
        <w:rPr>
          <w:rFonts w:cstheme="minorHAnsi"/>
        </w:rPr>
      </w:pPr>
      <w:bookmarkStart w:id="20" w:name="_Toc156593387"/>
      <w:r w:rsidRPr="4BDBF0A0">
        <w:t xml:space="preserve">AGENCY </w:t>
      </w:r>
      <w:bookmarkStart w:id="21" w:name="_Toc156593388"/>
      <w:bookmarkEnd w:id="20"/>
      <w:r w:rsidRPr="4BDBF0A0" w:rsidR="00BB2B15">
        <w:t>COSTS</w:t>
      </w:r>
    </w:p>
    <w:p w:rsidR="00EC6F84" w:rsidRPr="00EC6F84" w:rsidP="6DE20D02" w14:paraId="47CF8744" w14:textId="37EBF077">
      <w:pPr>
        <w:spacing w:before="120" w:after="0"/>
      </w:pPr>
      <w:r w:rsidRPr="6DE20D02">
        <w:t xml:space="preserve">This section presents the estimated agency burden for each information request and the </w:t>
      </w:r>
      <w:r w:rsidRPr="6DE20D02" w:rsidR="00013D38">
        <w:t>associated</w:t>
      </w:r>
      <w:r w:rsidRPr="6DE20D02">
        <w:t xml:space="preserve"> agency cost. A summary of the burden and cost is provided at the end of this section.</w:t>
      </w:r>
    </w:p>
    <w:p w:rsidR="00023EFE" w:rsidRPr="00163C69" w:rsidP="00914EB5" w14:paraId="1D8BBDEC" w14:textId="45D99901">
      <w:pPr>
        <w:pStyle w:val="Heading2"/>
      </w:pPr>
      <w:r w:rsidRPr="00163C69">
        <w:t xml:space="preserve">14a. </w:t>
      </w:r>
      <w:r w:rsidRPr="00163C69" w:rsidR="00BB2B15">
        <w:t>Agency Activities</w:t>
      </w:r>
    </w:p>
    <w:p w:rsidR="00346E66" w:rsidP="00854AAE" w14:paraId="2B43CA6A" w14:textId="77777777">
      <w:pPr>
        <w:spacing w:before="120" w:after="0"/>
        <w:rPr>
          <w:rFonts w:cstheme="minorHAnsi"/>
        </w:rPr>
      </w:pPr>
      <w:r w:rsidRPr="00346E66">
        <w:rPr>
          <w:rFonts w:cstheme="minorHAnsi"/>
        </w:rPr>
        <w:t xml:space="preserve">EPA’s activities as the NPDES permitting authority in charge of administering the MSGP are to review and process information and reports generated under the permit. </w:t>
      </w:r>
    </w:p>
    <w:p w:rsidR="00023EFE" w:rsidRPr="00163C69" w:rsidP="00914EB5" w14:paraId="30F74537" w14:textId="6ED237F8">
      <w:pPr>
        <w:pStyle w:val="Heading2"/>
      </w:pPr>
      <w:r w:rsidRPr="00163C69">
        <w:t xml:space="preserve">14b. </w:t>
      </w:r>
      <w:r w:rsidRPr="00163C69" w:rsidR="00BB2B15">
        <w:t>Agency</w:t>
      </w:r>
      <w:r w:rsidR="00640A93">
        <w:t xml:space="preserve"> Burden and</w:t>
      </w:r>
      <w:r w:rsidRPr="00163C69" w:rsidR="00BB2B15">
        <w:t xml:space="preserve"> Labor Cost</w:t>
      </w:r>
      <w:r w:rsidR="00640A93">
        <w:t>s</w:t>
      </w:r>
    </w:p>
    <w:p w:rsidR="00666C60" w:rsidRPr="00666C60" w:rsidP="00666C60" w14:paraId="2F4740E2" w14:textId="26F75685">
      <w:pPr>
        <w:spacing w:before="120" w:after="0"/>
        <w:rPr>
          <w:rFonts w:cstheme="minorHAnsi"/>
          <w:color w:val="000000"/>
        </w:rPr>
      </w:pPr>
      <w:r w:rsidRPr="00923BA0">
        <w:rPr>
          <w:rFonts w:cstheme="minorHAnsi"/>
          <w:b/>
          <w:bCs/>
          <w:color w:val="000000"/>
        </w:rPr>
        <w:t>DMRs</w:t>
      </w:r>
      <w:r w:rsidRPr="00666C60">
        <w:rPr>
          <w:rFonts w:cstheme="minorHAnsi"/>
          <w:color w:val="000000"/>
        </w:rPr>
        <w:t xml:space="preserve"> </w:t>
      </w:r>
    </w:p>
    <w:p w:rsidR="00DD0D3C" w:rsidRPr="00DD0D3C" w:rsidP="00DD0D3C" w14:paraId="5BB20AAE" w14:textId="34F71154">
      <w:pPr>
        <w:spacing w:before="120"/>
        <w:rPr>
          <w:rFonts w:cstheme="minorHAnsi"/>
          <w:color w:val="000000"/>
        </w:rPr>
      </w:pPr>
      <w:r w:rsidRPr="00F4164D">
        <w:rPr>
          <w:rFonts w:cstheme="minorHAnsi"/>
          <w:color w:val="000000"/>
        </w:rPr>
        <w:t xml:space="preserve">As previously </w:t>
      </w:r>
      <w:r w:rsidR="002A1F14">
        <w:rPr>
          <w:rFonts w:cstheme="minorHAnsi"/>
          <w:color w:val="000000"/>
        </w:rPr>
        <w:t>described and</w:t>
      </w:r>
      <w:r w:rsidRPr="00F4164D">
        <w:rPr>
          <w:rFonts w:cstheme="minorHAnsi"/>
          <w:color w:val="000000"/>
        </w:rPr>
        <w:t xml:space="preserve"> based on the changes to the proposed 2026 MSGP, </w:t>
      </w:r>
      <w:r w:rsidR="00882B9C">
        <w:rPr>
          <w:rFonts w:cstheme="minorHAnsi"/>
          <w:color w:val="000000"/>
        </w:rPr>
        <w:t xml:space="preserve">EPA would require </w:t>
      </w:r>
      <w:r w:rsidRPr="00F4164D">
        <w:rPr>
          <w:rFonts w:cstheme="minorHAnsi"/>
          <w:color w:val="000000"/>
        </w:rPr>
        <w:t xml:space="preserve">certain permittees </w:t>
      </w:r>
      <w:r w:rsidR="00882B9C">
        <w:rPr>
          <w:rFonts w:cstheme="minorHAnsi"/>
          <w:color w:val="000000"/>
        </w:rPr>
        <w:t>to</w:t>
      </w:r>
      <w:r w:rsidRPr="00F4164D">
        <w:rPr>
          <w:rFonts w:cstheme="minorHAnsi"/>
          <w:color w:val="000000"/>
        </w:rPr>
        <w:t xml:space="preserve"> submit additional DMRs. This could result in additional DMR reviews by the Agency</w:t>
      </w:r>
      <w:r>
        <w:rPr>
          <w:rFonts w:cstheme="minorHAnsi"/>
          <w:color w:val="000000"/>
        </w:rPr>
        <w:t>. However, the</w:t>
      </w:r>
      <w:r w:rsidRPr="00F4164D">
        <w:rPr>
          <w:rFonts w:cstheme="minorHAnsi"/>
          <w:color w:val="000000"/>
        </w:rPr>
        <w:t xml:space="preserve"> </w:t>
      </w:r>
      <w:r w:rsidR="00255A86">
        <w:rPr>
          <w:rFonts w:cstheme="minorHAnsi"/>
          <w:color w:val="000000"/>
        </w:rPr>
        <w:t>2021 MSGP</w:t>
      </w:r>
      <w:r w:rsidRPr="00666C60" w:rsidR="00255A86">
        <w:rPr>
          <w:rFonts w:cstheme="minorHAnsi"/>
          <w:color w:val="000000"/>
        </w:rPr>
        <w:t xml:space="preserve"> </w:t>
      </w:r>
      <w:r w:rsidRPr="00666C60" w:rsidR="00666C60">
        <w:rPr>
          <w:rFonts w:cstheme="minorHAnsi"/>
          <w:color w:val="000000"/>
        </w:rPr>
        <w:t>ICR</w:t>
      </w:r>
      <w:r w:rsidR="00C06B69">
        <w:rPr>
          <w:rFonts w:cstheme="minorHAnsi"/>
          <w:color w:val="000000"/>
        </w:rPr>
        <w:t xml:space="preserve"> conserv</w:t>
      </w:r>
      <w:r w:rsidR="00C62F1F">
        <w:rPr>
          <w:rFonts w:cstheme="minorHAnsi"/>
          <w:color w:val="000000"/>
        </w:rPr>
        <w:t>atively</w:t>
      </w:r>
      <w:r w:rsidR="00D014CF">
        <w:rPr>
          <w:rFonts w:cstheme="minorHAnsi"/>
          <w:color w:val="000000"/>
        </w:rPr>
        <w:t xml:space="preserve"> assumed</w:t>
      </w:r>
      <w:r w:rsidRPr="00666C60" w:rsidR="00D014CF">
        <w:rPr>
          <w:rFonts w:cstheme="minorHAnsi"/>
          <w:color w:val="000000"/>
        </w:rPr>
        <w:t xml:space="preserve"> that</w:t>
      </w:r>
      <w:r w:rsidR="003273E3">
        <w:rPr>
          <w:rFonts w:cstheme="minorHAnsi"/>
          <w:color w:val="000000"/>
        </w:rPr>
        <w:t xml:space="preserve"> respondents</w:t>
      </w:r>
      <w:r w:rsidRPr="00666C60" w:rsidR="00D014CF">
        <w:rPr>
          <w:rFonts w:cstheme="minorHAnsi"/>
          <w:color w:val="000000"/>
        </w:rPr>
        <w:t xml:space="preserve"> </w:t>
      </w:r>
      <w:r w:rsidRPr="00666C60" w:rsidR="00BC38F9">
        <w:rPr>
          <w:rFonts w:cstheme="minorHAnsi"/>
          <w:color w:val="000000"/>
        </w:rPr>
        <w:t>would</w:t>
      </w:r>
      <w:r w:rsidRPr="00666C60" w:rsidR="00D014CF">
        <w:rPr>
          <w:rFonts w:cstheme="minorHAnsi"/>
          <w:color w:val="000000"/>
        </w:rPr>
        <w:t xml:space="preserve"> submit a DMR on a quarterly basis (20 times total over the permit term)</w:t>
      </w:r>
      <w:r w:rsidR="00BB7E12">
        <w:rPr>
          <w:rFonts w:cstheme="minorHAnsi"/>
          <w:color w:val="000000"/>
        </w:rPr>
        <w:t xml:space="preserve"> because t</w:t>
      </w:r>
      <w:r w:rsidRPr="00666C60" w:rsidR="00666C60">
        <w:rPr>
          <w:rFonts w:cstheme="minorHAnsi"/>
          <w:color w:val="000000"/>
        </w:rPr>
        <w:t xml:space="preserve">he sample collection and reporting frequency for each respondent can vary greatly due to the overlapping frequencies for various monitoring requirements. Due to this complexity, </w:t>
      </w:r>
      <w:r w:rsidR="00C06B69">
        <w:rPr>
          <w:rFonts w:cstheme="minorHAnsi"/>
          <w:color w:val="000000"/>
        </w:rPr>
        <w:t>the</w:t>
      </w:r>
      <w:r w:rsidR="00C62F1F">
        <w:rPr>
          <w:rFonts w:cstheme="minorHAnsi"/>
          <w:color w:val="000000"/>
        </w:rPr>
        <w:t xml:space="preserve"> conservative</w:t>
      </w:r>
      <w:r w:rsidR="00C06B69">
        <w:rPr>
          <w:rFonts w:cstheme="minorHAnsi"/>
          <w:color w:val="000000"/>
        </w:rPr>
        <w:t xml:space="preserve"> </w:t>
      </w:r>
      <w:r w:rsidRPr="00666C60" w:rsidR="00666C60">
        <w:rPr>
          <w:rFonts w:cstheme="minorHAnsi"/>
          <w:color w:val="000000"/>
        </w:rPr>
        <w:t xml:space="preserve">assumption </w:t>
      </w:r>
      <w:r w:rsidR="00533F6A">
        <w:rPr>
          <w:rFonts w:cstheme="minorHAnsi"/>
          <w:color w:val="000000"/>
        </w:rPr>
        <w:t xml:space="preserve">of </w:t>
      </w:r>
      <w:r w:rsidR="00C01465">
        <w:rPr>
          <w:rFonts w:cstheme="minorHAnsi"/>
          <w:color w:val="000000"/>
        </w:rPr>
        <w:t xml:space="preserve">DMR </w:t>
      </w:r>
      <w:r w:rsidR="00E1429A">
        <w:rPr>
          <w:rFonts w:cstheme="minorHAnsi"/>
          <w:color w:val="000000"/>
        </w:rPr>
        <w:t>submittal frequency</w:t>
      </w:r>
      <w:r w:rsidR="00AF1D44">
        <w:rPr>
          <w:rFonts w:cstheme="minorHAnsi"/>
          <w:color w:val="000000"/>
        </w:rPr>
        <w:t xml:space="preserve"> </w:t>
      </w:r>
      <w:r w:rsidRPr="00666C60" w:rsidR="00666C60">
        <w:rPr>
          <w:rFonts w:cstheme="minorHAnsi"/>
          <w:color w:val="000000"/>
        </w:rPr>
        <w:t xml:space="preserve">used in the 2021 </w:t>
      </w:r>
      <w:r w:rsidRPr="00666C60" w:rsidR="009A5BE2">
        <w:rPr>
          <w:rFonts w:cstheme="minorHAnsi"/>
          <w:color w:val="000000"/>
        </w:rPr>
        <w:t>ICR</w:t>
      </w:r>
      <w:r w:rsidR="00D736A2">
        <w:rPr>
          <w:rFonts w:cstheme="minorHAnsi"/>
          <w:color w:val="000000"/>
        </w:rPr>
        <w:t xml:space="preserve"> </w:t>
      </w:r>
      <w:r w:rsidR="004B4ECF">
        <w:rPr>
          <w:rFonts w:cstheme="minorHAnsi"/>
          <w:color w:val="000000"/>
        </w:rPr>
        <w:t>i</w:t>
      </w:r>
      <w:r w:rsidR="00D736A2">
        <w:rPr>
          <w:rFonts w:cstheme="minorHAnsi"/>
          <w:color w:val="000000"/>
        </w:rPr>
        <w:t xml:space="preserve">s </w:t>
      </w:r>
      <w:r w:rsidR="004B4ECF">
        <w:rPr>
          <w:rFonts w:cstheme="minorHAnsi"/>
          <w:color w:val="000000"/>
        </w:rPr>
        <w:t xml:space="preserve">also </w:t>
      </w:r>
      <w:r w:rsidR="002B27B4">
        <w:rPr>
          <w:rFonts w:cstheme="minorHAnsi"/>
          <w:color w:val="000000"/>
        </w:rPr>
        <w:t xml:space="preserve">used in this proposed 2026 MSGP ICR </w:t>
      </w:r>
      <w:r w:rsidR="006807CE">
        <w:rPr>
          <w:rFonts w:cstheme="minorHAnsi"/>
          <w:color w:val="000000"/>
        </w:rPr>
        <w:t xml:space="preserve">because </w:t>
      </w:r>
      <w:r w:rsidR="0099680F">
        <w:rPr>
          <w:rFonts w:cstheme="minorHAnsi"/>
          <w:color w:val="000000"/>
        </w:rPr>
        <w:t xml:space="preserve">EPA assumes it </w:t>
      </w:r>
      <w:r w:rsidR="00623A66">
        <w:rPr>
          <w:rFonts w:cstheme="minorHAnsi"/>
          <w:color w:val="000000"/>
        </w:rPr>
        <w:t xml:space="preserve">adequately captures the </w:t>
      </w:r>
      <w:r w:rsidR="002B6BD1">
        <w:rPr>
          <w:rFonts w:cstheme="minorHAnsi"/>
          <w:color w:val="000000"/>
        </w:rPr>
        <w:t>number</w:t>
      </w:r>
      <w:r w:rsidR="00623A66">
        <w:rPr>
          <w:rFonts w:cstheme="minorHAnsi"/>
          <w:color w:val="000000"/>
        </w:rPr>
        <w:t xml:space="preserve"> of</w:t>
      </w:r>
      <w:r w:rsidR="002A1F14">
        <w:rPr>
          <w:rFonts w:cstheme="minorHAnsi"/>
          <w:color w:val="000000"/>
        </w:rPr>
        <w:t xml:space="preserve"> additional</w:t>
      </w:r>
      <w:r w:rsidR="00623A66">
        <w:rPr>
          <w:rFonts w:cstheme="minorHAnsi"/>
          <w:color w:val="000000"/>
        </w:rPr>
        <w:t xml:space="preserve"> reports submitted for processing. </w:t>
      </w:r>
    </w:p>
    <w:p w:rsidR="00DD0D3C" w:rsidRPr="00E74A53" w:rsidP="00E74A53" w14:paraId="4FB398DB" w14:textId="77777777">
      <w:pPr>
        <w:spacing w:before="120" w:after="0"/>
        <w:rPr>
          <w:rFonts w:cstheme="minorHAnsi"/>
          <w:b/>
          <w:bCs/>
          <w:color w:val="000000"/>
        </w:rPr>
      </w:pPr>
      <w:r w:rsidRPr="00E74A53">
        <w:rPr>
          <w:rFonts w:cstheme="minorHAnsi"/>
          <w:b/>
          <w:bCs/>
          <w:color w:val="000000"/>
        </w:rPr>
        <w:t>Corrective Action/Additional Implementation Measure Documentation</w:t>
      </w:r>
    </w:p>
    <w:p w:rsidR="00DD0D3C" w:rsidRPr="00DD0D3C" w:rsidP="00E74A53" w14:paraId="65BCC98F" w14:textId="414C0CB2">
      <w:pPr>
        <w:spacing w:before="120" w:after="0"/>
        <w:rPr>
          <w:rFonts w:ascii="Calibri" w:hAnsi="Calibri" w:cs="Calibri"/>
          <w:b/>
        </w:rPr>
      </w:pPr>
      <w:r w:rsidRPr="00E74A53">
        <w:rPr>
          <w:rFonts w:cstheme="minorHAnsi"/>
          <w:color w:val="000000"/>
        </w:rPr>
        <w:t>The</w:t>
      </w:r>
      <w:r w:rsidRPr="000C5148">
        <w:rPr>
          <w:rFonts w:ascii="Calibri" w:hAnsi="Calibri" w:cs="Calibri"/>
        </w:rPr>
        <w:t xml:space="preserve"> </w:t>
      </w:r>
      <w:r w:rsidRPr="00DD0D3C">
        <w:rPr>
          <w:rFonts w:ascii="Calibri" w:hAnsi="Calibri" w:cs="Calibri"/>
        </w:rPr>
        <w:t xml:space="preserve">2026 MSGP has multiple AIM </w:t>
      </w:r>
      <w:r w:rsidR="006D4B73">
        <w:rPr>
          <w:rFonts w:ascii="Calibri" w:hAnsi="Calibri" w:cs="Calibri"/>
        </w:rPr>
        <w:t>c</w:t>
      </w:r>
      <w:r w:rsidRPr="00DD0D3C">
        <w:rPr>
          <w:rFonts w:ascii="Calibri" w:hAnsi="Calibri" w:cs="Calibri"/>
        </w:rPr>
        <w:t>orrective action changes listed below:</w:t>
      </w:r>
    </w:p>
    <w:p w:rsidR="00DD0D3C" w:rsidP="00DD0D3C" w14:paraId="168D54E2" w14:textId="441D83DB">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Corrective</w:t>
      </w:r>
      <w:r w:rsidRPr="00FE27C0">
        <w:rPr>
          <w:rFonts w:ascii="Calibri" w:hAnsi="Calibri" w:cs="Calibri"/>
        </w:rPr>
        <w:t xml:space="preserve"> action</w:t>
      </w:r>
      <w:r>
        <w:rPr>
          <w:rFonts w:ascii="Calibri" w:hAnsi="Calibri" w:cs="Calibri"/>
        </w:rPr>
        <w:t xml:space="preserve">s for all AIM levels are required to be submitted through NeT-MSGP within 30 days. The 2021 MSGP required submittal of this information in summary form on the Annual report. Estimated time for EPA to process and review Corrective Action </w:t>
      </w:r>
      <w:r w:rsidR="006D4B73">
        <w:rPr>
          <w:rFonts w:ascii="Calibri" w:hAnsi="Calibri" w:cs="Calibri"/>
        </w:rPr>
        <w:t>R</w:t>
      </w:r>
      <w:r>
        <w:rPr>
          <w:rFonts w:ascii="Calibri" w:hAnsi="Calibri" w:cs="Calibri"/>
        </w:rPr>
        <w:t>eports is 0.16 hours per report plus 0.5 hours for follow-up o</w:t>
      </w:r>
      <w:r w:rsidR="0095052C">
        <w:rPr>
          <w:rFonts w:ascii="Calibri" w:hAnsi="Calibri" w:cs="Calibri"/>
        </w:rPr>
        <w:t>n</w:t>
      </w:r>
      <w:r>
        <w:rPr>
          <w:rFonts w:ascii="Calibri" w:hAnsi="Calibri" w:cs="Calibri"/>
        </w:rPr>
        <w:t xml:space="preserve"> 20</w:t>
      </w:r>
      <w:r w:rsidR="00D6392F">
        <w:rPr>
          <w:rFonts w:ascii="Calibri" w:hAnsi="Calibri" w:cs="Calibri"/>
        </w:rPr>
        <w:t>%</w:t>
      </w:r>
      <w:r>
        <w:rPr>
          <w:rFonts w:ascii="Calibri" w:hAnsi="Calibri" w:cs="Calibri"/>
        </w:rPr>
        <w:t xml:space="preserve"> of submissions. This </w:t>
      </w:r>
      <w:r w:rsidR="00AF5C38">
        <w:rPr>
          <w:rFonts w:ascii="Calibri" w:hAnsi="Calibri" w:cs="Calibri"/>
        </w:rPr>
        <w:t xml:space="preserve">would be </w:t>
      </w:r>
      <w:r>
        <w:rPr>
          <w:rFonts w:ascii="Calibri" w:hAnsi="Calibri" w:cs="Calibri"/>
        </w:rPr>
        <w:t xml:space="preserve">a new activity in the </w:t>
      </w:r>
      <w:r w:rsidR="00AF5C38">
        <w:rPr>
          <w:rFonts w:ascii="Calibri" w:hAnsi="Calibri" w:cs="Calibri"/>
        </w:rPr>
        <w:t xml:space="preserve">proposed </w:t>
      </w:r>
      <w:r>
        <w:rPr>
          <w:rFonts w:ascii="Calibri" w:hAnsi="Calibri" w:cs="Calibri"/>
        </w:rPr>
        <w:t>2026 MSGP and effectively adds approximately 74 hours of agency burden to processing Corrective Action Reports, and 46 hours of agency burden for</w:t>
      </w:r>
      <w:r>
        <w:rPr>
          <w:rFonts w:ascii="Calibri" w:hAnsi="Calibri" w:cs="Calibri"/>
        </w:rPr>
        <w:t xml:space="preserve"> follow-up.</w:t>
      </w:r>
    </w:p>
    <w:p w:rsidR="00DD0D3C" w:rsidRPr="0088303C" w:rsidP="00DD0D3C" w14:paraId="46FE2516" w14:textId="14EDE75D">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Submittal</w:t>
      </w:r>
      <w:r w:rsidRPr="00FE27C0">
        <w:rPr>
          <w:rFonts w:ascii="Calibri" w:hAnsi="Calibri" w:cs="Calibri"/>
        </w:rPr>
        <w:t xml:space="preserve"> of an AIM Level 1 inspection to NeT</w:t>
      </w:r>
      <w:r>
        <w:rPr>
          <w:rFonts w:ascii="Calibri" w:hAnsi="Calibri" w:cs="Calibri"/>
        </w:rPr>
        <w:t xml:space="preserve"> </w:t>
      </w:r>
      <w:r w:rsidR="00AF5C38">
        <w:rPr>
          <w:rFonts w:ascii="Calibri" w:hAnsi="Calibri" w:cs="Calibri"/>
        </w:rPr>
        <w:t xml:space="preserve">would be </w:t>
      </w:r>
      <w:r>
        <w:rPr>
          <w:rFonts w:ascii="Calibri" w:hAnsi="Calibri" w:cs="Calibri"/>
        </w:rPr>
        <w:t xml:space="preserve">required in the 2026 MSGP for facilities that trigger AIM Level 1 for benchmark monitoring or impaired waters monitoring. </w:t>
      </w:r>
      <w:r w:rsidR="00D639B9">
        <w:rPr>
          <w:rFonts w:ascii="Calibri" w:hAnsi="Calibri" w:cs="Calibri"/>
        </w:rPr>
        <w:t>The e</w:t>
      </w:r>
      <w:r>
        <w:rPr>
          <w:rFonts w:ascii="Calibri" w:hAnsi="Calibri" w:cs="Calibri"/>
        </w:rPr>
        <w:t xml:space="preserve">stimated time for EPA to process and review AIM Level 1 inspection reports is 0.16 hours per inspection report plus 0.5 hours for follow-up of 20 percent of submissions. This </w:t>
      </w:r>
      <w:r w:rsidR="00654825">
        <w:rPr>
          <w:rFonts w:ascii="Calibri" w:hAnsi="Calibri" w:cs="Calibri"/>
        </w:rPr>
        <w:t>would be</w:t>
      </w:r>
      <w:r>
        <w:rPr>
          <w:rFonts w:ascii="Calibri" w:hAnsi="Calibri" w:cs="Calibri"/>
        </w:rPr>
        <w:t xml:space="preserve"> a new activity in the 2026 MSGP and effectively adds approximately 34 hours of agency burden to processing inspection reports, and 21 hours of agency burden for follow-up.</w:t>
      </w:r>
    </w:p>
    <w:p w:rsidR="00DD0D3C" w:rsidP="00DD0D3C" w14:paraId="1EE1A5AB" w14:textId="6AD5D2E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Submittal</w:t>
      </w:r>
      <w:r w:rsidRPr="00FE27C0">
        <w:rPr>
          <w:rFonts w:ascii="Calibri" w:hAnsi="Calibri" w:cs="Calibri"/>
        </w:rPr>
        <w:t xml:space="preserve"> of Natural Background Exception requests in NeT for benchmark monitoring</w:t>
      </w:r>
      <w:r>
        <w:rPr>
          <w:rFonts w:ascii="Calibri" w:hAnsi="Calibri" w:cs="Calibri"/>
        </w:rPr>
        <w:t xml:space="preserve"> </w:t>
      </w:r>
      <w:r w:rsidR="00654825">
        <w:rPr>
          <w:rFonts w:ascii="Calibri" w:hAnsi="Calibri" w:cs="Calibri"/>
        </w:rPr>
        <w:t xml:space="preserve">would be </w:t>
      </w:r>
      <w:r>
        <w:rPr>
          <w:rFonts w:ascii="Calibri" w:hAnsi="Calibri" w:cs="Calibri"/>
        </w:rPr>
        <w:t>required in the 2026 MSGP</w:t>
      </w:r>
      <w:r w:rsidRPr="00FE27C0">
        <w:rPr>
          <w:rFonts w:ascii="Calibri" w:hAnsi="Calibri" w:cs="Calibri"/>
        </w:rPr>
        <w:t xml:space="preserve">. The Agency anticipates no additional burden for this item because this review and approval process is already happening without these electronic submittal requests. </w:t>
      </w:r>
      <w:r>
        <w:t>Respondent</w:t>
      </w:r>
      <w:r>
        <w:rPr>
          <w:rFonts w:ascii="Calibri" w:hAnsi="Calibri" w:cs="Calibri"/>
        </w:rPr>
        <w:t>s are also required to submit analytical results to support the request. This process could decrease the Agency burden because the request process is streamlined, and analytical results will help the Agency make a quicker decis</w:t>
      </w:r>
      <w:r>
        <w:rPr>
          <w:rFonts w:ascii="Calibri" w:hAnsi="Calibri" w:cs="Calibri"/>
        </w:rPr>
        <w:t xml:space="preserve">ion. </w:t>
      </w:r>
      <w:r w:rsidRPr="00FE27C0">
        <w:rPr>
          <w:rFonts w:ascii="Calibri" w:hAnsi="Calibri" w:cs="Calibri"/>
        </w:rPr>
        <w:t>The decrease in burden is minor,</w:t>
      </w:r>
      <w:r>
        <w:rPr>
          <w:rFonts w:ascii="Calibri" w:hAnsi="Calibri" w:cs="Calibri"/>
        </w:rPr>
        <w:t xml:space="preserve"> so</w:t>
      </w:r>
      <w:r w:rsidRPr="00FE27C0">
        <w:rPr>
          <w:rFonts w:ascii="Calibri" w:hAnsi="Calibri" w:cs="Calibri"/>
        </w:rPr>
        <w:t xml:space="preserve"> the Agency burden change is negligible.</w:t>
      </w:r>
    </w:p>
    <w:p w:rsidR="00807F60" w:rsidP="00807F60" w14:paraId="33E9AE82" w14:textId="3B585116">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t>Respondent</w:t>
      </w:r>
      <w:r>
        <w:rPr>
          <w:rFonts w:ascii="Calibri" w:hAnsi="Calibri" w:cs="Calibri"/>
        </w:rPr>
        <w:t xml:space="preserve">s </w:t>
      </w:r>
      <w:r w:rsidR="00DA7B63">
        <w:rPr>
          <w:rFonts w:ascii="Calibri" w:hAnsi="Calibri" w:cs="Calibri"/>
        </w:rPr>
        <w:t>would be</w:t>
      </w:r>
      <w:r w:rsidRPr="00FE27C0" w:rsidR="00DA7B63">
        <w:rPr>
          <w:rFonts w:ascii="Calibri" w:hAnsi="Calibri" w:cs="Calibri"/>
        </w:rPr>
        <w:t xml:space="preserve"> </w:t>
      </w:r>
      <w:r w:rsidRPr="00FE27C0">
        <w:rPr>
          <w:rFonts w:ascii="Calibri" w:hAnsi="Calibri" w:cs="Calibri"/>
        </w:rPr>
        <w:t>required to submit AIM response extension requests and exceptions through NeT-MSGP</w:t>
      </w:r>
      <w:r>
        <w:rPr>
          <w:rFonts w:ascii="Calibri" w:hAnsi="Calibri" w:cs="Calibri"/>
        </w:rPr>
        <w:t xml:space="preserve"> in the </w:t>
      </w:r>
      <w:r w:rsidR="00166377">
        <w:rPr>
          <w:rFonts w:ascii="Calibri" w:hAnsi="Calibri" w:cs="Calibri"/>
        </w:rPr>
        <w:t xml:space="preserve">proposed </w:t>
      </w:r>
      <w:r>
        <w:rPr>
          <w:rFonts w:ascii="Calibri" w:hAnsi="Calibri" w:cs="Calibri"/>
        </w:rPr>
        <w:t>2026 MSGP</w:t>
      </w:r>
      <w:r w:rsidRPr="00FE27C0">
        <w:rPr>
          <w:rFonts w:ascii="Calibri" w:hAnsi="Calibri" w:cs="Calibri"/>
        </w:rPr>
        <w:t xml:space="preserve">. This change could possibly decrease burden for the </w:t>
      </w:r>
      <w:r w:rsidR="00D6626E">
        <w:rPr>
          <w:rFonts w:ascii="Calibri" w:hAnsi="Calibri" w:cs="Calibri"/>
        </w:rPr>
        <w:t>a</w:t>
      </w:r>
      <w:r w:rsidRPr="00FE27C0">
        <w:rPr>
          <w:rFonts w:ascii="Calibri" w:hAnsi="Calibri" w:cs="Calibri"/>
        </w:rPr>
        <w:t xml:space="preserve">gency because in the 2021 MSGP </w:t>
      </w:r>
      <w:r>
        <w:t xml:space="preserve">respondents </w:t>
      </w:r>
      <w:r w:rsidRPr="00FE27C0">
        <w:rPr>
          <w:rFonts w:ascii="Calibri" w:hAnsi="Calibri" w:cs="Calibri"/>
        </w:rPr>
        <w:t xml:space="preserve">had to email the agency for an extensions and exceptions. This new change streamlines the extension and exception request process for </w:t>
      </w:r>
      <w:r w:rsidRPr="00FE27C0">
        <w:rPr>
          <w:rFonts w:ascii="Calibri" w:hAnsi="Calibri" w:cs="Calibri"/>
        </w:rPr>
        <w:t>benchmark monitoring. The decrease in burden is minor,</w:t>
      </w:r>
      <w:r>
        <w:rPr>
          <w:rFonts w:ascii="Calibri" w:hAnsi="Calibri" w:cs="Calibri"/>
        </w:rPr>
        <w:t xml:space="preserve"> so</w:t>
      </w:r>
      <w:r w:rsidRPr="00FE27C0">
        <w:rPr>
          <w:rFonts w:ascii="Calibri" w:hAnsi="Calibri" w:cs="Calibri"/>
        </w:rPr>
        <w:t xml:space="preserve"> the Agency burden change is negligible. </w:t>
      </w:r>
    </w:p>
    <w:p w:rsidR="0062787C" w:rsidP="0062787C" w14:paraId="6AB624C2" w14:textId="11CD8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bCs/>
        </w:rPr>
      </w:pPr>
      <w:r w:rsidRPr="00F658A3">
        <w:rPr>
          <w:rFonts w:ascii="Calibri" w:hAnsi="Calibri" w:cs="Calibri"/>
          <w:b/>
          <w:bCs/>
        </w:rPr>
        <w:t>Dewatering Turbidity Monitoring Report Review</w:t>
      </w:r>
    </w:p>
    <w:p w:rsidR="00C7689C" w:rsidRPr="00F658A3" w:rsidP="00403957" w14:paraId="75D70943" w14:textId="6DBF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F658A3">
        <w:rPr>
          <w:rFonts w:ascii="Calibri" w:hAnsi="Calibri" w:cs="Calibri"/>
        </w:rPr>
        <w:t xml:space="preserve">The </w:t>
      </w:r>
      <w:r>
        <w:rPr>
          <w:rFonts w:ascii="Calibri" w:hAnsi="Calibri" w:cs="Calibri"/>
        </w:rPr>
        <w:t>2026</w:t>
      </w:r>
      <w:r w:rsidRPr="00F658A3">
        <w:rPr>
          <w:rFonts w:ascii="Calibri" w:hAnsi="Calibri" w:cs="Calibri"/>
        </w:rPr>
        <w:t xml:space="preserve"> </w:t>
      </w:r>
      <w:r>
        <w:rPr>
          <w:rFonts w:ascii="Calibri" w:hAnsi="Calibri" w:cs="Calibri"/>
        </w:rPr>
        <w:t>MS</w:t>
      </w:r>
      <w:r w:rsidRPr="00F658A3">
        <w:rPr>
          <w:rFonts w:ascii="Calibri" w:hAnsi="Calibri" w:cs="Calibri"/>
        </w:rPr>
        <w:t xml:space="preserve">GP </w:t>
      </w:r>
      <w:r w:rsidR="005E5A76">
        <w:rPr>
          <w:rFonts w:ascii="Calibri" w:hAnsi="Calibri" w:cs="Calibri"/>
        </w:rPr>
        <w:t xml:space="preserve">would </w:t>
      </w:r>
      <w:r w:rsidRPr="00F658A3">
        <w:rPr>
          <w:rFonts w:ascii="Calibri" w:hAnsi="Calibri" w:cs="Calibri"/>
        </w:rPr>
        <w:t>require respondents</w:t>
      </w:r>
      <w:r w:rsidR="0003025A">
        <w:rPr>
          <w:rFonts w:ascii="Calibri" w:hAnsi="Calibri" w:cs="Calibri"/>
        </w:rPr>
        <w:t xml:space="preserve"> in th</w:t>
      </w:r>
      <w:r w:rsidR="008960D5">
        <w:rPr>
          <w:rFonts w:ascii="Calibri" w:hAnsi="Calibri" w:cs="Calibri"/>
        </w:rPr>
        <w:t>r</w:t>
      </w:r>
      <w:r w:rsidR="0003025A">
        <w:rPr>
          <w:rFonts w:ascii="Calibri" w:hAnsi="Calibri" w:cs="Calibri"/>
        </w:rPr>
        <w:t>e</w:t>
      </w:r>
      <w:r w:rsidR="008960D5">
        <w:rPr>
          <w:rFonts w:ascii="Calibri" w:hAnsi="Calibri" w:cs="Calibri"/>
        </w:rPr>
        <w:t>e</w:t>
      </w:r>
      <w:r w:rsidR="0003025A">
        <w:rPr>
          <w:rFonts w:ascii="Calibri" w:hAnsi="Calibri" w:cs="Calibri"/>
        </w:rPr>
        <w:t xml:space="preserve"> mining sectors</w:t>
      </w:r>
      <w:r w:rsidRPr="00F658A3">
        <w:rPr>
          <w:rFonts w:ascii="Calibri" w:hAnsi="Calibri" w:cs="Calibri"/>
        </w:rPr>
        <w:t xml:space="preserve"> </w:t>
      </w:r>
      <w:r w:rsidR="00143744">
        <w:rPr>
          <w:rFonts w:ascii="Calibri" w:hAnsi="Calibri" w:cs="Calibri"/>
        </w:rPr>
        <w:t>(</w:t>
      </w:r>
      <w:r w:rsidR="00500A82">
        <w:rPr>
          <w:rFonts w:ascii="Calibri" w:hAnsi="Calibri" w:cs="Calibri"/>
        </w:rPr>
        <w:t>Sectors G, H, and J; refer to Section 12.a for sector description)</w:t>
      </w:r>
      <w:r w:rsidR="00143744">
        <w:rPr>
          <w:rFonts w:ascii="Calibri" w:hAnsi="Calibri" w:cs="Calibri"/>
        </w:rPr>
        <w:t xml:space="preserve"> </w:t>
      </w:r>
      <w:r w:rsidRPr="00F658A3">
        <w:rPr>
          <w:rFonts w:ascii="Calibri" w:hAnsi="Calibri" w:cs="Calibri"/>
        </w:rPr>
        <w:t>to submit quarterly turbidity monitoring reports</w:t>
      </w:r>
      <w:r w:rsidR="00C0664E">
        <w:rPr>
          <w:rFonts w:ascii="Calibri" w:hAnsi="Calibri" w:cs="Calibri"/>
        </w:rPr>
        <w:t xml:space="preserve"> </w:t>
      </w:r>
      <w:r w:rsidR="0083661F">
        <w:rPr>
          <w:rFonts w:ascii="Calibri" w:hAnsi="Calibri" w:cs="Calibri"/>
        </w:rPr>
        <w:t>if the respondent</w:t>
      </w:r>
      <w:r w:rsidR="00C0664E">
        <w:rPr>
          <w:rFonts w:ascii="Calibri" w:hAnsi="Calibri" w:cs="Calibri"/>
        </w:rPr>
        <w:t xml:space="preserve"> </w:t>
      </w:r>
      <w:r w:rsidR="0004692D">
        <w:rPr>
          <w:rFonts w:ascii="Calibri" w:hAnsi="Calibri" w:cs="Calibri"/>
        </w:rPr>
        <w:t>indicate</w:t>
      </w:r>
      <w:r w:rsidR="0083661F">
        <w:rPr>
          <w:rFonts w:ascii="Calibri" w:hAnsi="Calibri" w:cs="Calibri"/>
        </w:rPr>
        <w:t>d</w:t>
      </w:r>
      <w:r w:rsidR="00403957">
        <w:rPr>
          <w:rFonts w:ascii="Calibri" w:hAnsi="Calibri" w:cs="Calibri"/>
        </w:rPr>
        <w:t xml:space="preserve"> on their NOI that</w:t>
      </w:r>
      <w:r w:rsidR="0004692D">
        <w:rPr>
          <w:rFonts w:ascii="Calibri" w:hAnsi="Calibri" w:cs="Calibri"/>
        </w:rPr>
        <w:t xml:space="preserve"> they </w:t>
      </w:r>
      <w:r w:rsidR="00A51C53">
        <w:rPr>
          <w:rFonts w:ascii="Calibri" w:hAnsi="Calibri" w:cs="Calibri"/>
        </w:rPr>
        <w:t>anticipate</w:t>
      </w:r>
      <w:r w:rsidR="0004692D">
        <w:rPr>
          <w:rFonts w:ascii="Calibri" w:hAnsi="Calibri" w:cs="Calibri"/>
        </w:rPr>
        <w:t xml:space="preserve"> </w:t>
      </w:r>
      <w:r w:rsidR="00403957">
        <w:rPr>
          <w:rFonts w:ascii="Calibri" w:hAnsi="Calibri" w:cs="Calibri"/>
        </w:rPr>
        <w:t xml:space="preserve">conducting construction </w:t>
      </w:r>
      <w:r w:rsidR="0004692D">
        <w:rPr>
          <w:rFonts w:ascii="Calibri" w:hAnsi="Calibri" w:cs="Calibri"/>
        </w:rPr>
        <w:t>dewatering activities during the permit term</w:t>
      </w:r>
      <w:r w:rsidRPr="00F658A3">
        <w:rPr>
          <w:rFonts w:ascii="Calibri" w:hAnsi="Calibri" w:cs="Calibri"/>
        </w:rPr>
        <w:t>. EPA estimates the Agency will spend 0.16 hours reviewing each turbidity monitoring report submitted by applicable respondents. Of those reports, EPA estimates the Agency will need to follow up on 20% of submitted reports and spend 0.5 hours performing the follow-up. These assumptions are consistent with the</w:t>
      </w:r>
      <w:r w:rsidR="00C00D24">
        <w:rPr>
          <w:rFonts w:ascii="Calibri" w:hAnsi="Calibri" w:cs="Calibri"/>
        </w:rPr>
        <w:t xml:space="preserve"> 2022 CGP ICR and the</w:t>
      </w:r>
      <w:r w:rsidRPr="00F658A3">
        <w:rPr>
          <w:rFonts w:ascii="Calibri" w:hAnsi="Calibri" w:cs="Calibri"/>
        </w:rPr>
        <w:t xml:space="preserve"> NPDES Program ICR estimation for agency review of DMRs fo</w:t>
      </w:r>
      <w:r w:rsidRPr="00F658A3">
        <w:rPr>
          <w:rFonts w:ascii="Calibri" w:hAnsi="Calibri" w:cs="Calibri"/>
        </w:rPr>
        <w:t>r stormwater industrial permits.</w:t>
      </w:r>
    </w:p>
    <w:p w:rsidR="00DF08DC" w:rsidRPr="00DF08DC" w:rsidP="00DF08DC" w14:paraId="66282A67" w14:textId="119BC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rPr>
      </w:pPr>
      <w:r w:rsidRPr="00DF08DC">
        <w:rPr>
          <w:rFonts w:ascii="Calibri" w:hAnsi="Calibri" w:cs="Calibri"/>
          <w:b/>
        </w:rPr>
        <w:t>Other Information</w:t>
      </w:r>
      <w:r>
        <w:rPr>
          <w:rFonts w:ascii="Calibri" w:hAnsi="Calibri" w:cs="Calibri"/>
          <w:b/>
        </w:rPr>
        <w:t>:</w:t>
      </w:r>
    </w:p>
    <w:p w:rsidR="005F1D64" w:rsidRPr="001B0C1B" w:rsidP="00AE0083" w14:paraId="5F74E0A6" w14:textId="7E3A1986">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b/>
        </w:rPr>
      </w:pPr>
      <w:r w:rsidRPr="001E010D">
        <w:rPr>
          <w:rFonts w:ascii="Calibri" w:hAnsi="Calibri" w:cs="Calibri"/>
          <w:b/>
        </w:rPr>
        <w:t>New Discharges and New Sources to Water Quality-Impaired Waters</w:t>
      </w:r>
      <w:r w:rsidR="00C2799A">
        <w:rPr>
          <w:rFonts w:ascii="Calibri" w:hAnsi="Calibri" w:cs="Calibri"/>
        </w:rPr>
        <w:t xml:space="preserve">: </w:t>
      </w:r>
      <w:r w:rsidRPr="00C2799A">
        <w:rPr>
          <w:rFonts w:ascii="Calibri" w:hAnsi="Calibri" w:cs="Calibri"/>
        </w:rPr>
        <w:t xml:space="preserve">Based on EPA’s experience with the 2021 MSGP, EPA anticipates spending approximately 1 hour assisting the small subset of the 164 </w:t>
      </w:r>
      <w:r w:rsidR="0083498D">
        <w:rPr>
          <w:rFonts w:ascii="Calibri" w:hAnsi="Calibri" w:cs="Calibri"/>
        </w:rPr>
        <w:t>respondents</w:t>
      </w:r>
      <w:r w:rsidRPr="00C2799A">
        <w:rPr>
          <w:rFonts w:ascii="Calibri" w:hAnsi="Calibri" w:cs="Calibri"/>
        </w:rPr>
        <w:t xml:space="preserve"> that </w:t>
      </w:r>
      <w:r w:rsidR="0083498D">
        <w:rPr>
          <w:rFonts w:ascii="Calibri" w:hAnsi="Calibri" w:cs="Calibri"/>
        </w:rPr>
        <w:t>would be</w:t>
      </w:r>
      <w:r w:rsidRPr="00C2799A">
        <w:rPr>
          <w:rFonts w:ascii="Calibri" w:hAnsi="Calibri" w:cs="Calibri"/>
        </w:rPr>
        <w:t xml:space="preserve"> subject to </w:t>
      </w:r>
      <w:r w:rsidR="004C62A6">
        <w:rPr>
          <w:rFonts w:ascii="Calibri" w:hAnsi="Calibri" w:cs="Calibri"/>
        </w:rPr>
        <w:t>proposed 2026 MSGP requirements for</w:t>
      </w:r>
      <w:r w:rsidRPr="00C2799A">
        <w:rPr>
          <w:rFonts w:ascii="Calibri" w:hAnsi="Calibri" w:cs="Calibri"/>
        </w:rPr>
        <w:t xml:space="preserve"> new discharges and new sources to water quality-impaired waters. The time </w:t>
      </w:r>
      <w:r w:rsidR="00806588">
        <w:rPr>
          <w:rFonts w:ascii="Calibri" w:hAnsi="Calibri" w:cs="Calibri"/>
        </w:rPr>
        <w:t>would</w:t>
      </w:r>
      <w:r w:rsidRPr="00C2799A" w:rsidR="00806588">
        <w:rPr>
          <w:rFonts w:ascii="Calibri" w:hAnsi="Calibri" w:cs="Calibri"/>
        </w:rPr>
        <w:t xml:space="preserve"> </w:t>
      </w:r>
      <w:r w:rsidRPr="00C2799A">
        <w:rPr>
          <w:rFonts w:ascii="Calibri" w:hAnsi="Calibri" w:cs="Calibri"/>
        </w:rPr>
        <w:t>not change from the 2021 MSGP</w:t>
      </w:r>
      <w:r w:rsidR="00E353AC">
        <w:rPr>
          <w:rFonts w:ascii="Calibri" w:hAnsi="Calibri" w:cs="Calibri"/>
        </w:rPr>
        <w:t xml:space="preserve"> (1</w:t>
      </w:r>
      <w:r w:rsidR="004D40E0">
        <w:rPr>
          <w:rFonts w:ascii="Calibri" w:hAnsi="Calibri" w:cs="Calibri"/>
        </w:rPr>
        <w:t xml:space="preserve"> hour per respondent)</w:t>
      </w:r>
      <w:r w:rsidRPr="00C2799A">
        <w:rPr>
          <w:rFonts w:ascii="Calibri" w:hAnsi="Calibri" w:cs="Calibri"/>
        </w:rPr>
        <w:t xml:space="preserve">, however facilities discharging into impaired waters with approved TMDLs </w:t>
      </w:r>
      <w:r w:rsidR="002172F4">
        <w:rPr>
          <w:rFonts w:ascii="Calibri" w:hAnsi="Calibri" w:cs="Calibri"/>
        </w:rPr>
        <w:t>would</w:t>
      </w:r>
      <w:r w:rsidRPr="00C2799A" w:rsidR="002172F4">
        <w:rPr>
          <w:rFonts w:ascii="Calibri" w:hAnsi="Calibri" w:cs="Calibri"/>
        </w:rPr>
        <w:t xml:space="preserve"> </w:t>
      </w:r>
      <w:r w:rsidRPr="00C2799A">
        <w:rPr>
          <w:rFonts w:ascii="Calibri" w:hAnsi="Calibri" w:cs="Calibri"/>
        </w:rPr>
        <w:t xml:space="preserve">now </w:t>
      </w:r>
      <w:r w:rsidR="002172F4">
        <w:rPr>
          <w:rFonts w:ascii="Calibri" w:hAnsi="Calibri" w:cs="Calibri"/>
        </w:rPr>
        <w:t>be</w:t>
      </w:r>
      <w:r w:rsidRPr="00C2799A">
        <w:rPr>
          <w:rFonts w:ascii="Calibri" w:hAnsi="Calibri" w:cs="Calibri"/>
        </w:rPr>
        <w:t xml:space="preserve"> subject to impaired waters requirements based on the new 2026 MSGP requirements. The popu</w:t>
      </w:r>
      <w:r w:rsidRPr="00C2799A">
        <w:rPr>
          <w:rFonts w:ascii="Calibri" w:hAnsi="Calibri" w:cs="Calibri"/>
        </w:rPr>
        <w:t>lation of responses increases</w:t>
      </w:r>
      <w:r w:rsidR="0067205F">
        <w:rPr>
          <w:rFonts w:ascii="Calibri" w:hAnsi="Calibri" w:cs="Calibri"/>
        </w:rPr>
        <w:t>.</w:t>
      </w:r>
      <w:r w:rsidRPr="00C2799A">
        <w:rPr>
          <w:rFonts w:ascii="Calibri" w:hAnsi="Calibri" w:cs="Calibri"/>
        </w:rPr>
        <w:t xml:space="preserve"> </w:t>
      </w:r>
    </w:p>
    <w:p w:rsidR="00640A93" w:rsidP="005357E7" w14:paraId="4103484B" w14:textId="6D75B38E">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901BD3">
        <w:rPr>
          <w:rFonts w:ascii="Calibri" w:hAnsi="Calibri" w:cs="Calibri"/>
          <w:b/>
        </w:rPr>
        <w:t>Discharges to a Federal CERCLA Site</w:t>
      </w:r>
      <w:r w:rsidR="00C2799A">
        <w:rPr>
          <w:rFonts w:ascii="Calibri" w:hAnsi="Calibri" w:cs="Calibri"/>
          <w:b/>
        </w:rPr>
        <w:t>:</w:t>
      </w:r>
      <w:r w:rsidRPr="00901BD3">
        <w:rPr>
          <w:rFonts w:ascii="Calibri" w:hAnsi="Calibri" w:cs="Calibri"/>
          <w:b/>
        </w:rPr>
        <w:t xml:space="preserve"> </w:t>
      </w:r>
      <w:r w:rsidRPr="00901BD3">
        <w:rPr>
          <w:rFonts w:ascii="Calibri" w:hAnsi="Calibri" w:cs="Calibri"/>
        </w:rPr>
        <w:t xml:space="preserve">Based on EPA’s experience with the 2015 </w:t>
      </w:r>
      <w:r w:rsidR="00A63475">
        <w:rPr>
          <w:rFonts w:ascii="Calibri" w:hAnsi="Calibri" w:cs="Calibri"/>
        </w:rPr>
        <w:t>and 202</w:t>
      </w:r>
      <w:r w:rsidR="001548F0">
        <w:rPr>
          <w:rFonts w:ascii="Calibri" w:hAnsi="Calibri" w:cs="Calibri"/>
        </w:rPr>
        <w:t xml:space="preserve">1 </w:t>
      </w:r>
      <w:r w:rsidRPr="00901BD3">
        <w:rPr>
          <w:rFonts w:ascii="Calibri" w:hAnsi="Calibri" w:cs="Calibri"/>
        </w:rPr>
        <w:t xml:space="preserve">MSGP, EPA anticipated spending approximately 2 hours assisting the small subset of </w:t>
      </w:r>
      <w:r>
        <w:t>respondent</w:t>
      </w:r>
      <w:r w:rsidRPr="00901BD3">
        <w:rPr>
          <w:rFonts w:ascii="Calibri" w:hAnsi="Calibri" w:cs="Calibri"/>
        </w:rPr>
        <w:t xml:space="preserve">s. The 2021 MSGP ICR estimated 10 respondents that may be subject to Federal CERCLA site discharge eligibility requirements, however there was only 1 facility in Region 10 that discharged into a CERCLA site during the 2021 MSGP permit term. </w:t>
      </w:r>
      <w:r w:rsidR="00A2427B">
        <w:rPr>
          <w:rFonts w:ascii="Calibri" w:hAnsi="Calibri" w:cs="Calibri"/>
        </w:rPr>
        <w:t>Under the proposed 2026 MSGP, d</w:t>
      </w:r>
      <w:r w:rsidR="001548F0">
        <w:rPr>
          <w:rFonts w:ascii="Calibri" w:hAnsi="Calibri" w:cs="Calibri"/>
        </w:rPr>
        <w:t xml:space="preserve">ischarges in </w:t>
      </w:r>
      <w:r w:rsidRPr="00901BD3">
        <w:rPr>
          <w:rFonts w:ascii="Calibri" w:hAnsi="Calibri" w:cs="Calibri"/>
        </w:rPr>
        <w:t xml:space="preserve">Region 1 </w:t>
      </w:r>
      <w:r w:rsidR="001548F0">
        <w:rPr>
          <w:rFonts w:ascii="Calibri" w:hAnsi="Calibri" w:cs="Calibri"/>
        </w:rPr>
        <w:t>would now have</w:t>
      </w:r>
      <w:r w:rsidRPr="00901BD3">
        <w:rPr>
          <w:rFonts w:ascii="Calibri" w:hAnsi="Calibri" w:cs="Calibri"/>
        </w:rPr>
        <w:t xml:space="preserve"> CERCLA </w:t>
      </w:r>
      <w:r w:rsidR="00FC5D9F">
        <w:rPr>
          <w:rFonts w:ascii="Calibri" w:hAnsi="Calibri" w:cs="Calibri"/>
        </w:rPr>
        <w:t xml:space="preserve">site discharge </w:t>
      </w:r>
      <w:r w:rsidRPr="00901BD3">
        <w:rPr>
          <w:rFonts w:ascii="Calibri" w:hAnsi="Calibri" w:cs="Calibri"/>
        </w:rPr>
        <w:t>requirements, however the Agency determined that the burden would remain unchanged due t</w:t>
      </w:r>
      <w:r w:rsidRPr="00901BD3">
        <w:rPr>
          <w:rFonts w:ascii="Calibri" w:hAnsi="Calibri" w:cs="Calibri"/>
        </w:rPr>
        <w:t>o the over-estimation in the 2021 MSGP ICR</w:t>
      </w:r>
      <w:r w:rsidR="00A73202">
        <w:rPr>
          <w:rFonts w:ascii="Calibri" w:hAnsi="Calibri" w:cs="Calibri"/>
        </w:rPr>
        <w:t xml:space="preserve"> and the incorporation of that overestimation into the NPDES Program ICR</w:t>
      </w:r>
      <w:r w:rsidRPr="00901BD3">
        <w:rPr>
          <w:rFonts w:ascii="Calibri" w:hAnsi="Calibri" w:cs="Calibri"/>
        </w:rPr>
        <w:t>.</w:t>
      </w:r>
    </w:p>
    <w:p w:rsidR="005357E7" w:rsidP="005357E7" w14:paraId="369A25F9" w14:textId="56C494B6">
      <w:pPr>
        <w:pStyle w:val="Heading1"/>
      </w:pPr>
      <w:r w:rsidRPr="005357E7">
        <w:t>14</w:t>
      </w:r>
      <w:r w:rsidR="0047022D">
        <w:t>c</w:t>
      </w:r>
      <w:r w:rsidRPr="005357E7">
        <w:t>. Agency</w:t>
      </w:r>
      <w:r>
        <w:t xml:space="preserve"> Non-Labor Costs</w:t>
      </w:r>
    </w:p>
    <w:p w:rsidR="005357E7" w:rsidP="005357E7" w14:paraId="1C93AB83" w14:textId="27F886E5">
      <w:r w:rsidRPr="0047022D">
        <w:t>There are no anticipated non-labor costs for the Agency.</w:t>
      </w:r>
    </w:p>
    <w:p w:rsidR="0047022D" w:rsidRPr="00825882" w:rsidP="00825882" w14:paraId="7EA28C36" w14:textId="555E4CA7">
      <w:pPr>
        <w:pStyle w:val="Heading1"/>
        <w:rPr>
          <w:b w:val="0"/>
          <w:bCs w:val="0"/>
        </w:rPr>
      </w:pPr>
      <w:r w:rsidRPr="005357E7">
        <w:t>14</w:t>
      </w:r>
      <w:r>
        <w:t>d</w:t>
      </w:r>
      <w:r w:rsidRPr="005357E7">
        <w:t>. Agency</w:t>
      </w:r>
      <w:r>
        <w:t xml:space="preserve"> Total Costs</w:t>
      </w:r>
    </w:p>
    <w:p w:rsidR="00666C60" w:rsidP="00666C60" w14:paraId="15D6015B" w14:textId="00F90FBD">
      <w:pPr>
        <w:spacing w:before="120" w:after="0"/>
        <w:rPr>
          <w:rFonts w:ascii="Calibri" w:hAnsi="Calibri" w:cs="Calibri"/>
        </w:rPr>
      </w:pPr>
      <w:r>
        <w:rPr>
          <w:rFonts w:ascii="Calibri" w:hAnsi="Calibri" w:cs="Calibri"/>
        </w:rPr>
        <w:t>EPA</w:t>
      </w:r>
      <w:r w:rsidRPr="001E010D">
        <w:rPr>
          <w:rFonts w:ascii="Calibri" w:hAnsi="Calibri" w:cs="Calibri"/>
        </w:rPr>
        <w:t xml:space="preserve"> determined the hourly employment cost of federal employees using methodology established in previous ICRs. According to the U.S. Office of Personnel Management, </w:t>
      </w:r>
      <w:r>
        <w:rPr>
          <w:rFonts w:ascii="Calibri" w:hAnsi="Calibri" w:cs="Calibri"/>
        </w:rPr>
        <w:t>2024</w:t>
      </w:r>
      <w:r w:rsidRPr="001E010D">
        <w:rPr>
          <w:rFonts w:ascii="Calibri" w:hAnsi="Calibri" w:cs="Calibri"/>
        </w:rPr>
        <w:t xml:space="preserve"> General Schedule (</w:t>
      </w:r>
      <w:r>
        <w:rPr>
          <w:rFonts w:ascii="Calibri" w:hAnsi="Calibri" w:cs="Calibri"/>
        </w:rPr>
        <w:t>2024</w:t>
      </w:r>
      <w:r w:rsidRPr="001E010D">
        <w:rPr>
          <w:rFonts w:ascii="Calibri" w:hAnsi="Calibri" w:cs="Calibri"/>
        </w:rPr>
        <w:t>-GS)</w:t>
      </w:r>
      <w:r>
        <w:rPr>
          <w:rFonts w:ascii="Calibri" w:hAnsi="Calibri" w:cs="Calibri"/>
        </w:rPr>
        <w:t xml:space="preserve"> (link: </w:t>
      </w:r>
      <w:hyperlink r:id="rId12" w:history="1">
        <w:r w:rsidRPr="00101DB6">
          <w:rPr>
            <w:rStyle w:val="Hyperlink"/>
          </w:rPr>
          <w:t>https://www.opm.gov/policy-data-oversight/pay-leave/salaries-wages/salary-tables/pdf/2024/GS.pdf</w:t>
        </w:r>
      </w:hyperlink>
      <w:r>
        <w:t xml:space="preserve"> accessed July 9, 2024)</w:t>
      </w:r>
      <w:r w:rsidRPr="001E010D">
        <w:rPr>
          <w:rFonts w:ascii="Calibri" w:hAnsi="Calibri" w:cs="Calibri"/>
        </w:rPr>
        <w:t>, the average annual salary of a government employee at the GS-9, Step 10 level is $</w:t>
      </w:r>
      <w:r>
        <w:rPr>
          <w:rFonts w:ascii="Calibri" w:hAnsi="Calibri" w:cs="Calibri"/>
        </w:rPr>
        <w:t>66,731</w:t>
      </w:r>
      <w:r w:rsidRPr="001E010D">
        <w:rPr>
          <w:rFonts w:ascii="Calibri" w:hAnsi="Calibri" w:cs="Calibri"/>
        </w:rPr>
        <w:t>. At 2,080 hours per year, the hourly wage is $</w:t>
      </w:r>
      <w:r>
        <w:rPr>
          <w:rFonts w:ascii="Calibri" w:hAnsi="Calibri" w:cs="Calibri"/>
        </w:rPr>
        <w:t>32.08</w:t>
      </w:r>
      <w:r w:rsidRPr="001E010D">
        <w:rPr>
          <w:rFonts w:ascii="Calibri" w:hAnsi="Calibri" w:cs="Calibri"/>
        </w:rPr>
        <w:t>. Assuming overhead costs of 60</w:t>
      </w:r>
      <w:r w:rsidR="00D6392F">
        <w:rPr>
          <w:rFonts w:ascii="Calibri" w:hAnsi="Calibri" w:cs="Calibri"/>
        </w:rPr>
        <w:t>%</w:t>
      </w:r>
      <w:r w:rsidRPr="001E010D">
        <w:rPr>
          <w:rFonts w:ascii="Calibri" w:hAnsi="Calibri" w:cs="Calibri"/>
        </w:rPr>
        <w:t>, or $</w:t>
      </w:r>
      <w:r>
        <w:rPr>
          <w:rFonts w:ascii="Calibri" w:hAnsi="Calibri" w:cs="Calibri"/>
        </w:rPr>
        <w:t>19.25</w:t>
      </w:r>
      <w:r w:rsidRPr="001E010D">
        <w:rPr>
          <w:rFonts w:ascii="Calibri" w:hAnsi="Calibri" w:cs="Calibri"/>
        </w:rPr>
        <w:t xml:space="preserve"> per hour, the fully loaded cost of employment for a federal employee is $</w:t>
      </w:r>
      <w:r>
        <w:rPr>
          <w:rFonts w:ascii="Calibri" w:hAnsi="Calibri" w:cs="Calibri"/>
        </w:rPr>
        <w:t>51.33</w:t>
      </w:r>
      <w:r w:rsidRPr="001E010D">
        <w:rPr>
          <w:rFonts w:ascii="Calibri" w:hAnsi="Calibri" w:cs="Calibri"/>
        </w:rPr>
        <w:t>.</w:t>
      </w:r>
    </w:p>
    <w:p w:rsidR="00FB1842" w:rsidP="00FB1842" w14:paraId="10E9C9BF" w14:textId="77777777">
      <w:pPr>
        <w:spacing w:after="100" w:afterAutospacing="1" w:line="240" w:lineRule="auto"/>
        <w:contextualSpacing/>
        <w:rPr>
          <w:rFonts w:ascii="Calibri" w:hAnsi="Calibri" w:cs="Calibri"/>
        </w:rPr>
      </w:pPr>
    </w:p>
    <w:p w:rsidR="00FB1842" w:rsidP="00FB1842" w14:paraId="7380DA3D" w14:textId="3CA00C31">
      <w:pPr>
        <w:spacing w:after="100" w:afterAutospacing="1" w:line="240" w:lineRule="auto"/>
        <w:contextualSpacing/>
        <w:rPr>
          <w:rFonts w:ascii="Calibri" w:hAnsi="Calibri" w:cs="Calibri"/>
        </w:rPr>
      </w:pPr>
      <w:r w:rsidRPr="001E010D">
        <w:rPr>
          <w:rFonts w:ascii="Calibri" w:hAnsi="Calibri" w:cs="Calibri"/>
        </w:rPr>
        <w:t xml:space="preserve">The bottom-line burden hours and costs for the Agency are the total annual hours and costs collectively incurred for all activities during the </w:t>
      </w:r>
      <w:r>
        <w:rPr>
          <w:rFonts w:ascii="Calibri" w:hAnsi="Calibri" w:cs="Calibri"/>
        </w:rPr>
        <w:t xml:space="preserve">3-year </w:t>
      </w:r>
      <w:r w:rsidRPr="001E010D">
        <w:rPr>
          <w:rFonts w:ascii="Calibri" w:hAnsi="Calibri" w:cs="Calibri"/>
        </w:rPr>
        <w:t xml:space="preserve">period covered by this ICR. </w:t>
      </w:r>
      <w:r w:rsidR="00DA34C1">
        <w:rPr>
          <w:rFonts w:ascii="Calibri" w:hAnsi="Calibri" w:cs="Calibri"/>
        </w:rPr>
        <w:t>Table 5</w:t>
      </w:r>
      <w:r w:rsidRPr="001E010D">
        <w:rPr>
          <w:rFonts w:ascii="Calibri" w:hAnsi="Calibri" w:cs="Calibri"/>
        </w:rPr>
        <w:t xml:space="preserve"> below provides a summary of the average annual Agency burden hours and costs.</w:t>
      </w:r>
    </w:p>
    <w:p w:rsidR="00FB1842" w:rsidP="00FB1842" w14:paraId="314155B0" w14:textId="77777777">
      <w:pPr>
        <w:spacing w:after="100" w:afterAutospacing="1" w:line="240" w:lineRule="auto"/>
        <w:contextualSpacing/>
      </w:pPr>
    </w:p>
    <w:tbl>
      <w:tblPr>
        <w:tblStyle w:val="TableGrid"/>
        <w:tblW w:w="5130" w:type="dxa"/>
        <w:tblInd w:w="-5" w:type="dxa"/>
        <w:tblLook w:val="04A0"/>
      </w:tblPr>
      <w:tblGrid>
        <w:gridCol w:w="2700"/>
        <w:gridCol w:w="2430"/>
      </w:tblGrid>
      <w:tr w14:paraId="48C2CBC0" w14:textId="77777777" w:rsidTr="000714BA">
        <w:tblPrEx>
          <w:tblW w:w="5130" w:type="dxa"/>
          <w:tblInd w:w="-5" w:type="dxa"/>
          <w:tblLook w:val="04A0"/>
        </w:tblPrEx>
        <w:tc>
          <w:tcPr>
            <w:tcW w:w="2700" w:type="dxa"/>
            <w:shd w:val="pct12" w:color="auto" w:fill="auto"/>
          </w:tcPr>
          <w:p w:rsidR="000714BA" w:rsidRPr="004023BA" w:rsidP="003C0399" w14:paraId="21719560" w14:textId="77777777">
            <w:pPr>
              <w:spacing w:after="100" w:afterAutospacing="1"/>
              <w:contextualSpacing/>
              <w:jc w:val="center"/>
              <w:rPr>
                <w:rFonts w:ascii="Calibri" w:hAnsi="Calibri" w:cs="Calibri"/>
                <w:bCs/>
              </w:rPr>
            </w:pPr>
          </w:p>
        </w:tc>
        <w:tc>
          <w:tcPr>
            <w:tcW w:w="2430" w:type="dxa"/>
            <w:shd w:val="pct12" w:color="auto" w:fill="auto"/>
          </w:tcPr>
          <w:p w:rsidR="000714BA" w:rsidP="003C0399" w14:paraId="2B871C8C" w14:textId="44F8DFC3">
            <w:pPr>
              <w:spacing w:after="100" w:afterAutospacing="1"/>
              <w:contextualSpacing/>
              <w:jc w:val="center"/>
              <w:rPr>
                <w:rFonts w:ascii="Calibri" w:hAnsi="Calibri" w:cs="Calibri"/>
                <w:b/>
              </w:rPr>
            </w:pPr>
            <w:r>
              <w:rPr>
                <w:rFonts w:ascii="Calibri" w:hAnsi="Calibri" w:cs="Calibri"/>
                <w:b/>
              </w:rPr>
              <w:t>Proposed 2026 MSGP</w:t>
            </w:r>
          </w:p>
          <w:p w:rsidR="000714BA" w:rsidRPr="004023BA" w:rsidP="003C0399" w14:paraId="442489AF" w14:textId="0067DC9D">
            <w:pPr>
              <w:spacing w:after="100" w:afterAutospacing="1"/>
              <w:contextualSpacing/>
              <w:jc w:val="center"/>
              <w:rPr>
                <w:rFonts w:ascii="Calibri" w:hAnsi="Calibri" w:cs="Calibri"/>
                <w:bCs/>
              </w:rPr>
            </w:pPr>
            <w:r w:rsidRPr="00B37B51">
              <w:rPr>
                <w:rFonts w:ascii="Calibri" w:hAnsi="Calibri" w:cs="Calibri"/>
                <w:b/>
              </w:rPr>
              <w:t>Incremental Change</w:t>
            </w:r>
          </w:p>
        </w:tc>
      </w:tr>
      <w:tr w14:paraId="3E8B75E1" w14:textId="77777777" w:rsidTr="000714BA">
        <w:tblPrEx>
          <w:tblW w:w="5130" w:type="dxa"/>
          <w:tblInd w:w="-5" w:type="dxa"/>
          <w:tblLook w:val="04A0"/>
        </w:tblPrEx>
        <w:tc>
          <w:tcPr>
            <w:tcW w:w="2700" w:type="dxa"/>
            <w:shd w:val="clear" w:color="auto" w:fill="auto"/>
          </w:tcPr>
          <w:p w:rsidR="000714BA" w:rsidRPr="004023BA" w:rsidP="003C0399" w14:paraId="740F6208" w14:textId="77777777">
            <w:pPr>
              <w:spacing w:after="100" w:afterAutospacing="1"/>
              <w:contextualSpacing/>
              <w:rPr>
                <w:rFonts w:ascii="Calibri" w:hAnsi="Calibri" w:cs="Calibri"/>
                <w:bCs/>
              </w:rPr>
            </w:pPr>
            <w:r>
              <w:rPr>
                <w:rFonts w:ascii="Calibri" w:hAnsi="Calibri" w:cs="Calibri"/>
                <w:bCs/>
              </w:rPr>
              <w:t>Burden (hours)</w:t>
            </w:r>
          </w:p>
        </w:tc>
        <w:tc>
          <w:tcPr>
            <w:tcW w:w="2430" w:type="dxa"/>
          </w:tcPr>
          <w:p w:rsidR="000714BA" w:rsidRPr="004023BA" w:rsidP="003C0399" w14:paraId="250B5368" w14:textId="52F87BDF">
            <w:pPr>
              <w:spacing w:after="100" w:afterAutospacing="1"/>
              <w:contextualSpacing/>
              <w:jc w:val="right"/>
              <w:rPr>
                <w:rFonts w:ascii="Calibri" w:hAnsi="Calibri" w:cs="Calibri"/>
                <w:bCs/>
              </w:rPr>
            </w:pPr>
            <w:r>
              <w:rPr>
                <w:rFonts w:ascii="Calibri" w:hAnsi="Calibri" w:cs="Calibri"/>
                <w:bCs/>
              </w:rPr>
              <w:t>198</w:t>
            </w:r>
            <w:r>
              <w:rPr>
                <w:bCs/>
              </w:rPr>
              <w:t xml:space="preserve"> hours</w:t>
            </w:r>
          </w:p>
        </w:tc>
      </w:tr>
      <w:tr w14:paraId="14B49B42" w14:textId="77777777" w:rsidTr="000714BA">
        <w:tblPrEx>
          <w:tblW w:w="5130" w:type="dxa"/>
          <w:tblInd w:w="-5" w:type="dxa"/>
          <w:tblLook w:val="04A0"/>
        </w:tblPrEx>
        <w:tc>
          <w:tcPr>
            <w:tcW w:w="2700" w:type="dxa"/>
            <w:shd w:val="clear" w:color="auto" w:fill="auto"/>
          </w:tcPr>
          <w:p w:rsidR="000714BA" w:rsidRPr="004023BA" w:rsidP="003C0399" w14:paraId="0735FBF4" w14:textId="77777777">
            <w:pPr>
              <w:spacing w:after="100" w:afterAutospacing="1"/>
              <w:contextualSpacing/>
              <w:rPr>
                <w:rFonts w:ascii="Calibri" w:hAnsi="Calibri" w:cs="Calibri"/>
                <w:bCs/>
              </w:rPr>
            </w:pPr>
            <w:r>
              <w:rPr>
                <w:rFonts w:ascii="Calibri" w:hAnsi="Calibri" w:cs="Calibri"/>
                <w:bCs/>
              </w:rPr>
              <w:t>Costs – Labor (dollars)</w:t>
            </w:r>
          </w:p>
        </w:tc>
        <w:tc>
          <w:tcPr>
            <w:tcW w:w="2430" w:type="dxa"/>
          </w:tcPr>
          <w:p w:rsidR="000714BA" w:rsidRPr="004023BA" w:rsidP="003C0399" w14:paraId="145B7C1A" w14:textId="285CC4D7">
            <w:pPr>
              <w:spacing w:after="100" w:afterAutospacing="1"/>
              <w:contextualSpacing/>
              <w:jc w:val="right"/>
              <w:rPr>
                <w:rFonts w:ascii="Calibri" w:hAnsi="Calibri" w:cs="Calibri"/>
                <w:bCs/>
              </w:rPr>
            </w:pPr>
            <w:r>
              <w:rPr>
                <w:rFonts w:ascii="Calibri" w:hAnsi="Calibri" w:cs="Calibri"/>
                <w:bCs/>
              </w:rPr>
              <w:t>$1</w:t>
            </w:r>
            <w:r>
              <w:rPr>
                <w:bCs/>
              </w:rPr>
              <w:t>0,165.38</w:t>
            </w:r>
          </w:p>
        </w:tc>
      </w:tr>
      <w:tr w14:paraId="129D60C6" w14:textId="77777777" w:rsidTr="000714BA">
        <w:tblPrEx>
          <w:tblW w:w="5130" w:type="dxa"/>
          <w:tblInd w:w="-5" w:type="dxa"/>
          <w:tblLook w:val="04A0"/>
        </w:tblPrEx>
        <w:tc>
          <w:tcPr>
            <w:tcW w:w="2700" w:type="dxa"/>
            <w:shd w:val="clear" w:color="auto" w:fill="auto"/>
          </w:tcPr>
          <w:p w:rsidR="000714BA" w:rsidRPr="004023BA" w:rsidP="003C0399" w14:paraId="6FB4F416" w14:textId="77777777">
            <w:pPr>
              <w:spacing w:after="100" w:afterAutospacing="1"/>
              <w:contextualSpacing/>
              <w:rPr>
                <w:rFonts w:ascii="Calibri" w:hAnsi="Calibri" w:cs="Calibri"/>
                <w:bCs/>
              </w:rPr>
            </w:pPr>
            <w:r>
              <w:rPr>
                <w:rFonts w:ascii="Calibri" w:hAnsi="Calibri" w:cs="Calibri"/>
                <w:bCs/>
              </w:rPr>
              <w:t>Costs – Capital (dollars)</w:t>
            </w:r>
          </w:p>
        </w:tc>
        <w:tc>
          <w:tcPr>
            <w:tcW w:w="2430" w:type="dxa"/>
          </w:tcPr>
          <w:p w:rsidR="000714BA" w:rsidRPr="004023BA" w:rsidP="003C0399" w14:paraId="339C6A0E" w14:textId="18E10D8C">
            <w:pPr>
              <w:spacing w:after="100" w:afterAutospacing="1"/>
              <w:contextualSpacing/>
              <w:jc w:val="right"/>
              <w:rPr>
                <w:rFonts w:ascii="Calibri" w:hAnsi="Calibri" w:cs="Calibri"/>
                <w:bCs/>
              </w:rPr>
            </w:pPr>
            <w:r>
              <w:rPr>
                <w:rFonts w:ascii="Calibri" w:hAnsi="Calibri" w:cs="Calibri"/>
                <w:bCs/>
              </w:rPr>
              <w:t>$0</w:t>
            </w:r>
          </w:p>
        </w:tc>
      </w:tr>
      <w:tr w14:paraId="0209D0EE" w14:textId="77777777" w:rsidTr="000714BA">
        <w:tblPrEx>
          <w:tblW w:w="5130" w:type="dxa"/>
          <w:tblInd w:w="-5" w:type="dxa"/>
          <w:tblLook w:val="04A0"/>
        </w:tblPrEx>
        <w:tc>
          <w:tcPr>
            <w:tcW w:w="2700" w:type="dxa"/>
            <w:shd w:val="clear" w:color="auto" w:fill="auto"/>
          </w:tcPr>
          <w:p w:rsidR="000714BA" w:rsidRPr="004023BA" w:rsidP="003C0399" w14:paraId="3A963C8F" w14:textId="77777777">
            <w:pPr>
              <w:spacing w:after="100" w:afterAutospacing="1"/>
              <w:contextualSpacing/>
              <w:rPr>
                <w:rFonts w:ascii="Calibri" w:hAnsi="Calibri" w:cs="Calibri"/>
                <w:bCs/>
              </w:rPr>
            </w:pPr>
            <w:r>
              <w:rPr>
                <w:rFonts w:ascii="Calibri" w:hAnsi="Calibri" w:cs="Calibri"/>
                <w:bCs/>
              </w:rPr>
              <w:t>Costs – O&amp;M (dollars</w:t>
            </w:r>
          </w:p>
        </w:tc>
        <w:tc>
          <w:tcPr>
            <w:tcW w:w="2430" w:type="dxa"/>
          </w:tcPr>
          <w:p w:rsidR="000714BA" w:rsidRPr="004023BA" w:rsidP="003C0399" w14:paraId="3AC065AF" w14:textId="3BE2F2BA">
            <w:pPr>
              <w:spacing w:after="100" w:afterAutospacing="1"/>
              <w:contextualSpacing/>
              <w:jc w:val="right"/>
              <w:rPr>
                <w:rFonts w:ascii="Calibri" w:hAnsi="Calibri" w:cs="Calibri"/>
                <w:bCs/>
              </w:rPr>
            </w:pPr>
            <w:r>
              <w:rPr>
                <w:rFonts w:ascii="Calibri" w:hAnsi="Calibri" w:cs="Calibri"/>
                <w:bCs/>
              </w:rPr>
              <w:t>$0</w:t>
            </w:r>
          </w:p>
        </w:tc>
      </w:tr>
      <w:tr w14:paraId="40F34628" w14:textId="77777777" w:rsidTr="000714BA">
        <w:tblPrEx>
          <w:tblW w:w="5130" w:type="dxa"/>
          <w:tblInd w:w="-5" w:type="dxa"/>
          <w:tblLook w:val="04A0"/>
        </w:tblPrEx>
        <w:tc>
          <w:tcPr>
            <w:tcW w:w="2700" w:type="dxa"/>
            <w:shd w:val="clear" w:color="auto" w:fill="auto"/>
          </w:tcPr>
          <w:p w:rsidR="000714BA" w:rsidRPr="004023BA" w:rsidP="003C0399" w14:paraId="4DA0F295" w14:textId="77777777">
            <w:pPr>
              <w:spacing w:after="100" w:afterAutospacing="1"/>
              <w:contextualSpacing/>
              <w:rPr>
                <w:rFonts w:ascii="Calibri" w:hAnsi="Calibri" w:cs="Calibri"/>
                <w:bCs/>
              </w:rPr>
            </w:pPr>
            <w:r>
              <w:rPr>
                <w:rFonts w:ascii="Calibri" w:hAnsi="Calibri" w:cs="Calibri"/>
                <w:bCs/>
              </w:rPr>
              <w:t>Total Costs (dollars)</w:t>
            </w:r>
          </w:p>
        </w:tc>
        <w:tc>
          <w:tcPr>
            <w:tcW w:w="2430" w:type="dxa"/>
          </w:tcPr>
          <w:p w:rsidR="000714BA" w:rsidRPr="004023BA" w:rsidP="003C0399" w14:paraId="03F74A8A" w14:textId="1E108660">
            <w:pPr>
              <w:spacing w:after="100" w:afterAutospacing="1"/>
              <w:contextualSpacing/>
              <w:jc w:val="right"/>
              <w:rPr>
                <w:rFonts w:ascii="Calibri" w:hAnsi="Calibri" w:cs="Calibri"/>
                <w:bCs/>
              </w:rPr>
            </w:pPr>
            <w:r>
              <w:rPr>
                <w:rFonts w:ascii="Calibri" w:hAnsi="Calibri" w:cs="Calibri"/>
                <w:bCs/>
              </w:rPr>
              <w:t>$10,165.38</w:t>
            </w:r>
          </w:p>
        </w:tc>
      </w:tr>
    </w:tbl>
    <w:p w:rsidR="00FB1842" w:rsidP="00666C60" w14:paraId="47466AED" w14:textId="77777777">
      <w:pPr>
        <w:spacing w:before="120" w:after="0"/>
        <w:rPr>
          <w:rFonts w:cstheme="minorHAnsi"/>
          <w:color w:val="000000"/>
        </w:rPr>
      </w:pPr>
      <w:bookmarkStart w:id="22" w:name="_Toc17726052"/>
      <w:bookmarkStart w:id="23" w:name="_Toc17726053"/>
      <w:bookmarkEnd w:id="22"/>
      <w:bookmarkEnd w:id="23"/>
    </w:p>
    <w:p w:rsidR="004620CA" w:rsidRPr="00163C69" w:rsidP="00914EB5" w14:paraId="3144CC9D" w14:textId="6708F7EA">
      <w:pPr>
        <w:pStyle w:val="Heading1"/>
        <w:numPr>
          <w:ilvl w:val="0"/>
          <w:numId w:val="41"/>
        </w:numPr>
      </w:pPr>
      <w:r w:rsidRPr="4BDBF0A0">
        <w:t xml:space="preserve">REASONS FOR </w:t>
      </w:r>
      <w:r w:rsidRPr="4BDBF0A0" w:rsidR="00AD46F7">
        <w:t>CHANGE IN BURDEN</w:t>
      </w:r>
      <w:bookmarkEnd w:id="21"/>
    </w:p>
    <w:p w:rsidR="00ED57A4" w:rsidRPr="00784B9D" w:rsidP="00854AAE" w14:paraId="18F76AB6" w14:textId="716680B8">
      <w:pPr>
        <w:pBdr>
          <w:top w:val="single" w:sz="6" w:space="0" w:color="FFFFFF"/>
          <w:left w:val="single" w:sz="6" w:space="0" w:color="FFFFFF"/>
          <w:bottom w:val="single" w:sz="6" w:space="0" w:color="FFFFFF"/>
          <w:right w:val="single" w:sz="6" w:space="0" w:color="FFFFFF"/>
        </w:pBdr>
        <w:rPr>
          <w:rFonts w:cstheme="minorHAnsi"/>
          <w:color w:val="FF0000"/>
        </w:rPr>
      </w:pPr>
      <w:r w:rsidRPr="00784B9D">
        <w:rPr>
          <w:rFonts w:cstheme="minorHAnsi"/>
          <w:bCs/>
        </w:rPr>
        <w:t xml:space="preserve">The </w:t>
      </w:r>
      <w:r w:rsidR="000B448B">
        <w:rPr>
          <w:rFonts w:cstheme="minorHAnsi"/>
          <w:bCs/>
        </w:rPr>
        <w:t>change in</w:t>
      </w:r>
      <w:r w:rsidRPr="00784B9D" w:rsidR="000B448B">
        <w:rPr>
          <w:rFonts w:cstheme="minorHAnsi"/>
          <w:bCs/>
        </w:rPr>
        <w:t xml:space="preserve"> </w:t>
      </w:r>
      <w:r w:rsidRPr="00784B9D">
        <w:rPr>
          <w:rFonts w:cstheme="minorHAnsi"/>
          <w:bCs/>
        </w:rPr>
        <w:t xml:space="preserve">burden is </w:t>
      </w:r>
      <w:r w:rsidR="000B448B">
        <w:rPr>
          <w:rFonts w:cstheme="minorHAnsi"/>
          <w:bCs/>
        </w:rPr>
        <w:t>primarily due to</w:t>
      </w:r>
      <w:r w:rsidRPr="00784B9D" w:rsidR="000B448B">
        <w:rPr>
          <w:rFonts w:cstheme="minorHAnsi"/>
          <w:bCs/>
        </w:rPr>
        <w:t xml:space="preserve"> </w:t>
      </w:r>
      <w:r w:rsidRPr="00784B9D">
        <w:rPr>
          <w:rFonts w:cstheme="minorHAnsi"/>
          <w:bCs/>
        </w:rPr>
        <w:t xml:space="preserve">new requirements in the </w:t>
      </w:r>
      <w:r w:rsidR="00835040">
        <w:rPr>
          <w:rFonts w:cstheme="minorHAnsi"/>
          <w:bCs/>
        </w:rPr>
        <w:t xml:space="preserve">proposed </w:t>
      </w:r>
      <w:r w:rsidRPr="00784B9D">
        <w:rPr>
          <w:rFonts w:cstheme="minorHAnsi"/>
          <w:bCs/>
        </w:rPr>
        <w:t>2026 MSGP</w:t>
      </w:r>
      <w:r w:rsidR="00E240FA">
        <w:rPr>
          <w:rFonts w:cstheme="minorHAnsi"/>
          <w:bCs/>
        </w:rPr>
        <w:t>,</w:t>
      </w:r>
      <w:r w:rsidRPr="00784B9D">
        <w:rPr>
          <w:rFonts w:cstheme="minorHAnsi"/>
          <w:bCs/>
        </w:rPr>
        <w:t xml:space="preserve"> </w:t>
      </w:r>
      <w:r w:rsidR="00EE4594">
        <w:rPr>
          <w:rFonts w:cstheme="minorHAnsi"/>
          <w:bCs/>
        </w:rPr>
        <w:t>including new AIM corrective action reporting requirements, a new collection schedule for DMRs</w:t>
      </w:r>
      <w:r w:rsidR="004B04F8">
        <w:rPr>
          <w:rFonts w:cstheme="minorHAnsi"/>
          <w:bCs/>
        </w:rPr>
        <w:t xml:space="preserve"> and a new subset of respondents required to </w:t>
      </w:r>
      <w:r w:rsidR="00D75F5C">
        <w:rPr>
          <w:rFonts w:cstheme="minorHAnsi"/>
          <w:bCs/>
        </w:rPr>
        <w:t xml:space="preserve">submit DMRs, new PFAS indicator monitoring requirements, and new requirements for mining sectors. </w:t>
      </w:r>
      <w:r w:rsidR="006D0F97">
        <w:rPr>
          <w:rFonts w:cstheme="minorHAnsi"/>
          <w:bCs/>
        </w:rPr>
        <w:t xml:space="preserve">In addition, assumptions and burden estimates have been </w:t>
      </w:r>
      <w:r w:rsidR="003F665F">
        <w:rPr>
          <w:rFonts w:cstheme="minorHAnsi"/>
          <w:bCs/>
        </w:rPr>
        <w:t>refined</w:t>
      </w:r>
      <w:r w:rsidR="006D0F97">
        <w:rPr>
          <w:rFonts w:cstheme="minorHAnsi"/>
          <w:bCs/>
        </w:rPr>
        <w:t xml:space="preserve"> based on the most recent MSGP NOI data and DMR data. Compared to the 202</w:t>
      </w:r>
      <w:r w:rsidR="005B2AB0">
        <w:rPr>
          <w:rFonts w:cstheme="minorHAnsi"/>
          <w:bCs/>
        </w:rPr>
        <w:t>1</w:t>
      </w:r>
      <w:r w:rsidR="006D0F97">
        <w:rPr>
          <w:rFonts w:cstheme="minorHAnsi"/>
          <w:bCs/>
        </w:rPr>
        <w:t xml:space="preserve"> MSGP ICR, there is an increase</w:t>
      </w:r>
      <w:r w:rsidR="003C56D2">
        <w:rPr>
          <w:rFonts w:cstheme="minorHAnsi"/>
          <w:bCs/>
        </w:rPr>
        <w:t xml:space="preserve"> to the projected number of</w:t>
      </w:r>
      <w:r w:rsidR="006D0F97">
        <w:rPr>
          <w:rFonts w:cstheme="minorHAnsi"/>
          <w:bCs/>
        </w:rPr>
        <w:t xml:space="preserve"> </w:t>
      </w:r>
      <w:r w:rsidR="00DF0E23">
        <w:rPr>
          <w:rFonts w:cstheme="minorHAnsi"/>
          <w:bCs/>
        </w:rPr>
        <w:t>respondent</w:t>
      </w:r>
      <w:r w:rsidR="003C56D2">
        <w:rPr>
          <w:rFonts w:cstheme="minorHAnsi"/>
          <w:bCs/>
        </w:rPr>
        <w:t>s. In most cases, using updated NOI and DMR data has increased the incremental burden in this proposed 2026 MSGP. Last</w:t>
      </w:r>
      <w:r w:rsidR="000A4F6B">
        <w:rPr>
          <w:rFonts w:cstheme="minorHAnsi"/>
          <w:bCs/>
        </w:rPr>
        <w:t xml:space="preserve">, </w:t>
      </w:r>
      <w:r w:rsidRPr="00784B9D">
        <w:rPr>
          <w:rFonts w:cstheme="minorHAnsi"/>
          <w:bCs/>
        </w:rPr>
        <w:t xml:space="preserve">hourly </w:t>
      </w:r>
      <w:r w:rsidR="00E240FA">
        <w:rPr>
          <w:rFonts w:cstheme="minorHAnsi"/>
          <w:bCs/>
        </w:rPr>
        <w:t xml:space="preserve">labor </w:t>
      </w:r>
      <w:r w:rsidRPr="00784B9D">
        <w:rPr>
          <w:rFonts w:cstheme="minorHAnsi"/>
          <w:bCs/>
        </w:rPr>
        <w:t>rates</w:t>
      </w:r>
      <w:r w:rsidR="000A4F6B">
        <w:rPr>
          <w:rFonts w:cstheme="minorHAnsi"/>
          <w:bCs/>
        </w:rPr>
        <w:t xml:space="preserve"> were updated for both the private sector and agency</w:t>
      </w:r>
      <w:r w:rsidRPr="00784B9D">
        <w:rPr>
          <w:rFonts w:cstheme="minorHAnsi"/>
          <w:bCs/>
        </w:rPr>
        <w:t>.</w:t>
      </w:r>
      <w:r w:rsidR="000A4F6B">
        <w:rPr>
          <w:rFonts w:cstheme="minorHAnsi"/>
          <w:bCs/>
        </w:rPr>
        <w:t xml:space="preserve"> These labor rates are higher than in the 2021 MSGP ICR due to inflation.</w:t>
      </w:r>
      <w:r w:rsidRPr="00784B9D">
        <w:rPr>
          <w:rFonts w:cstheme="minorHAnsi"/>
          <w:bCs/>
        </w:rPr>
        <w:t xml:space="preserve"> </w:t>
      </w:r>
    </w:p>
    <w:p w:rsidR="005D140B" w:rsidRPr="00163C69" w:rsidP="00914EB5" w14:paraId="3604F417" w14:textId="68E0BD30">
      <w:pPr>
        <w:pStyle w:val="Heading1"/>
        <w:numPr>
          <w:ilvl w:val="0"/>
          <w:numId w:val="41"/>
        </w:numPr>
      </w:pPr>
      <w:bookmarkStart w:id="24" w:name="_Toc156593389"/>
      <w:r w:rsidRPr="4BDBF0A0">
        <w:t xml:space="preserve">PUBLICATION OF </w:t>
      </w:r>
      <w:bookmarkStart w:id="25" w:name="_Toc156593390"/>
      <w:bookmarkEnd w:id="24"/>
      <w:r w:rsidR="00E73E81">
        <w:t>DATA</w:t>
      </w:r>
    </w:p>
    <w:p w:rsidR="00981498" w:rsidRPr="00981498" w:rsidP="00981498" w14:paraId="1B7CD262" w14:textId="0B434189">
      <w:pPr>
        <w:spacing w:after="100" w:afterAutospacing="1" w:line="240" w:lineRule="auto"/>
        <w:rPr>
          <w:rFonts w:ascii="Calibri" w:hAnsi="Calibri" w:cs="Calibri"/>
        </w:rPr>
      </w:pPr>
      <w:r w:rsidRPr="00981498">
        <w:rPr>
          <w:rFonts w:ascii="Calibri" w:hAnsi="Calibri" w:cs="Calibri"/>
        </w:rPr>
        <w:t xml:space="preserve">The public may access much of the information generated under the permit via EPA tool </w:t>
      </w:r>
      <w:hyperlink r:id="rId13" w:history="1">
        <w:r w:rsidRPr="00F551C0">
          <w:rPr>
            <w:rStyle w:val="Hyperlink"/>
            <w:rFonts w:ascii="Calibri" w:hAnsi="Calibri" w:cs="Calibri"/>
          </w:rPr>
          <w:t>Enforcement and Compliance History Online (ECHO)</w:t>
        </w:r>
      </w:hyperlink>
      <w:r w:rsidRPr="00981498">
        <w:rPr>
          <w:rFonts w:ascii="Calibri" w:hAnsi="Calibri" w:cs="Calibri"/>
        </w:rPr>
        <w:t xml:space="preserve"> and through the E-Enterprise </w:t>
      </w:r>
      <w:hyperlink r:id="rId14" w:history="1">
        <w:r w:rsidRPr="00624716">
          <w:rPr>
            <w:rStyle w:val="Hyperlink"/>
            <w:rFonts w:ascii="Calibri" w:hAnsi="Calibri" w:cs="Calibri"/>
          </w:rPr>
          <w:t>Permit Lookup</w:t>
        </w:r>
      </w:hyperlink>
      <w:r w:rsidRPr="00981498">
        <w:rPr>
          <w:rFonts w:ascii="Calibri" w:hAnsi="Calibri" w:cs="Calibri"/>
        </w:rPr>
        <w:t xml:space="preserve">. </w:t>
      </w:r>
    </w:p>
    <w:p w:rsidR="00627768" w:rsidRPr="00163C69" w:rsidP="00914EB5" w14:paraId="54E9D2D0" w14:textId="5A253A5C">
      <w:pPr>
        <w:pStyle w:val="Heading1"/>
        <w:numPr>
          <w:ilvl w:val="0"/>
          <w:numId w:val="41"/>
        </w:numPr>
      </w:pPr>
      <w:r w:rsidRPr="4BDBF0A0">
        <w:t xml:space="preserve">DISPLAY </w:t>
      </w:r>
      <w:r w:rsidRPr="4BDBF0A0" w:rsidR="00644EBE">
        <w:t xml:space="preserve">OF </w:t>
      </w:r>
      <w:r w:rsidRPr="4BDBF0A0" w:rsidR="000D5863">
        <w:t>EXPIRATION DATE</w:t>
      </w:r>
      <w:bookmarkEnd w:id="25"/>
      <w:r w:rsidRPr="4BDBF0A0" w:rsidR="00644EBE">
        <w:t xml:space="preserve"> </w:t>
      </w:r>
    </w:p>
    <w:p w:rsidR="00ED57A4" w:rsidRPr="00454750" w:rsidP="00854AAE" w14:paraId="38543EA2" w14:textId="5CE86034">
      <w:pPr>
        <w:pBdr>
          <w:top w:val="single" w:sz="6" w:space="0" w:color="FFFFFF"/>
          <w:left w:val="single" w:sz="6" w:space="0" w:color="FFFFFF"/>
          <w:bottom w:val="single" w:sz="6" w:space="0" w:color="FFFFFF"/>
          <w:right w:val="single" w:sz="6" w:space="0" w:color="FFFFFF"/>
        </w:pBdr>
      </w:pPr>
      <w:r w:rsidRPr="00454750">
        <w:rPr>
          <w:rFonts w:cstheme="minorHAnsi"/>
        </w:rPr>
        <w:t>This section is not applicable to this ICR</w:t>
      </w:r>
      <w:r w:rsidR="00F309A6">
        <w:rPr>
          <w:rFonts w:cstheme="minorHAnsi"/>
        </w:rPr>
        <w:t xml:space="preserve"> that provides estimates for the proposed permit</w:t>
      </w:r>
      <w:r w:rsidRPr="00454750">
        <w:rPr>
          <w:rFonts w:cstheme="minorHAnsi"/>
        </w:rPr>
        <w:t xml:space="preserve">. </w:t>
      </w:r>
    </w:p>
    <w:p w:rsidR="00691828" w:rsidRPr="00163C69" w:rsidP="00914EB5" w14:paraId="7CCB26DD" w14:textId="21B0CFD9">
      <w:pPr>
        <w:pStyle w:val="Heading1"/>
        <w:numPr>
          <w:ilvl w:val="0"/>
          <w:numId w:val="41"/>
        </w:numPr>
      </w:pPr>
      <w:bookmarkStart w:id="26" w:name="_Toc156593391"/>
      <w:r w:rsidRPr="00163C69">
        <w:t>CERTIFICATION STATEMENT</w:t>
      </w:r>
      <w:bookmarkEnd w:id="26"/>
    </w:p>
    <w:p w:rsidR="006238F6" w:rsidRPr="00635AE2" w:rsidP="006238F6" w14:paraId="251447CD" w14:textId="3A334DE2">
      <w:pPr>
        <w:pBdr>
          <w:top w:val="single" w:sz="6" w:space="0" w:color="FFFFFF"/>
          <w:left w:val="single" w:sz="6" w:space="0" w:color="FFFFFF"/>
          <w:bottom w:val="single" w:sz="6" w:space="0" w:color="FFFFFF"/>
          <w:right w:val="single" w:sz="6" w:space="0" w:color="FFFFFF"/>
        </w:pBdr>
        <w:rPr>
          <w:rFonts w:cstheme="minorHAnsi"/>
        </w:rPr>
      </w:pPr>
      <w:r w:rsidRPr="00635AE2">
        <w:rPr>
          <w:rFonts w:cstheme="minorHAnsi"/>
        </w:rPr>
        <w:t xml:space="preserve">This information collection is consistent with OMB guidelines contained in 5 CFR 1320.5(d)(2). Requests for supplemental </w:t>
      </w:r>
      <w:r w:rsidRPr="00635AE2">
        <w:rPr>
          <w:rFonts w:cstheme="minorHAnsi"/>
        </w:rPr>
        <w:t>information for the purposes of emergency response or enforcement activities are exempt from the Paperwork Reduction Act requirements.</w:t>
      </w:r>
    </w:p>
    <w:p w:rsidR="006238F6" w:rsidRPr="00163C69" w:rsidP="00914EB5" w14:paraId="16135B84" w14:textId="3E4D983B">
      <w:pPr>
        <w:pStyle w:val="Heading1"/>
        <w:numPr>
          <w:ilvl w:val="0"/>
          <w:numId w:val="41"/>
        </w:numPr>
      </w:pPr>
      <w:r>
        <w:t xml:space="preserve">BURDEN </w:t>
      </w:r>
      <w:r w:rsidRPr="00163C69">
        <w:t>STATEMENT</w:t>
      </w:r>
    </w:p>
    <w:p w:rsidR="00851FFB" w:rsidRPr="00851FFB" w:rsidP="6DE20D02" w14:paraId="42E1B942" w14:textId="2A88CD65">
      <w:r w:rsidRPr="6DE20D02">
        <w:t xml:space="preserve">Responses to this collection of information are mandatory (40 CFR 122.26). An agency may not conduct or sponsor, and a person is not required to respond to, a collection of information unless it displays a currently valid OMB control number. The calculations made for this ICR cover the estimated burden and costs for both EPA and MSGP permittees. The annual </w:t>
      </w:r>
      <w:r w:rsidRPr="6DE20D02" w:rsidR="009E5FEA">
        <w:t xml:space="preserve">respondent </w:t>
      </w:r>
      <w:r w:rsidRPr="6DE20D02">
        <w:t xml:space="preserve">labor burden associated with the incremental changes proposed in the 2026 MSGP is </w:t>
      </w:r>
      <w:r w:rsidRPr="00CF1D78" w:rsidR="003D5597">
        <w:t>2</w:t>
      </w:r>
      <w:r w:rsidRPr="00CF1D78" w:rsidR="0092404E">
        <w:t>2</w:t>
      </w:r>
      <w:r w:rsidRPr="00CF1D78" w:rsidR="00804200">
        <w:t>,</w:t>
      </w:r>
      <w:r w:rsidRPr="00CF1D78" w:rsidR="0092404E">
        <w:t>543</w:t>
      </w:r>
      <w:r w:rsidRPr="6DE20D02">
        <w:t xml:space="preserve"> hours and $</w:t>
      </w:r>
      <w:r w:rsidRPr="6DE20D02" w:rsidR="009E5FEA">
        <w:t>1,</w:t>
      </w:r>
      <w:r w:rsidR="00F649EA">
        <w:t>014,989.56</w:t>
      </w:r>
      <w:r w:rsidRPr="6DE20D02">
        <w:t xml:space="preserve">. The estimated </w:t>
      </w:r>
      <w:r w:rsidRPr="6DE20D02" w:rsidR="00DA2609">
        <w:t xml:space="preserve">incremental </w:t>
      </w:r>
      <w:r w:rsidRPr="6DE20D02">
        <w:t xml:space="preserve">increase in Agency labor burden is </w:t>
      </w:r>
      <w:r w:rsidRPr="6DE20D02" w:rsidR="0045302F">
        <w:t>198</w:t>
      </w:r>
      <w:r w:rsidRPr="6DE20D02">
        <w:t xml:space="preserve"> hours annually at a labor cost of $</w:t>
      </w:r>
      <w:r w:rsidRPr="6DE20D02" w:rsidR="000106EB">
        <w:t>1</w:t>
      </w:r>
      <w:r w:rsidRPr="6DE20D02" w:rsidR="004A3263">
        <w:t>0,165.38</w:t>
      </w:r>
      <w:r w:rsidRPr="6DE20D02">
        <w:t xml:space="preserve">. The incremental burden for the </w:t>
      </w:r>
      <w:r w:rsidRPr="6DE20D02" w:rsidR="00372C96">
        <w:t>proposed</w:t>
      </w:r>
      <w:r w:rsidRPr="6DE20D02">
        <w:t xml:space="preserve"> 2026 MSGP is estimated to average </w:t>
      </w:r>
      <w:r w:rsidRPr="6DE20D02" w:rsidR="7597DD6E">
        <w:t>0.</w:t>
      </w:r>
      <w:r w:rsidRPr="00CF1D78" w:rsidR="001355F9">
        <w:t>75</w:t>
      </w:r>
      <w:r w:rsidRPr="6DE20D02">
        <w:t xml:space="preserve"> hours per response. Send comments on the Agency’s need for this information, the accuracy of the provided burden estimates</w:t>
      </w:r>
      <w:r w:rsidRPr="6DE20D02" w:rsidR="00A400E3">
        <w:t>,</w:t>
      </w:r>
      <w:r w:rsidRPr="6DE20D02">
        <w:t xml:space="preserve"> and any suggested methods for minimizing respondent burden to the Regulatory Support Division Director, U.S. Environmental Protection Agency (2821T), 1200 Pennsylvania Ave., NW, Washington, D.C. 20460. Include the OMB control number in any correspondence. Do not</w:t>
      </w:r>
      <w:r w:rsidRPr="6DE20D02">
        <w:t xml:space="preserve"> send the completed form to this address. </w:t>
      </w:r>
    </w:p>
    <w:p w:rsidR="00BB3410" w:rsidRPr="00D44491" w:rsidP="00D44491" w14:paraId="02BFB1B4" w14:textId="17131961">
      <w:pPr>
        <w:rPr>
          <w:rFonts w:cstheme="minorHAnsi"/>
          <w:i/>
          <w:iCs/>
        </w:rPr>
      </w:pPr>
      <w:r w:rsidRPr="00851FFB">
        <w:rPr>
          <w:rFonts w:cstheme="minorHAnsi"/>
        </w:rPr>
        <w:t>Burden means the total time, effort, or financial resources expended by persons to generate, maintain,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w:t>
      </w:r>
      <w:r w:rsidRPr="00851FFB">
        <w:rPr>
          <w:rFonts w:cstheme="minorHAnsi"/>
        </w:rPr>
        <w:t>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sectPr w:rsidSect="007A5EE0">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824281"/>
      <w:docPartObj>
        <w:docPartGallery w:val="Page Numbers (Bottom of Page)"/>
        <w:docPartUnique/>
      </w:docPartObj>
    </w:sdtPr>
    <w:sdtEndPr>
      <w:rPr>
        <w:noProof/>
      </w:rPr>
    </w:sdtEndPr>
    <w:sdtContent>
      <w:p w:rsidR="00B51B95" w14:paraId="071B05F9" w14:textId="76DD9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5DD6" w:rsidP="002335AB" w14:paraId="28124090" w14:textId="77777777">
      <w:pPr>
        <w:spacing w:after="0" w:line="240" w:lineRule="auto"/>
      </w:pPr>
      <w:r>
        <w:separator/>
      </w:r>
    </w:p>
  </w:footnote>
  <w:footnote w:type="continuationSeparator" w:id="1">
    <w:p w:rsidR="00DA5DD6" w:rsidP="002335AB" w14:paraId="410450C8" w14:textId="77777777">
      <w:pPr>
        <w:spacing w:after="0" w:line="240" w:lineRule="auto"/>
      </w:pPr>
      <w:r>
        <w:continuationSeparator/>
      </w:r>
    </w:p>
  </w:footnote>
  <w:footnote w:type="continuationNotice" w:id="2">
    <w:p w:rsidR="00DA5DD6" w14:paraId="40A60FCD" w14:textId="77777777">
      <w:pPr>
        <w:spacing w:after="0" w:line="240" w:lineRule="auto"/>
      </w:pPr>
    </w:p>
  </w:footnote>
  <w:footnote w:id="3">
    <w:p w:rsidR="00DC3F7B" w:rsidP="00DC3F7B" w14:paraId="1CB7DED5" w14:textId="77777777">
      <w:pPr>
        <w:pStyle w:val="FootnoteText"/>
      </w:pPr>
      <w:r>
        <w:rPr>
          <w:rStyle w:val="FootnoteReference"/>
        </w:rPr>
        <w:footnoteRef/>
      </w:r>
      <w:r>
        <w:t xml:space="preserve"> “Sensitive waters” refer to receiving waters listed as impaired for sediment or a sediment-related parameter, or</w:t>
      </w:r>
    </w:p>
    <w:p w:rsidR="00DC3F7B" w:rsidP="00DC3F7B" w14:paraId="54EC6556" w14:textId="77777777">
      <w:pPr>
        <w:pStyle w:val="FootnoteText"/>
      </w:pPr>
      <w:r>
        <w:t>receiving waters designated as Tier 2, Tier 2.5, or Tier 3 for antidegradation purposes.</w:t>
      </w:r>
    </w:p>
  </w:footnote>
  <w:footnote w:id="4">
    <w:p w:rsidR="004E4AB7" w:rsidP="004E4AB7" w14:paraId="7219F1FD" w14:textId="6386073B">
      <w:pPr>
        <w:pStyle w:val="FootnoteText"/>
      </w:pPr>
      <w:r>
        <w:rPr>
          <w:rStyle w:val="FootnoteReference"/>
        </w:rPr>
        <w:footnoteRef/>
      </w:r>
      <w:r>
        <w:t xml:space="preserve"> </w:t>
      </w:r>
      <w:r w:rsidRPr="00825882">
        <w:rPr>
          <w:sz w:val="18"/>
          <w:szCs w:val="18"/>
        </w:rPr>
        <w:t>The 2021 MSGP NOI data</w:t>
      </w:r>
      <w:r w:rsidRPr="00825882">
        <w:rPr>
          <w:rFonts w:ascii="Calibri" w:hAnsi="Calibri" w:cs="Calibri"/>
          <w:sz w:val="16"/>
          <w:szCs w:val="16"/>
        </w:rPr>
        <w:t xml:space="preserve"> </w:t>
      </w:r>
      <w:r w:rsidRPr="00062838">
        <w:rPr>
          <w:rFonts w:ascii="Calibri" w:hAnsi="Calibri" w:cs="Calibri"/>
          <w:sz w:val="18"/>
          <w:szCs w:val="18"/>
        </w:rPr>
        <w:t>indicate</w:t>
      </w:r>
      <w:r>
        <w:rPr>
          <w:rFonts w:ascii="Calibri" w:hAnsi="Calibri" w:cs="Calibri"/>
          <w:sz w:val="18"/>
          <w:szCs w:val="18"/>
        </w:rPr>
        <w:t>s</w:t>
      </w:r>
      <w:r w:rsidRPr="00062838">
        <w:rPr>
          <w:rFonts w:ascii="Calibri" w:hAnsi="Calibri" w:cs="Calibri"/>
          <w:sz w:val="18"/>
          <w:szCs w:val="18"/>
        </w:rPr>
        <w:t xml:space="preserve"> that the 727 respondents subject to PAH indicator monitoring have a total of 1,546 discharge points with monitoring data</w:t>
      </w:r>
      <w:r w:rsidR="00DC3AA1">
        <w:rPr>
          <w:rFonts w:ascii="Calibri" w:hAnsi="Calibri" w:cs="Calibri"/>
          <w:sz w:val="18"/>
          <w:szCs w:val="18"/>
        </w:rPr>
        <w:t xml:space="preserve">. </w:t>
      </w:r>
      <w:r w:rsidRPr="00062838">
        <w:rPr>
          <w:rFonts w:ascii="Calibri" w:hAnsi="Calibri" w:cs="Calibri"/>
          <w:sz w:val="18"/>
          <w:szCs w:val="18"/>
        </w:rPr>
        <w:t>Therefore, for this burden item, EPA assumed that each respondent has an average of 2.13 discharge points.</w:t>
      </w:r>
    </w:p>
  </w:footnote>
  <w:footnote w:id="5">
    <w:p w:rsidR="00872C7F" w14:paraId="7497B2C7" w14:textId="1546657B">
      <w:pPr>
        <w:pStyle w:val="FootnoteText"/>
      </w:pPr>
      <w:r w:rsidRPr="00E2329D">
        <w:rPr>
          <w:rStyle w:val="FootnoteReference"/>
          <w:sz w:val="18"/>
          <w:szCs w:val="18"/>
        </w:rPr>
        <w:footnoteRef/>
      </w:r>
      <w:r w:rsidRPr="00E2329D">
        <w:rPr>
          <w:sz w:val="18"/>
          <w:szCs w:val="18"/>
        </w:rPr>
        <w:t xml:space="preserve"> T</w:t>
      </w:r>
      <w:r w:rsidRPr="00E2329D" w:rsidR="00681567">
        <w:rPr>
          <w:sz w:val="18"/>
          <w:szCs w:val="18"/>
        </w:rPr>
        <w:t xml:space="preserve">o streamline the analyses, EPA used a general average number of discharge points per facility, instead of a number specific to permittees discharging to impaired waters. </w:t>
      </w:r>
      <w:r w:rsidRPr="00E2329D" w:rsidR="007B4265">
        <w:rPr>
          <w:sz w:val="18"/>
          <w:szCs w:val="18"/>
        </w:rPr>
        <w:t xml:space="preserve">To get 1.98, EPA </w:t>
      </w:r>
      <w:r w:rsidRPr="00E2329D" w:rsidR="007B4265">
        <w:rPr>
          <w:rStyle w:val="normaltextrun"/>
          <w:rFonts w:ascii="Calibri" w:hAnsi="Calibri" w:cs="Calibri"/>
          <w:sz w:val="18"/>
          <w:szCs w:val="18"/>
        </w:rPr>
        <w:t xml:space="preserve">divided the total number of </w:t>
      </w:r>
      <w:r w:rsidR="00A6386F">
        <w:rPr>
          <w:rStyle w:val="normaltextrun"/>
          <w:rFonts w:ascii="Calibri" w:hAnsi="Calibri" w:cs="Calibri"/>
          <w:sz w:val="18"/>
          <w:szCs w:val="18"/>
        </w:rPr>
        <w:t>discharge point</w:t>
      </w:r>
      <w:r w:rsidRPr="00E2329D" w:rsidR="007B4265">
        <w:rPr>
          <w:rStyle w:val="normaltextrun"/>
          <w:rFonts w:ascii="Calibri" w:hAnsi="Calibri" w:cs="Calibri"/>
          <w:sz w:val="18"/>
          <w:szCs w:val="18"/>
        </w:rPr>
        <w:t xml:space="preserve">s that are not “substantially identical discharge points” by the total number of facilities, to account for </w:t>
      </w:r>
      <w:r w:rsidR="00A6386F">
        <w:rPr>
          <w:rStyle w:val="normaltextrun"/>
          <w:rFonts w:ascii="Calibri" w:hAnsi="Calibri" w:cs="Calibri"/>
          <w:sz w:val="18"/>
          <w:szCs w:val="18"/>
        </w:rPr>
        <w:t>discharge point</w:t>
      </w:r>
      <w:r w:rsidRPr="00E2329D" w:rsidR="007B4265">
        <w:rPr>
          <w:rStyle w:val="normaltextrun"/>
          <w:rFonts w:ascii="Calibri" w:hAnsi="Calibri" w:cs="Calibri"/>
          <w:sz w:val="18"/>
          <w:szCs w:val="18"/>
        </w:rPr>
        <w:t xml:space="preserve">s for which respondent monitoring is occurring. </w:t>
      </w:r>
      <w:r w:rsidRPr="00E2329D" w:rsidR="007B4265">
        <w:rPr>
          <w:rFonts w:ascii="Calibri" w:hAnsi="Calibri" w:cs="Calibri"/>
          <w:sz w:val="18"/>
          <w:szCs w:val="18"/>
        </w:rPr>
        <w:t xml:space="preserve"> </w:t>
      </w:r>
    </w:p>
  </w:footnote>
  <w:footnote w:id="6">
    <w:p w:rsidR="00BB0516" w:rsidP="00825882" w14:paraId="573774D5" w14:textId="251279B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pPr>
      <w:r w:rsidRPr="00825882">
        <w:rPr>
          <w:rStyle w:val="FootnoteReference"/>
          <w:sz w:val="18"/>
          <w:szCs w:val="18"/>
        </w:rPr>
        <w:footnoteRef/>
      </w:r>
      <w:r>
        <w:t xml:space="preserve"> </w:t>
      </w:r>
      <w:r w:rsidRPr="00825882">
        <w:rPr>
          <w:rFonts w:ascii="Calibri" w:hAnsi="Calibri" w:cs="Calibri"/>
          <w:bCs/>
          <w:sz w:val="18"/>
          <w:szCs w:val="18"/>
        </w:rPr>
        <w:t>Th</w:t>
      </w:r>
      <w:r>
        <w:rPr>
          <w:rFonts w:ascii="Calibri" w:hAnsi="Calibri" w:cs="Calibri"/>
          <w:bCs/>
          <w:sz w:val="18"/>
          <w:szCs w:val="18"/>
        </w:rPr>
        <w:t>e</w:t>
      </w:r>
      <w:r w:rsidRPr="00825882">
        <w:rPr>
          <w:rFonts w:ascii="Calibri" w:hAnsi="Calibri" w:cs="Calibri"/>
          <w:bCs/>
          <w:sz w:val="18"/>
          <w:szCs w:val="18"/>
        </w:rPr>
        <w:t xml:space="preserve"> total number of dewatering events per year assumes that each respondent will dewater groundwater for 7 days over the project life and dewater accumulated stormwater on 22 days over the project life. The assumption of 22 days of stormwater dewatering is based on an analysis of NOAA climate data that reports an average of 1.8 days per month with rainfall greater than 0.5 inches.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489A"/>
    <w:multiLevelType w:val="hybridMultilevel"/>
    <w:tmpl w:val="76482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62629E"/>
    <w:multiLevelType w:val="hybridMultilevel"/>
    <w:tmpl w:val="92C4E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FF6D61"/>
    <w:multiLevelType w:val="hybridMultilevel"/>
    <w:tmpl w:val="06CC27E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C8A4710"/>
    <w:multiLevelType w:val="hybridMultilevel"/>
    <w:tmpl w:val="C820F1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0E67700"/>
    <w:multiLevelType w:val="hybridMultilevel"/>
    <w:tmpl w:val="AC2CB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817F76"/>
    <w:multiLevelType w:val="hybridMultilevel"/>
    <w:tmpl w:val="2E863BF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8D3489"/>
    <w:multiLevelType w:val="hybridMultilevel"/>
    <w:tmpl w:val="442A5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693ECF"/>
    <w:multiLevelType w:val="hybridMultilevel"/>
    <w:tmpl w:val="ACE8A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1635F5"/>
    <w:multiLevelType w:val="hybridMultilevel"/>
    <w:tmpl w:val="929E6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631779"/>
    <w:multiLevelType w:val="hybridMultilevel"/>
    <w:tmpl w:val="4B5C5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B9231A"/>
    <w:multiLevelType w:val="hybridMultilevel"/>
    <w:tmpl w:val="9DFA1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96001A"/>
    <w:multiLevelType w:val="hybridMultilevel"/>
    <w:tmpl w:val="14D6B6C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CC7693"/>
    <w:multiLevelType w:val="hybridMultilevel"/>
    <w:tmpl w:val="4E0CA84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ECE164A"/>
    <w:multiLevelType w:val="hybridMultilevel"/>
    <w:tmpl w:val="430EDE3C"/>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2DC36DE"/>
    <w:multiLevelType w:val="hybridMultilevel"/>
    <w:tmpl w:val="C8560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2623CB9"/>
    <w:multiLevelType w:val="hybridMultilevel"/>
    <w:tmpl w:val="7F14B4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3164139"/>
    <w:multiLevelType w:val="hybridMultilevel"/>
    <w:tmpl w:val="F1F86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066ADA"/>
    <w:multiLevelType w:val="hybridMultilevel"/>
    <w:tmpl w:val="EEF61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581451"/>
    <w:multiLevelType w:val="hybridMultilevel"/>
    <w:tmpl w:val="1EA626AA"/>
    <w:lvl w:ilvl="0">
      <w:start w:val="0"/>
      <w:numFmt w:val="bullet"/>
      <w:lvlText w:val="•"/>
      <w:lvlJc w:val="left"/>
      <w:pPr>
        <w:ind w:left="540" w:hanging="360"/>
      </w:pPr>
      <w:rPr>
        <w:rFonts w:ascii="Calibri" w:hAnsi="Calibri" w:eastAsiaTheme="minorHAnsi" w:cs="Calibr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7">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24517C"/>
    <w:multiLevelType w:val="hybridMultilevel"/>
    <w:tmpl w:val="A16AF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4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395689E"/>
    <w:multiLevelType w:val="hybridMultilevel"/>
    <w:tmpl w:val="84A04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3A60376"/>
    <w:multiLevelType w:val="hybridMultilevel"/>
    <w:tmpl w:val="D58E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5F3968"/>
    <w:multiLevelType w:val="hybridMultilevel"/>
    <w:tmpl w:val="1C2899F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24"/>
  </w:num>
  <w:num w:numId="2" w16cid:durableId="1032609060">
    <w:abstractNumId w:val="15"/>
  </w:num>
  <w:num w:numId="3" w16cid:durableId="1158494831">
    <w:abstractNumId w:val="3"/>
  </w:num>
  <w:num w:numId="4" w16cid:durableId="493573829">
    <w:abstractNumId w:val="48"/>
  </w:num>
  <w:num w:numId="5" w16cid:durableId="2055687918">
    <w:abstractNumId w:val="33"/>
  </w:num>
  <w:num w:numId="6" w16cid:durableId="1603025219">
    <w:abstractNumId w:val="43"/>
  </w:num>
  <w:num w:numId="7" w16cid:durableId="423957196">
    <w:abstractNumId w:val="29"/>
  </w:num>
  <w:num w:numId="8" w16cid:durableId="2031829208">
    <w:abstractNumId w:val="39"/>
  </w:num>
  <w:num w:numId="9" w16cid:durableId="218439549">
    <w:abstractNumId w:val="19"/>
  </w:num>
  <w:num w:numId="10" w16cid:durableId="1285231924">
    <w:abstractNumId w:val="8"/>
  </w:num>
  <w:num w:numId="11" w16cid:durableId="327370686">
    <w:abstractNumId w:val="18"/>
  </w:num>
  <w:num w:numId="12" w16cid:durableId="1802993385">
    <w:abstractNumId w:val="22"/>
  </w:num>
  <w:num w:numId="13" w16cid:durableId="1792938267">
    <w:abstractNumId w:val="49"/>
  </w:num>
  <w:num w:numId="14" w16cid:durableId="239490726">
    <w:abstractNumId w:val="17"/>
  </w:num>
  <w:num w:numId="15" w16cid:durableId="1395350314">
    <w:abstractNumId w:val="21"/>
  </w:num>
  <w:num w:numId="16" w16cid:durableId="441535906">
    <w:abstractNumId w:val="26"/>
  </w:num>
  <w:num w:numId="17" w16cid:durableId="2008243381">
    <w:abstractNumId w:val="40"/>
  </w:num>
  <w:num w:numId="18" w16cid:durableId="840463183">
    <w:abstractNumId w:val="37"/>
  </w:num>
  <w:num w:numId="19" w16cid:durableId="469980091">
    <w:abstractNumId w:val="42"/>
  </w:num>
  <w:num w:numId="20" w16cid:durableId="2126730031">
    <w:abstractNumId w:val="23"/>
  </w:num>
  <w:num w:numId="21" w16cid:durableId="106124704">
    <w:abstractNumId w:val="2"/>
  </w:num>
  <w:num w:numId="22" w16cid:durableId="1552418013">
    <w:abstractNumId w:val="27"/>
  </w:num>
  <w:num w:numId="23" w16cid:durableId="1598828334">
    <w:abstractNumId w:val="44"/>
  </w:num>
  <w:num w:numId="24" w16cid:durableId="2051031068">
    <w:abstractNumId w:val="1"/>
  </w:num>
  <w:num w:numId="25" w16cid:durableId="258569098">
    <w:abstractNumId w:val="30"/>
  </w:num>
  <w:num w:numId="26" w16cid:durableId="331181582">
    <w:abstractNumId w:val="35"/>
  </w:num>
  <w:num w:numId="27" w16cid:durableId="1015961391">
    <w:abstractNumId w:val="41"/>
  </w:num>
  <w:num w:numId="28" w16cid:durableId="1590460216">
    <w:abstractNumId w:val="25"/>
  </w:num>
  <w:num w:numId="29" w16cid:durableId="1323699689">
    <w:abstractNumId w:val="34"/>
  </w:num>
  <w:num w:numId="30" w16cid:durableId="1567374028">
    <w:abstractNumId w:val="38"/>
  </w:num>
  <w:num w:numId="31" w16cid:durableId="41711556">
    <w:abstractNumId w:val="47"/>
  </w:num>
  <w:num w:numId="32" w16cid:durableId="1309238109">
    <w:abstractNumId w:val="14"/>
  </w:num>
  <w:num w:numId="33" w16cid:durableId="946041881">
    <w:abstractNumId w:val="28"/>
  </w:num>
  <w:num w:numId="34" w16cid:durableId="758719007">
    <w:abstractNumId w:val="13"/>
  </w:num>
  <w:num w:numId="35" w16cid:durableId="1558975819">
    <w:abstractNumId w:val="4"/>
  </w:num>
  <w:num w:numId="36" w16cid:durableId="1585454836">
    <w:abstractNumId w:val="9"/>
  </w:num>
  <w:num w:numId="37" w16cid:durableId="471335849">
    <w:abstractNumId w:val="5"/>
  </w:num>
  <w:num w:numId="38" w16cid:durableId="879053936">
    <w:abstractNumId w:val="20"/>
  </w:num>
  <w:num w:numId="39" w16cid:durableId="2101902959">
    <w:abstractNumId w:val="16"/>
  </w:num>
  <w:num w:numId="40" w16cid:durableId="1791392092">
    <w:abstractNumId w:val="36"/>
  </w:num>
  <w:num w:numId="41" w16cid:durableId="894462771">
    <w:abstractNumId w:val="6"/>
  </w:num>
  <w:num w:numId="42" w16cid:durableId="1653606928">
    <w:abstractNumId w:val="11"/>
  </w:num>
  <w:num w:numId="43" w16cid:durableId="763503077">
    <w:abstractNumId w:val="46"/>
  </w:num>
  <w:num w:numId="44" w16cid:durableId="1602378546">
    <w:abstractNumId w:val="31"/>
  </w:num>
  <w:num w:numId="45" w16cid:durableId="1443840257">
    <w:abstractNumId w:val="45"/>
  </w:num>
  <w:num w:numId="46" w16cid:durableId="2086682137">
    <w:abstractNumId w:val="0"/>
  </w:num>
  <w:num w:numId="47" w16cid:durableId="1832717946">
    <w:abstractNumId w:val="10"/>
  </w:num>
  <w:num w:numId="48" w16cid:durableId="792016173">
    <w:abstractNumId w:val="32"/>
  </w:num>
  <w:num w:numId="49" w16cid:durableId="249704361">
    <w:abstractNumId w:val="12"/>
  </w:num>
  <w:num w:numId="50" w16cid:durableId="144372364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177"/>
    <w:rsid w:val="0000050D"/>
    <w:rsid w:val="0000213F"/>
    <w:rsid w:val="00002228"/>
    <w:rsid w:val="00002C55"/>
    <w:rsid w:val="0000329D"/>
    <w:rsid w:val="00003D64"/>
    <w:rsid w:val="00004213"/>
    <w:rsid w:val="00004678"/>
    <w:rsid w:val="000063B0"/>
    <w:rsid w:val="000069BE"/>
    <w:rsid w:val="000069C3"/>
    <w:rsid w:val="00006C95"/>
    <w:rsid w:val="00006FF2"/>
    <w:rsid w:val="000073FB"/>
    <w:rsid w:val="0000766C"/>
    <w:rsid w:val="00007954"/>
    <w:rsid w:val="00007FB5"/>
    <w:rsid w:val="000100BE"/>
    <w:rsid w:val="000106EB"/>
    <w:rsid w:val="000108EB"/>
    <w:rsid w:val="00010EEE"/>
    <w:rsid w:val="000110AA"/>
    <w:rsid w:val="0001209C"/>
    <w:rsid w:val="000128EA"/>
    <w:rsid w:val="000129E1"/>
    <w:rsid w:val="00012AA5"/>
    <w:rsid w:val="00013852"/>
    <w:rsid w:val="00013A9B"/>
    <w:rsid w:val="00013B92"/>
    <w:rsid w:val="00013CE8"/>
    <w:rsid w:val="00013D38"/>
    <w:rsid w:val="00013D4F"/>
    <w:rsid w:val="0001482B"/>
    <w:rsid w:val="00014B10"/>
    <w:rsid w:val="00014FAA"/>
    <w:rsid w:val="00015FF6"/>
    <w:rsid w:val="000160CE"/>
    <w:rsid w:val="0001637F"/>
    <w:rsid w:val="000164DF"/>
    <w:rsid w:val="00017B90"/>
    <w:rsid w:val="00020791"/>
    <w:rsid w:val="00021712"/>
    <w:rsid w:val="00022297"/>
    <w:rsid w:val="0002288D"/>
    <w:rsid w:val="00023069"/>
    <w:rsid w:val="00023B0A"/>
    <w:rsid w:val="00023EFE"/>
    <w:rsid w:val="00025728"/>
    <w:rsid w:val="00025E7E"/>
    <w:rsid w:val="00025EDB"/>
    <w:rsid w:val="000267E1"/>
    <w:rsid w:val="00027C27"/>
    <w:rsid w:val="00027EE6"/>
    <w:rsid w:val="0003025A"/>
    <w:rsid w:val="00030670"/>
    <w:rsid w:val="00030A56"/>
    <w:rsid w:val="000311AB"/>
    <w:rsid w:val="00031272"/>
    <w:rsid w:val="0003166C"/>
    <w:rsid w:val="0003208E"/>
    <w:rsid w:val="00032552"/>
    <w:rsid w:val="00032E6B"/>
    <w:rsid w:val="00033219"/>
    <w:rsid w:val="00036333"/>
    <w:rsid w:val="00036CF2"/>
    <w:rsid w:val="00037107"/>
    <w:rsid w:val="00037734"/>
    <w:rsid w:val="00040021"/>
    <w:rsid w:val="00041BD7"/>
    <w:rsid w:val="00042F77"/>
    <w:rsid w:val="0004318F"/>
    <w:rsid w:val="000439FF"/>
    <w:rsid w:val="0004467E"/>
    <w:rsid w:val="00044B07"/>
    <w:rsid w:val="000452DC"/>
    <w:rsid w:val="00045345"/>
    <w:rsid w:val="00045449"/>
    <w:rsid w:val="000461BA"/>
    <w:rsid w:val="0004692D"/>
    <w:rsid w:val="00046E3A"/>
    <w:rsid w:val="00047160"/>
    <w:rsid w:val="00050655"/>
    <w:rsid w:val="0005076A"/>
    <w:rsid w:val="0005091D"/>
    <w:rsid w:val="00050BB4"/>
    <w:rsid w:val="00050C23"/>
    <w:rsid w:val="00050D88"/>
    <w:rsid w:val="00051045"/>
    <w:rsid w:val="00051D5C"/>
    <w:rsid w:val="00052612"/>
    <w:rsid w:val="000532FD"/>
    <w:rsid w:val="00053570"/>
    <w:rsid w:val="000536BF"/>
    <w:rsid w:val="00053F5E"/>
    <w:rsid w:val="000544D0"/>
    <w:rsid w:val="0005572E"/>
    <w:rsid w:val="00055755"/>
    <w:rsid w:val="00055ADB"/>
    <w:rsid w:val="0005629D"/>
    <w:rsid w:val="00056AA7"/>
    <w:rsid w:val="00057782"/>
    <w:rsid w:val="0005783D"/>
    <w:rsid w:val="00060163"/>
    <w:rsid w:val="000606F7"/>
    <w:rsid w:val="0006085E"/>
    <w:rsid w:val="00060B0F"/>
    <w:rsid w:val="0006128A"/>
    <w:rsid w:val="0006149D"/>
    <w:rsid w:val="00061A77"/>
    <w:rsid w:val="00061BCE"/>
    <w:rsid w:val="00062764"/>
    <w:rsid w:val="00062838"/>
    <w:rsid w:val="00063CA7"/>
    <w:rsid w:val="00065167"/>
    <w:rsid w:val="00065382"/>
    <w:rsid w:val="00065411"/>
    <w:rsid w:val="00066059"/>
    <w:rsid w:val="000665F1"/>
    <w:rsid w:val="00070074"/>
    <w:rsid w:val="00070D62"/>
    <w:rsid w:val="00071067"/>
    <w:rsid w:val="000714BA"/>
    <w:rsid w:val="000728E0"/>
    <w:rsid w:val="00072ABF"/>
    <w:rsid w:val="00072F2C"/>
    <w:rsid w:val="00073C3D"/>
    <w:rsid w:val="00073D95"/>
    <w:rsid w:val="00074917"/>
    <w:rsid w:val="00074E51"/>
    <w:rsid w:val="00075044"/>
    <w:rsid w:val="00075C7A"/>
    <w:rsid w:val="00075D0E"/>
    <w:rsid w:val="00075EA2"/>
    <w:rsid w:val="000762A8"/>
    <w:rsid w:val="00076439"/>
    <w:rsid w:val="00076F0F"/>
    <w:rsid w:val="00077D8A"/>
    <w:rsid w:val="000808D4"/>
    <w:rsid w:val="000811BB"/>
    <w:rsid w:val="00081DDC"/>
    <w:rsid w:val="00082347"/>
    <w:rsid w:val="00082A72"/>
    <w:rsid w:val="00082EB9"/>
    <w:rsid w:val="000830A6"/>
    <w:rsid w:val="00083389"/>
    <w:rsid w:val="00083D4A"/>
    <w:rsid w:val="00084BF3"/>
    <w:rsid w:val="0008508A"/>
    <w:rsid w:val="00087411"/>
    <w:rsid w:val="00087842"/>
    <w:rsid w:val="00087AE1"/>
    <w:rsid w:val="00087D1C"/>
    <w:rsid w:val="00090627"/>
    <w:rsid w:val="00090750"/>
    <w:rsid w:val="00090AD2"/>
    <w:rsid w:val="000911D6"/>
    <w:rsid w:val="0009151C"/>
    <w:rsid w:val="00091EB4"/>
    <w:rsid w:val="0009219E"/>
    <w:rsid w:val="000925BD"/>
    <w:rsid w:val="000926EC"/>
    <w:rsid w:val="00093193"/>
    <w:rsid w:val="00093227"/>
    <w:rsid w:val="00093A94"/>
    <w:rsid w:val="00093C6D"/>
    <w:rsid w:val="00093DC2"/>
    <w:rsid w:val="00094023"/>
    <w:rsid w:val="0009492C"/>
    <w:rsid w:val="00094D99"/>
    <w:rsid w:val="00095F01"/>
    <w:rsid w:val="000978FD"/>
    <w:rsid w:val="00097F59"/>
    <w:rsid w:val="000A0895"/>
    <w:rsid w:val="000A0EA4"/>
    <w:rsid w:val="000A1198"/>
    <w:rsid w:val="000A11F1"/>
    <w:rsid w:val="000A170A"/>
    <w:rsid w:val="000A29E9"/>
    <w:rsid w:val="000A397C"/>
    <w:rsid w:val="000A4527"/>
    <w:rsid w:val="000A4F6B"/>
    <w:rsid w:val="000A6602"/>
    <w:rsid w:val="000A6A62"/>
    <w:rsid w:val="000B00A6"/>
    <w:rsid w:val="000B0EA9"/>
    <w:rsid w:val="000B1787"/>
    <w:rsid w:val="000B19FC"/>
    <w:rsid w:val="000B21E9"/>
    <w:rsid w:val="000B2446"/>
    <w:rsid w:val="000B2BAA"/>
    <w:rsid w:val="000B3385"/>
    <w:rsid w:val="000B3576"/>
    <w:rsid w:val="000B3EB1"/>
    <w:rsid w:val="000B448B"/>
    <w:rsid w:val="000B461B"/>
    <w:rsid w:val="000B594D"/>
    <w:rsid w:val="000B6338"/>
    <w:rsid w:val="000B7BBA"/>
    <w:rsid w:val="000C08B3"/>
    <w:rsid w:val="000C1225"/>
    <w:rsid w:val="000C2EC6"/>
    <w:rsid w:val="000C3588"/>
    <w:rsid w:val="000C41A7"/>
    <w:rsid w:val="000C43C8"/>
    <w:rsid w:val="000C46CD"/>
    <w:rsid w:val="000C4956"/>
    <w:rsid w:val="000C5148"/>
    <w:rsid w:val="000C608D"/>
    <w:rsid w:val="000C6333"/>
    <w:rsid w:val="000C746D"/>
    <w:rsid w:val="000D00E1"/>
    <w:rsid w:val="000D224E"/>
    <w:rsid w:val="000D251E"/>
    <w:rsid w:val="000D2D5D"/>
    <w:rsid w:val="000D3962"/>
    <w:rsid w:val="000D3AD9"/>
    <w:rsid w:val="000D3C22"/>
    <w:rsid w:val="000D45B2"/>
    <w:rsid w:val="000D4B8B"/>
    <w:rsid w:val="000D4D79"/>
    <w:rsid w:val="000D4F79"/>
    <w:rsid w:val="000D516A"/>
    <w:rsid w:val="000D5863"/>
    <w:rsid w:val="000D6158"/>
    <w:rsid w:val="000D6FA4"/>
    <w:rsid w:val="000E02F8"/>
    <w:rsid w:val="000E035E"/>
    <w:rsid w:val="000E0C02"/>
    <w:rsid w:val="000E1158"/>
    <w:rsid w:val="000E144A"/>
    <w:rsid w:val="000E1525"/>
    <w:rsid w:val="000E184B"/>
    <w:rsid w:val="000E19CB"/>
    <w:rsid w:val="000E1F22"/>
    <w:rsid w:val="000E1FE8"/>
    <w:rsid w:val="000E2549"/>
    <w:rsid w:val="000E2AA1"/>
    <w:rsid w:val="000E2ECD"/>
    <w:rsid w:val="000E3298"/>
    <w:rsid w:val="000E348B"/>
    <w:rsid w:val="000E49C9"/>
    <w:rsid w:val="000E4F34"/>
    <w:rsid w:val="000E5001"/>
    <w:rsid w:val="000E53B8"/>
    <w:rsid w:val="000E5609"/>
    <w:rsid w:val="000E6125"/>
    <w:rsid w:val="000E713E"/>
    <w:rsid w:val="000E7DC1"/>
    <w:rsid w:val="000F017A"/>
    <w:rsid w:val="000F0186"/>
    <w:rsid w:val="000F0330"/>
    <w:rsid w:val="000F107E"/>
    <w:rsid w:val="000F14BD"/>
    <w:rsid w:val="000F16A2"/>
    <w:rsid w:val="000F1726"/>
    <w:rsid w:val="000F1C22"/>
    <w:rsid w:val="000F2423"/>
    <w:rsid w:val="000F2680"/>
    <w:rsid w:val="000F29EE"/>
    <w:rsid w:val="000F338A"/>
    <w:rsid w:val="000F34D8"/>
    <w:rsid w:val="000F3AC3"/>
    <w:rsid w:val="000F490C"/>
    <w:rsid w:val="000F4CCC"/>
    <w:rsid w:val="000F4DBB"/>
    <w:rsid w:val="000F4F6D"/>
    <w:rsid w:val="000F517B"/>
    <w:rsid w:val="000F6441"/>
    <w:rsid w:val="000F6D04"/>
    <w:rsid w:val="000F7704"/>
    <w:rsid w:val="00100432"/>
    <w:rsid w:val="00100499"/>
    <w:rsid w:val="00100BF7"/>
    <w:rsid w:val="00100FA6"/>
    <w:rsid w:val="00101362"/>
    <w:rsid w:val="0010158E"/>
    <w:rsid w:val="001018E2"/>
    <w:rsid w:val="00101B6C"/>
    <w:rsid w:val="00101DB6"/>
    <w:rsid w:val="0010258D"/>
    <w:rsid w:val="00102EE5"/>
    <w:rsid w:val="00102F3D"/>
    <w:rsid w:val="00103B6D"/>
    <w:rsid w:val="00103DD8"/>
    <w:rsid w:val="00103E76"/>
    <w:rsid w:val="00104752"/>
    <w:rsid w:val="0010504D"/>
    <w:rsid w:val="00105B92"/>
    <w:rsid w:val="00105F52"/>
    <w:rsid w:val="00106030"/>
    <w:rsid w:val="00106AC3"/>
    <w:rsid w:val="00106C2C"/>
    <w:rsid w:val="00107257"/>
    <w:rsid w:val="00107505"/>
    <w:rsid w:val="00107F71"/>
    <w:rsid w:val="00110D5B"/>
    <w:rsid w:val="00111663"/>
    <w:rsid w:val="00111B3F"/>
    <w:rsid w:val="00112360"/>
    <w:rsid w:val="00112675"/>
    <w:rsid w:val="001128C6"/>
    <w:rsid w:val="001128D9"/>
    <w:rsid w:val="00112CC1"/>
    <w:rsid w:val="00112FC7"/>
    <w:rsid w:val="00113E58"/>
    <w:rsid w:val="001141DA"/>
    <w:rsid w:val="0011471F"/>
    <w:rsid w:val="00115920"/>
    <w:rsid w:val="00115C0C"/>
    <w:rsid w:val="00116064"/>
    <w:rsid w:val="00116087"/>
    <w:rsid w:val="0011637A"/>
    <w:rsid w:val="00117093"/>
    <w:rsid w:val="001172FE"/>
    <w:rsid w:val="001179DC"/>
    <w:rsid w:val="00117FE1"/>
    <w:rsid w:val="00120624"/>
    <w:rsid w:val="00120D90"/>
    <w:rsid w:val="00121EB1"/>
    <w:rsid w:val="001227AB"/>
    <w:rsid w:val="00123F09"/>
    <w:rsid w:val="00124556"/>
    <w:rsid w:val="001249EC"/>
    <w:rsid w:val="00124F4A"/>
    <w:rsid w:val="00125562"/>
    <w:rsid w:val="00125CC6"/>
    <w:rsid w:val="001275CD"/>
    <w:rsid w:val="00127995"/>
    <w:rsid w:val="00127CC8"/>
    <w:rsid w:val="0013006A"/>
    <w:rsid w:val="001309C4"/>
    <w:rsid w:val="001309D7"/>
    <w:rsid w:val="00130CF9"/>
    <w:rsid w:val="00130DCC"/>
    <w:rsid w:val="001310E0"/>
    <w:rsid w:val="00132127"/>
    <w:rsid w:val="001325F7"/>
    <w:rsid w:val="00132921"/>
    <w:rsid w:val="00132970"/>
    <w:rsid w:val="001329B3"/>
    <w:rsid w:val="00132EAA"/>
    <w:rsid w:val="00133658"/>
    <w:rsid w:val="0013491C"/>
    <w:rsid w:val="001355EE"/>
    <w:rsid w:val="001355F9"/>
    <w:rsid w:val="00135EAD"/>
    <w:rsid w:val="00136237"/>
    <w:rsid w:val="0013648E"/>
    <w:rsid w:val="00136796"/>
    <w:rsid w:val="00137EB8"/>
    <w:rsid w:val="0014052F"/>
    <w:rsid w:val="00140DEA"/>
    <w:rsid w:val="00141467"/>
    <w:rsid w:val="00142FAB"/>
    <w:rsid w:val="00143744"/>
    <w:rsid w:val="001438E8"/>
    <w:rsid w:val="0014420B"/>
    <w:rsid w:val="00145DAE"/>
    <w:rsid w:val="00145FA9"/>
    <w:rsid w:val="00147B68"/>
    <w:rsid w:val="0015084F"/>
    <w:rsid w:val="00151430"/>
    <w:rsid w:val="00152097"/>
    <w:rsid w:val="00152A80"/>
    <w:rsid w:val="00153434"/>
    <w:rsid w:val="001534ED"/>
    <w:rsid w:val="001548F0"/>
    <w:rsid w:val="00154D99"/>
    <w:rsid w:val="0015563A"/>
    <w:rsid w:val="0015615A"/>
    <w:rsid w:val="0015711A"/>
    <w:rsid w:val="00160165"/>
    <w:rsid w:val="0016045F"/>
    <w:rsid w:val="00160461"/>
    <w:rsid w:val="001606F6"/>
    <w:rsid w:val="001613F2"/>
    <w:rsid w:val="00161846"/>
    <w:rsid w:val="0016227A"/>
    <w:rsid w:val="00163654"/>
    <w:rsid w:val="001636DA"/>
    <w:rsid w:val="0016380B"/>
    <w:rsid w:val="00163935"/>
    <w:rsid w:val="00163C69"/>
    <w:rsid w:val="00164169"/>
    <w:rsid w:val="00164342"/>
    <w:rsid w:val="0016442C"/>
    <w:rsid w:val="001645D0"/>
    <w:rsid w:val="00165BE3"/>
    <w:rsid w:val="00165C65"/>
    <w:rsid w:val="00166377"/>
    <w:rsid w:val="00166B27"/>
    <w:rsid w:val="00170329"/>
    <w:rsid w:val="00170689"/>
    <w:rsid w:val="00170EB8"/>
    <w:rsid w:val="00171D20"/>
    <w:rsid w:val="00171D51"/>
    <w:rsid w:val="00171DC0"/>
    <w:rsid w:val="00173422"/>
    <w:rsid w:val="00173E50"/>
    <w:rsid w:val="001746A2"/>
    <w:rsid w:val="00174782"/>
    <w:rsid w:val="00174B02"/>
    <w:rsid w:val="00175102"/>
    <w:rsid w:val="00176BA8"/>
    <w:rsid w:val="00176BCE"/>
    <w:rsid w:val="001775F3"/>
    <w:rsid w:val="001776BF"/>
    <w:rsid w:val="00177E84"/>
    <w:rsid w:val="00177FC7"/>
    <w:rsid w:val="0018008F"/>
    <w:rsid w:val="001800F7"/>
    <w:rsid w:val="001803A6"/>
    <w:rsid w:val="00180511"/>
    <w:rsid w:val="00180A8C"/>
    <w:rsid w:val="00180C91"/>
    <w:rsid w:val="0018267B"/>
    <w:rsid w:val="00182BFB"/>
    <w:rsid w:val="00182F6D"/>
    <w:rsid w:val="001835E5"/>
    <w:rsid w:val="00183ED8"/>
    <w:rsid w:val="00184011"/>
    <w:rsid w:val="00184715"/>
    <w:rsid w:val="001848EA"/>
    <w:rsid w:val="00184BF3"/>
    <w:rsid w:val="00184F8A"/>
    <w:rsid w:val="001850E2"/>
    <w:rsid w:val="00185251"/>
    <w:rsid w:val="00185382"/>
    <w:rsid w:val="00186189"/>
    <w:rsid w:val="001863B3"/>
    <w:rsid w:val="00186627"/>
    <w:rsid w:val="00186AE9"/>
    <w:rsid w:val="001875B3"/>
    <w:rsid w:val="00190645"/>
    <w:rsid w:val="00191466"/>
    <w:rsid w:val="0019149E"/>
    <w:rsid w:val="001917CB"/>
    <w:rsid w:val="0019182F"/>
    <w:rsid w:val="00191BB1"/>
    <w:rsid w:val="00191C72"/>
    <w:rsid w:val="00192060"/>
    <w:rsid w:val="001921E8"/>
    <w:rsid w:val="001925B3"/>
    <w:rsid w:val="00192DC8"/>
    <w:rsid w:val="001930AC"/>
    <w:rsid w:val="001944C8"/>
    <w:rsid w:val="0019580A"/>
    <w:rsid w:val="00195BEB"/>
    <w:rsid w:val="001966F6"/>
    <w:rsid w:val="001969FB"/>
    <w:rsid w:val="00197A23"/>
    <w:rsid w:val="00197FB2"/>
    <w:rsid w:val="001A1482"/>
    <w:rsid w:val="001A1936"/>
    <w:rsid w:val="001A20B0"/>
    <w:rsid w:val="001A21A7"/>
    <w:rsid w:val="001A3149"/>
    <w:rsid w:val="001A3351"/>
    <w:rsid w:val="001A4781"/>
    <w:rsid w:val="001A4E77"/>
    <w:rsid w:val="001A5157"/>
    <w:rsid w:val="001A53A7"/>
    <w:rsid w:val="001A6849"/>
    <w:rsid w:val="001A73D4"/>
    <w:rsid w:val="001A76B3"/>
    <w:rsid w:val="001A7DEF"/>
    <w:rsid w:val="001B0C1B"/>
    <w:rsid w:val="001B16C1"/>
    <w:rsid w:val="001B1773"/>
    <w:rsid w:val="001B18E0"/>
    <w:rsid w:val="001B1962"/>
    <w:rsid w:val="001B2D25"/>
    <w:rsid w:val="001B4266"/>
    <w:rsid w:val="001B4565"/>
    <w:rsid w:val="001B46D7"/>
    <w:rsid w:val="001B4BEC"/>
    <w:rsid w:val="001B507A"/>
    <w:rsid w:val="001B54DD"/>
    <w:rsid w:val="001B62D7"/>
    <w:rsid w:val="001B7985"/>
    <w:rsid w:val="001B7B47"/>
    <w:rsid w:val="001B7CF0"/>
    <w:rsid w:val="001C0151"/>
    <w:rsid w:val="001C14B3"/>
    <w:rsid w:val="001C1DBE"/>
    <w:rsid w:val="001C1F02"/>
    <w:rsid w:val="001C260A"/>
    <w:rsid w:val="001C2D48"/>
    <w:rsid w:val="001C2D8A"/>
    <w:rsid w:val="001C3085"/>
    <w:rsid w:val="001C3106"/>
    <w:rsid w:val="001C3107"/>
    <w:rsid w:val="001C32C6"/>
    <w:rsid w:val="001C3D4C"/>
    <w:rsid w:val="001C3D5A"/>
    <w:rsid w:val="001C4634"/>
    <w:rsid w:val="001C6741"/>
    <w:rsid w:val="001C6DB7"/>
    <w:rsid w:val="001C72C1"/>
    <w:rsid w:val="001C73EB"/>
    <w:rsid w:val="001C7470"/>
    <w:rsid w:val="001C7A76"/>
    <w:rsid w:val="001C7D52"/>
    <w:rsid w:val="001C7DBF"/>
    <w:rsid w:val="001C7F80"/>
    <w:rsid w:val="001D01BB"/>
    <w:rsid w:val="001D041E"/>
    <w:rsid w:val="001D06C1"/>
    <w:rsid w:val="001D294E"/>
    <w:rsid w:val="001D2B69"/>
    <w:rsid w:val="001D3802"/>
    <w:rsid w:val="001D3C54"/>
    <w:rsid w:val="001D3D71"/>
    <w:rsid w:val="001D47F8"/>
    <w:rsid w:val="001D4CDC"/>
    <w:rsid w:val="001D4D40"/>
    <w:rsid w:val="001D4F2F"/>
    <w:rsid w:val="001D51D8"/>
    <w:rsid w:val="001D53F8"/>
    <w:rsid w:val="001D5CED"/>
    <w:rsid w:val="001D5EAB"/>
    <w:rsid w:val="001D5EB2"/>
    <w:rsid w:val="001D6152"/>
    <w:rsid w:val="001D6836"/>
    <w:rsid w:val="001D68C6"/>
    <w:rsid w:val="001D6EE8"/>
    <w:rsid w:val="001D7F56"/>
    <w:rsid w:val="001E010D"/>
    <w:rsid w:val="001E062D"/>
    <w:rsid w:val="001E0924"/>
    <w:rsid w:val="001E0F01"/>
    <w:rsid w:val="001E211E"/>
    <w:rsid w:val="001E2501"/>
    <w:rsid w:val="001E281F"/>
    <w:rsid w:val="001E3A31"/>
    <w:rsid w:val="001E43D7"/>
    <w:rsid w:val="001E534A"/>
    <w:rsid w:val="001E548A"/>
    <w:rsid w:val="001E5C15"/>
    <w:rsid w:val="001E601A"/>
    <w:rsid w:val="001E6E50"/>
    <w:rsid w:val="001E7437"/>
    <w:rsid w:val="001E7480"/>
    <w:rsid w:val="001E74E1"/>
    <w:rsid w:val="001F0834"/>
    <w:rsid w:val="001F0D3B"/>
    <w:rsid w:val="001F19B4"/>
    <w:rsid w:val="001F1A52"/>
    <w:rsid w:val="001F1F14"/>
    <w:rsid w:val="001F34A5"/>
    <w:rsid w:val="001F370A"/>
    <w:rsid w:val="001F4557"/>
    <w:rsid w:val="001F54B1"/>
    <w:rsid w:val="001F5541"/>
    <w:rsid w:val="001F64C1"/>
    <w:rsid w:val="001F75A0"/>
    <w:rsid w:val="001F75D9"/>
    <w:rsid w:val="001F7B1A"/>
    <w:rsid w:val="001F7DF2"/>
    <w:rsid w:val="0020142E"/>
    <w:rsid w:val="00201886"/>
    <w:rsid w:val="00201CE6"/>
    <w:rsid w:val="00201F64"/>
    <w:rsid w:val="00202131"/>
    <w:rsid w:val="002029FD"/>
    <w:rsid w:val="00202EE9"/>
    <w:rsid w:val="0020391F"/>
    <w:rsid w:val="00203C14"/>
    <w:rsid w:val="00204204"/>
    <w:rsid w:val="002051C9"/>
    <w:rsid w:val="00205544"/>
    <w:rsid w:val="002064A4"/>
    <w:rsid w:val="00206BBF"/>
    <w:rsid w:val="0020738D"/>
    <w:rsid w:val="00207877"/>
    <w:rsid w:val="00207C53"/>
    <w:rsid w:val="00207EFF"/>
    <w:rsid w:val="002103BB"/>
    <w:rsid w:val="00210F2E"/>
    <w:rsid w:val="00211627"/>
    <w:rsid w:val="002117C6"/>
    <w:rsid w:val="0021345A"/>
    <w:rsid w:val="00213AE6"/>
    <w:rsid w:val="00214B23"/>
    <w:rsid w:val="00215AD9"/>
    <w:rsid w:val="00216C6A"/>
    <w:rsid w:val="002172F4"/>
    <w:rsid w:val="00217AAE"/>
    <w:rsid w:val="00220258"/>
    <w:rsid w:val="00220B8F"/>
    <w:rsid w:val="00220CAE"/>
    <w:rsid w:val="00221855"/>
    <w:rsid w:val="00221B04"/>
    <w:rsid w:val="00222530"/>
    <w:rsid w:val="0022259D"/>
    <w:rsid w:val="002235DA"/>
    <w:rsid w:val="002238C3"/>
    <w:rsid w:val="00223EF2"/>
    <w:rsid w:val="00224157"/>
    <w:rsid w:val="0022416D"/>
    <w:rsid w:val="00224BB3"/>
    <w:rsid w:val="00224D61"/>
    <w:rsid w:val="00224F14"/>
    <w:rsid w:val="00225CF8"/>
    <w:rsid w:val="00225D65"/>
    <w:rsid w:val="00225F82"/>
    <w:rsid w:val="00226D49"/>
    <w:rsid w:val="0022710C"/>
    <w:rsid w:val="002272EE"/>
    <w:rsid w:val="00227759"/>
    <w:rsid w:val="0022785E"/>
    <w:rsid w:val="00230A5E"/>
    <w:rsid w:val="00230F45"/>
    <w:rsid w:val="00231BFA"/>
    <w:rsid w:val="0023205B"/>
    <w:rsid w:val="00233342"/>
    <w:rsid w:val="002335AB"/>
    <w:rsid w:val="00234B8D"/>
    <w:rsid w:val="00235E79"/>
    <w:rsid w:val="00235F28"/>
    <w:rsid w:val="002360BC"/>
    <w:rsid w:val="002366FE"/>
    <w:rsid w:val="00236B70"/>
    <w:rsid w:val="002408F6"/>
    <w:rsid w:val="00240E7A"/>
    <w:rsid w:val="00240F23"/>
    <w:rsid w:val="0024175E"/>
    <w:rsid w:val="002420F2"/>
    <w:rsid w:val="002421E3"/>
    <w:rsid w:val="002455F0"/>
    <w:rsid w:val="0024599B"/>
    <w:rsid w:val="00246A7E"/>
    <w:rsid w:val="00247198"/>
    <w:rsid w:val="0024782B"/>
    <w:rsid w:val="0025051F"/>
    <w:rsid w:val="00251151"/>
    <w:rsid w:val="0025151C"/>
    <w:rsid w:val="0025279C"/>
    <w:rsid w:val="00252A4E"/>
    <w:rsid w:val="0025319A"/>
    <w:rsid w:val="0025396D"/>
    <w:rsid w:val="0025404C"/>
    <w:rsid w:val="00254826"/>
    <w:rsid w:val="00254D57"/>
    <w:rsid w:val="00255A86"/>
    <w:rsid w:val="00255BD8"/>
    <w:rsid w:val="00255F0A"/>
    <w:rsid w:val="0025617C"/>
    <w:rsid w:val="0026050F"/>
    <w:rsid w:val="00260FB7"/>
    <w:rsid w:val="002615E8"/>
    <w:rsid w:val="00261B32"/>
    <w:rsid w:val="00261DCE"/>
    <w:rsid w:val="0026251E"/>
    <w:rsid w:val="00262DC1"/>
    <w:rsid w:val="00264087"/>
    <w:rsid w:val="002646DA"/>
    <w:rsid w:val="002648CF"/>
    <w:rsid w:val="00265750"/>
    <w:rsid w:val="00265FE7"/>
    <w:rsid w:val="0026644A"/>
    <w:rsid w:val="002671AB"/>
    <w:rsid w:val="00270940"/>
    <w:rsid w:val="002709E0"/>
    <w:rsid w:val="00270A16"/>
    <w:rsid w:val="00271E24"/>
    <w:rsid w:val="002723D9"/>
    <w:rsid w:val="00273124"/>
    <w:rsid w:val="002741AF"/>
    <w:rsid w:val="00274D3A"/>
    <w:rsid w:val="002768C7"/>
    <w:rsid w:val="00277A03"/>
    <w:rsid w:val="00280970"/>
    <w:rsid w:val="00282189"/>
    <w:rsid w:val="00282589"/>
    <w:rsid w:val="0028340E"/>
    <w:rsid w:val="00283568"/>
    <w:rsid w:val="00283764"/>
    <w:rsid w:val="002837EB"/>
    <w:rsid w:val="0028388D"/>
    <w:rsid w:val="00283AE9"/>
    <w:rsid w:val="00283C66"/>
    <w:rsid w:val="002847BB"/>
    <w:rsid w:val="00285386"/>
    <w:rsid w:val="00285427"/>
    <w:rsid w:val="00285782"/>
    <w:rsid w:val="00285A68"/>
    <w:rsid w:val="00286FA0"/>
    <w:rsid w:val="00287F94"/>
    <w:rsid w:val="002906CA"/>
    <w:rsid w:val="00290BEB"/>
    <w:rsid w:val="00291493"/>
    <w:rsid w:val="00291589"/>
    <w:rsid w:val="00292D1A"/>
    <w:rsid w:val="00293213"/>
    <w:rsid w:val="002940E1"/>
    <w:rsid w:val="00294513"/>
    <w:rsid w:val="0029499A"/>
    <w:rsid w:val="00295685"/>
    <w:rsid w:val="0029755D"/>
    <w:rsid w:val="00297E1C"/>
    <w:rsid w:val="002A08F9"/>
    <w:rsid w:val="002A0E82"/>
    <w:rsid w:val="002A1A64"/>
    <w:rsid w:val="002A1F14"/>
    <w:rsid w:val="002A206C"/>
    <w:rsid w:val="002A3826"/>
    <w:rsid w:val="002A3A12"/>
    <w:rsid w:val="002A43D0"/>
    <w:rsid w:val="002A4DA7"/>
    <w:rsid w:val="002A4DCE"/>
    <w:rsid w:val="002A5580"/>
    <w:rsid w:val="002A57D9"/>
    <w:rsid w:val="002A5D56"/>
    <w:rsid w:val="002A6075"/>
    <w:rsid w:val="002A676B"/>
    <w:rsid w:val="002A684C"/>
    <w:rsid w:val="002A6E4E"/>
    <w:rsid w:val="002A774D"/>
    <w:rsid w:val="002A784B"/>
    <w:rsid w:val="002A7860"/>
    <w:rsid w:val="002A78D3"/>
    <w:rsid w:val="002B0036"/>
    <w:rsid w:val="002B14B1"/>
    <w:rsid w:val="002B266A"/>
    <w:rsid w:val="002B27B4"/>
    <w:rsid w:val="002B4615"/>
    <w:rsid w:val="002B68D8"/>
    <w:rsid w:val="002B6BD1"/>
    <w:rsid w:val="002B7383"/>
    <w:rsid w:val="002B77A2"/>
    <w:rsid w:val="002C0608"/>
    <w:rsid w:val="002C0623"/>
    <w:rsid w:val="002C1434"/>
    <w:rsid w:val="002C15B9"/>
    <w:rsid w:val="002C1646"/>
    <w:rsid w:val="002C166A"/>
    <w:rsid w:val="002C18EF"/>
    <w:rsid w:val="002C29EB"/>
    <w:rsid w:val="002C2C41"/>
    <w:rsid w:val="002C3BEC"/>
    <w:rsid w:val="002C41C1"/>
    <w:rsid w:val="002C4713"/>
    <w:rsid w:val="002C4724"/>
    <w:rsid w:val="002C528E"/>
    <w:rsid w:val="002C56AE"/>
    <w:rsid w:val="002C63F6"/>
    <w:rsid w:val="002C7DDE"/>
    <w:rsid w:val="002D07E2"/>
    <w:rsid w:val="002D22D2"/>
    <w:rsid w:val="002D3702"/>
    <w:rsid w:val="002D3E1A"/>
    <w:rsid w:val="002D4FEA"/>
    <w:rsid w:val="002D6239"/>
    <w:rsid w:val="002D686B"/>
    <w:rsid w:val="002D6C1F"/>
    <w:rsid w:val="002D74BC"/>
    <w:rsid w:val="002D7BA4"/>
    <w:rsid w:val="002E0316"/>
    <w:rsid w:val="002E0999"/>
    <w:rsid w:val="002E1B56"/>
    <w:rsid w:val="002E2391"/>
    <w:rsid w:val="002E2569"/>
    <w:rsid w:val="002E3FAF"/>
    <w:rsid w:val="002E52A4"/>
    <w:rsid w:val="002E5BAD"/>
    <w:rsid w:val="002E6047"/>
    <w:rsid w:val="002E6D1D"/>
    <w:rsid w:val="002E75E5"/>
    <w:rsid w:val="002E787C"/>
    <w:rsid w:val="002E7A58"/>
    <w:rsid w:val="002F0501"/>
    <w:rsid w:val="002F0614"/>
    <w:rsid w:val="002F077A"/>
    <w:rsid w:val="002F10BE"/>
    <w:rsid w:val="002F13DA"/>
    <w:rsid w:val="002F152E"/>
    <w:rsid w:val="002F15EB"/>
    <w:rsid w:val="002F259C"/>
    <w:rsid w:val="002F28DC"/>
    <w:rsid w:val="002F2F45"/>
    <w:rsid w:val="002F3CE0"/>
    <w:rsid w:val="002F5EFC"/>
    <w:rsid w:val="002F62DA"/>
    <w:rsid w:val="002F6A76"/>
    <w:rsid w:val="002F7934"/>
    <w:rsid w:val="002F7C1A"/>
    <w:rsid w:val="0030016D"/>
    <w:rsid w:val="003005BB"/>
    <w:rsid w:val="00301261"/>
    <w:rsid w:val="003020D0"/>
    <w:rsid w:val="00303DE5"/>
    <w:rsid w:val="00304842"/>
    <w:rsid w:val="003049D4"/>
    <w:rsid w:val="003055D2"/>
    <w:rsid w:val="00306E3F"/>
    <w:rsid w:val="00307411"/>
    <w:rsid w:val="00307CA3"/>
    <w:rsid w:val="003103EE"/>
    <w:rsid w:val="00310FDB"/>
    <w:rsid w:val="00312370"/>
    <w:rsid w:val="0031253B"/>
    <w:rsid w:val="00312E82"/>
    <w:rsid w:val="00312F28"/>
    <w:rsid w:val="00312F6A"/>
    <w:rsid w:val="0031327D"/>
    <w:rsid w:val="003132A5"/>
    <w:rsid w:val="00313941"/>
    <w:rsid w:val="00314572"/>
    <w:rsid w:val="00316194"/>
    <w:rsid w:val="003169B4"/>
    <w:rsid w:val="00316BE6"/>
    <w:rsid w:val="00316D84"/>
    <w:rsid w:val="00316DC3"/>
    <w:rsid w:val="00317778"/>
    <w:rsid w:val="00317844"/>
    <w:rsid w:val="003179A7"/>
    <w:rsid w:val="00317A6C"/>
    <w:rsid w:val="00317D89"/>
    <w:rsid w:val="0032010F"/>
    <w:rsid w:val="00321818"/>
    <w:rsid w:val="003224B7"/>
    <w:rsid w:val="00322644"/>
    <w:rsid w:val="003228E8"/>
    <w:rsid w:val="00322A16"/>
    <w:rsid w:val="00322DB9"/>
    <w:rsid w:val="00322EA4"/>
    <w:rsid w:val="0032350D"/>
    <w:rsid w:val="00323E74"/>
    <w:rsid w:val="00324481"/>
    <w:rsid w:val="00324591"/>
    <w:rsid w:val="00324C5B"/>
    <w:rsid w:val="00324F21"/>
    <w:rsid w:val="003253C2"/>
    <w:rsid w:val="003256A4"/>
    <w:rsid w:val="00326E92"/>
    <w:rsid w:val="003273E3"/>
    <w:rsid w:val="00327410"/>
    <w:rsid w:val="00327473"/>
    <w:rsid w:val="003306F8"/>
    <w:rsid w:val="00330B87"/>
    <w:rsid w:val="00331168"/>
    <w:rsid w:val="0033211D"/>
    <w:rsid w:val="00332244"/>
    <w:rsid w:val="003326C9"/>
    <w:rsid w:val="00333489"/>
    <w:rsid w:val="00333CAE"/>
    <w:rsid w:val="0033440B"/>
    <w:rsid w:val="003360A2"/>
    <w:rsid w:val="003361B8"/>
    <w:rsid w:val="00336B2A"/>
    <w:rsid w:val="00336D42"/>
    <w:rsid w:val="00337B4F"/>
    <w:rsid w:val="00340B0B"/>
    <w:rsid w:val="0034229F"/>
    <w:rsid w:val="00342CED"/>
    <w:rsid w:val="00342DB5"/>
    <w:rsid w:val="0034374A"/>
    <w:rsid w:val="00343CEF"/>
    <w:rsid w:val="00344CB0"/>
    <w:rsid w:val="00344FB1"/>
    <w:rsid w:val="003454A8"/>
    <w:rsid w:val="00345558"/>
    <w:rsid w:val="00345F5C"/>
    <w:rsid w:val="0034658A"/>
    <w:rsid w:val="003467C8"/>
    <w:rsid w:val="003469D1"/>
    <w:rsid w:val="00346E66"/>
    <w:rsid w:val="0034750C"/>
    <w:rsid w:val="003476AA"/>
    <w:rsid w:val="00347C3C"/>
    <w:rsid w:val="0035079F"/>
    <w:rsid w:val="00351CC9"/>
    <w:rsid w:val="003527C1"/>
    <w:rsid w:val="00352C25"/>
    <w:rsid w:val="00353187"/>
    <w:rsid w:val="00353A25"/>
    <w:rsid w:val="00353A8E"/>
    <w:rsid w:val="00353C61"/>
    <w:rsid w:val="0035437A"/>
    <w:rsid w:val="00355985"/>
    <w:rsid w:val="003565B6"/>
    <w:rsid w:val="00356A66"/>
    <w:rsid w:val="00357418"/>
    <w:rsid w:val="003606CA"/>
    <w:rsid w:val="00360910"/>
    <w:rsid w:val="00360B75"/>
    <w:rsid w:val="00360C2B"/>
    <w:rsid w:val="00361737"/>
    <w:rsid w:val="00362225"/>
    <w:rsid w:val="0036250A"/>
    <w:rsid w:val="003637F5"/>
    <w:rsid w:val="00363F41"/>
    <w:rsid w:val="00364237"/>
    <w:rsid w:val="003642E9"/>
    <w:rsid w:val="00366187"/>
    <w:rsid w:val="00366777"/>
    <w:rsid w:val="00366A33"/>
    <w:rsid w:val="00366BEC"/>
    <w:rsid w:val="00366D56"/>
    <w:rsid w:val="00366EEA"/>
    <w:rsid w:val="00367871"/>
    <w:rsid w:val="00367DAD"/>
    <w:rsid w:val="00367E2E"/>
    <w:rsid w:val="00370DA2"/>
    <w:rsid w:val="0037167A"/>
    <w:rsid w:val="00372220"/>
    <w:rsid w:val="00372C96"/>
    <w:rsid w:val="0037342A"/>
    <w:rsid w:val="00373CC8"/>
    <w:rsid w:val="00374888"/>
    <w:rsid w:val="00374D25"/>
    <w:rsid w:val="00374E24"/>
    <w:rsid w:val="00374FAF"/>
    <w:rsid w:val="00375435"/>
    <w:rsid w:val="00375771"/>
    <w:rsid w:val="00375E2A"/>
    <w:rsid w:val="00376609"/>
    <w:rsid w:val="00376BD4"/>
    <w:rsid w:val="00377428"/>
    <w:rsid w:val="003802BC"/>
    <w:rsid w:val="00381152"/>
    <w:rsid w:val="0038146C"/>
    <w:rsid w:val="00382E91"/>
    <w:rsid w:val="0038330C"/>
    <w:rsid w:val="003849E2"/>
    <w:rsid w:val="003852EA"/>
    <w:rsid w:val="003856DC"/>
    <w:rsid w:val="00386D04"/>
    <w:rsid w:val="00386D6F"/>
    <w:rsid w:val="003901B8"/>
    <w:rsid w:val="003908E9"/>
    <w:rsid w:val="00391E53"/>
    <w:rsid w:val="00393B2E"/>
    <w:rsid w:val="00393B79"/>
    <w:rsid w:val="00396B06"/>
    <w:rsid w:val="003A1D0D"/>
    <w:rsid w:val="003A300E"/>
    <w:rsid w:val="003A307F"/>
    <w:rsid w:val="003A318E"/>
    <w:rsid w:val="003A38FB"/>
    <w:rsid w:val="003A41A0"/>
    <w:rsid w:val="003A483B"/>
    <w:rsid w:val="003A56AA"/>
    <w:rsid w:val="003A6BEF"/>
    <w:rsid w:val="003A7AE9"/>
    <w:rsid w:val="003B014D"/>
    <w:rsid w:val="003B04B9"/>
    <w:rsid w:val="003B0A8F"/>
    <w:rsid w:val="003B0D33"/>
    <w:rsid w:val="003B153D"/>
    <w:rsid w:val="003B4D4F"/>
    <w:rsid w:val="003B4E79"/>
    <w:rsid w:val="003B525E"/>
    <w:rsid w:val="003B532C"/>
    <w:rsid w:val="003B59D7"/>
    <w:rsid w:val="003C0399"/>
    <w:rsid w:val="003C0DBC"/>
    <w:rsid w:val="003C1086"/>
    <w:rsid w:val="003C20CC"/>
    <w:rsid w:val="003C2358"/>
    <w:rsid w:val="003C2B04"/>
    <w:rsid w:val="003C321D"/>
    <w:rsid w:val="003C3744"/>
    <w:rsid w:val="003C3B66"/>
    <w:rsid w:val="003C5631"/>
    <w:rsid w:val="003C56D2"/>
    <w:rsid w:val="003C68C2"/>
    <w:rsid w:val="003C6CE9"/>
    <w:rsid w:val="003C714A"/>
    <w:rsid w:val="003C758A"/>
    <w:rsid w:val="003D0049"/>
    <w:rsid w:val="003D06CD"/>
    <w:rsid w:val="003D0C03"/>
    <w:rsid w:val="003D1457"/>
    <w:rsid w:val="003D17AA"/>
    <w:rsid w:val="003D23D5"/>
    <w:rsid w:val="003D2572"/>
    <w:rsid w:val="003D29E8"/>
    <w:rsid w:val="003D2A8E"/>
    <w:rsid w:val="003D2F77"/>
    <w:rsid w:val="003D3498"/>
    <w:rsid w:val="003D382D"/>
    <w:rsid w:val="003D464B"/>
    <w:rsid w:val="003D50B7"/>
    <w:rsid w:val="003D5597"/>
    <w:rsid w:val="003D598C"/>
    <w:rsid w:val="003D6352"/>
    <w:rsid w:val="003D6826"/>
    <w:rsid w:val="003D7121"/>
    <w:rsid w:val="003D7167"/>
    <w:rsid w:val="003D7919"/>
    <w:rsid w:val="003D7AB0"/>
    <w:rsid w:val="003D7B2A"/>
    <w:rsid w:val="003E0614"/>
    <w:rsid w:val="003E133B"/>
    <w:rsid w:val="003E1438"/>
    <w:rsid w:val="003E2C08"/>
    <w:rsid w:val="003E36B6"/>
    <w:rsid w:val="003E4B7A"/>
    <w:rsid w:val="003E4D10"/>
    <w:rsid w:val="003E4DC2"/>
    <w:rsid w:val="003E5AAE"/>
    <w:rsid w:val="003E5D61"/>
    <w:rsid w:val="003E6A82"/>
    <w:rsid w:val="003E786D"/>
    <w:rsid w:val="003E7E56"/>
    <w:rsid w:val="003F018D"/>
    <w:rsid w:val="003F0A11"/>
    <w:rsid w:val="003F0AEE"/>
    <w:rsid w:val="003F1455"/>
    <w:rsid w:val="003F2230"/>
    <w:rsid w:val="003F239B"/>
    <w:rsid w:val="003F29EB"/>
    <w:rsid w:val="003F2A12"/>
    <w:rsid w:val="003F36DC"/>
    <w:rsid w:val="003F47AB"/>
    <w:rsid w:val="003F5429"/>
    <w:rsid w:val="003F55B8"/>
    <w:rsid w:val="003F639F"/>
    <w:rsid w:val="003F665F"/>
    <w:rsid w:val="003F6664"/>
    <w:rsid w:val="003F72BB"/>
    <w:rsid w:val="003F75F3"/>
    <w:rsid w:val="003F76F6"/>
    <w:rsid w:val="003F7917"/>
    <w:rsid w:val="003F7945"/>
    <w:rsid w:val="004003B2"/>
    <w:rsid w:val="00400580"/>
    <w:rsid w:val="0040068D"/>
    <w:rsid w:val="00401C79"/>
    <w:rsid w:val="004023BA"/>
    <w:rsid w:val="00402C51"/>
    <w:rsid w:val="00402E08"/>
    <w:rsid w:val="00403171"/>
    <w:rsid w:val="00403957"/>
    <w:rsid w:val="00403FAB"/>
    <w:rsid w:val="00404886"/>
    <w:rsid w:val="00404E6C"/>
    <w:rsid w:val="00404E83"/>
    <w:rsid w:val="0040643E"/>
    <w:rsid w:val="0040649A"/>
    <w:rsid w:val="004064AA"/>
    <w:rsid w:val="00407A4A"/>
    <w:rsid w:val="0041013B"/>
    <w:rsid w:val="00410736"/>
    <w:rsid w:val="004113CD"/>
    <w:rsid w:val="00412B2A"/>
    <w:rsid w:val="0041447C"/>
    <w:rsid w:val="00414BB8"/>
    <w:rsid w:val="00415248"/>
    <w:rsid w:val="00415988"/>
    <w:rsid w:val="00415E2C"/>
    <w:rsid w:val="00415FEC"/>
    <w:rsid w:val="00417612"/>
    <w:rsid w:val="00417E0E"/>
    <w:rsid w:val="00421198"/>
    <w:rsid w:val="004225E9"/>
    <w:rsid w:val="00422DDD"/>
    <w:rsid w:val="00423582"/>
    <w:rsid w:val="0042383B"/>
    <w:rsid w:val="0042409F"/>
    <w:rsid w:val="00424DDE"/>
    <w:rsid w:val="00424F93"/>
    <w:rsid w:val="00425243"/>
    <w:rsid w:val="004252C1"/>
    <w:rsid w:val="0042541E"/>
    <w:rsid w:val="004255BE"/>
    <w:rsid w:val="00425D30"/>
    <w:rsid w:val="00426923"/>
    <w:rsid w:val="00427079"/>
    <w:rsid w:val="0042721F"/>
    <w:rsid w:val="00427BE4"/>
    <w:rsid w:val="004306A8"/>
    <w:rsid w:val="00430AAD"/>
    <w:rsid w:val="00430EDC"/>
    <w:rsid w:val="0043108F"/>
    <w:rsid w:val="00431D3F"/>
    <w:rsid w:val="00431DF2"/>
    <w:rsid w:val="004324FC"/>
    <w:rsid w:val="00432AC2"/>
    <w:rsid w:val="0043515D"/>
    <w:rsid w:val="00435CDF"/>
    <w:rsid w:val="00435E0E"/>
    <w:rsid w:val="004363B1"/>
    <w:rsid w:val="004366D4"/>
    <w:rsid w:val="00436FD0"/>
    <w:rsid w:val="00440E2A"/>
    <w:rsid w:val="004412DC"/>
    <w:rsid w:val="0044157C"/>
    <w:rsid w:val="00441783"/>
    <w:rsid w:val="004420DA"/>
    <w:rsid w:val="00442CEE"/>
    <w:rsid w:val="00444707"/>
    <w:rsid w:val="00444F00"/>
    <w:rsid w:val="0044537C"/>
    <w:rsid w:val="004455F6"/>
    <w:rsid w:val="00445751"/>
    <w:rsid w:val="00445770"/>
    <w:rsid w:val="00445835"/>
    <w:rsid w:val="004468C2"/>
    <w:rsid w:val="0044697C"/>
    <w:rsid w:val="00446B8D"/>
    <w:rsid w:val="00447DCF"/>
    <w:rsid w:val="004508E6"/>
    <w:rsid w:val="00450C44"/>
    <w:rsid w:val="00450F5B"/>
    <w:rsid w:val="00451080"/>
    <w:rsid w:val="004513B2"/>
    <w:rsid w:val="0045302F"/>
    <w:rsid w:val="004538D0"/>
    <w:rsid w:val="00454750"/>
    <w:rsid w:val="004558DD"/>
    <w:rsid w:val="00455FFF"/>
    <w:rsid w:val="0045615B"/>
    <w:rsid w:val="00456E33"/>
    <w:rsid w:val="004600ED"/>
    <w:rsid w:val="00460582"/>
    <w:rsid w:val="00461340"/>
    <w:rsid w:val="00461755"/>
    <w:rsid w:val="004620CA"/>
    <w:rsid w:val="00462D12"/>
    <w:rsid w:val="00463285"/>
    <w:rsid w:val="00465846"/>
    <w:rsid w:val="00465B35"/>
    <w:rsid w:val="00465B77"/>
    <w:rsid w:val="00466039"/>
    <w:rsid w:val="00466349"/>
    <w:rsid w:val="00466B43"/>
    <w:rsid w:val="00466E5A"/>
    <w:rsid w:val="00467B4B"/>
    <w:rsid w:val="0047022D"/>
    <w:rsid w:val="00470E22"/>
    <w:rsid w:val="00471493"/>
    <w:rsid w:val="004719F5"/>
    <w:rsid w:val="00472259"/>
    <w:rsid w:val="00472D33"/>
    <w:rsid w:val="00473C60"/>
    <w:rsid w:val="00474077"/>
    <w:rsid w:val="00474BF3"/>
    <w:rsid w:val="00475806"/>
    <w:rsid w:val="00475877"/>
    <w:rsid w:val="00475BA6"/>
    <w:rsid w:val="00477B06"/>
    <w:rsid w:val="00477D70"/>
    <w:rsid w:val="00481406"/>
    <w:rsid w:val="00482910"/>
    <w:rsid w:val="004831CC"/>
    <w:rsid w:val="00483F99"/>
    <w:rsid w:val="00485567"/>
    <w:rsid w:val="00485574"/>
    <w:rsid w:val="004855BE"/>
    <w:rsid w:val="004857C7"/>
    <w:rsid w:val="00486198"/>
    <w:rsid w:val="00486860"/>
    <w:rsid w:val="004868F5"/>
    <w:rsid w:val="00486987"/>
    <w:rsid w:val="0049031E"/>
    <w:rsid w:val="00491CC3"/>
    <w:rsid w:val="00491ED9"/>
    <w:rsid w:val="004926EB"/>
    <w:rsid w:val="00492D3E"/>
    <w:rsid w:val="0049318D"/>
    <w:rsid w:val="0049327E"/>
    <w:rsid w:val="00494B58"/>
    <w:rsid w:val="00494CC9"/>
    <w:rsid w:val="00494E82"/>
    <w:rsid w:val="00495623"/>
    <w:rsid w:val="004963CD"/>
    <w:rsid w:val="00496F19"/>
    <w:rsid w:val="0049710A"/>
    <w:rsid w:val="0049718B"/>
    <w:rsid w:val="004975D4"/>
    <w:rsid w:val="004A0806"/>
    <w:rsid w:val="004A0C7A"/>
    <w:rsid w:val="004A2593"/>
    <w:rsid w:val="004A2646"/>
    <w:rsid w:val="004A284B"/>
    <w:rsid w:val="004A2961"/>
    <w:rsid w:val="004A2CDE"/>
    <w:rsid w:val="004A2D6D"/>
    <w:rsid w:val="004A315E"/>
    <w:rsid w:val="004A3263"/>
    <w:rsid w:val="004A3ABF"/>
    <w:rsid w:val="004A4B8D"/>
    <w:rsid w:val="004A4DB8"/>
    <w:rsid w:val="004A5B46"/>
    <w:rsid w:val="004A6912"/>
    <w:rsid w:val="004A6B13"/>
    <w:rsid w:val="004A7298"/>
    <w:rsid w:val="004A73E7"/>
    <w:rsid w:val="004A7809"/>
    <w:rsid w:val="004B0167"/>
    <w:rsid w:val="004B0446"/>
    <w:rsid w:val="004B04F8"/>
    <w:rsid w:val="004B309C"/>
    <w:rsid w:val="004B4032"/>
    <w:rsid w:val="004B4ECF"/>
    <w:rsid w:val="004B591D"/>
    <w:rsid w:val="004B6232"/>
    <w:rsid w:val="004B6E6A"/>
    <w:rsid w:val="004B710E"/>
    <w:rsid w:val="004B7AF0"/>
    <w:rsid w:val="004C0C62"/>
    <w:rsid w:val="004C0F0F"/>
    <w:rsid w:val="004C1766"/>
    <w:rsid w:val="004C17A6"/>
    <w:rsid w:val="004C1B5D"/>
    <w:rsid w:val="004C43EA"/>
    <w:rsid w:val="004C4445"/>
    <w:rsid w:val="004C53AD"/>
    <w:rsid w:val="004C544B"/>
    <w:rsid w:val="004C5979"/>
    <w:rsid w:val="004C5F8D"/>
    <w:rsid w:val="004C6291"/>
    <w:rsid w:val="004C62A6"/>
    <w:rsid w:val="004C65F0"/>
    <w:rsid w:val="004C680C"/>
    <w:rsid w:val="004C6EC4"/>
    <w:rsid w:val="004C703B"/>
    <w:rsid w:val="004C7205"/>
    <w:rsid w:val="004C78EF"/>
    <w:rsid w:val="004C7B0A"/>
    <w:rsid w:val="004D0275"/>
    <w:rsid w:val="004D065F"/>
    <w:rsid w:val="004D10D5"/>
    <w:rsid w:val="004D21EB"/>
    <w:rsid w:val="004D27EF"/>
    <w:rsid w:val="004D368D"/>
    <w:rsid w:val="004D399A"/>
    <w:rsid w:val="004D40E0"/>
    <w:rsid w:val="004D59E6"/>
    <w:rsid w:val="004D5E21"/>
    <w:rsid w:val="004D5E8D"/>
    <w:rsid w:val="004D6404"/>
    <w:rsid w:val="004D6F82"/>
    <w:rsid w:val="004E0C28"/>
    <w:rsid w:val="004E0E76"/>
    <w:rsid w:val="004E1142"/>
    <w:rsid w:val="004E1414"/>
    <w:rsid w:val="004E160F"/>
    <w:rsid w:val="004E336F"/>
    <w:rsid w:val="004E33A8"/>
    <w:rsid w:val="004E3982"/>
    <w:rsid w:val="004E3CB0"/>
    <w:rsid w:val="004E45FD"/>
    <w:rsid w:val="004E4AB7"/>
    <w:rsid w:val="004E5457"/>
    <w:rsid w:val="004E5701"/>
    <w:rsid w:val="004E5859"/>
    <w:rsid w:val="004E594F"/>
    <w:rsid w:val="004E5995"/>
    <w:rsid w:val="004E5A5D"/>
    <w:rsid w:val="004E5A83"/>
    <w:rsid w:val="004E632E"/>
    <w:rsid w:val="004E744C"/>
    <w:rsid w:val="004E7975"/>
    <w:rsid w:val="004E7F0A"/>
    <w:rsid w:val="004F0265"/>
    <w:rsid w:val="004F05F2"/>
    <w:rsid w:val="004F106A"/>
    <w:rsid w:val="004F112F"/>
    <w:rsid w:val="004F1136"/>
    <w:rsid w:val="004F1426"/>
    <w:rsid w:val="004F229E"/>
    <w:rsid w:val="004F319A"/>
    <w:rsid w:val="004F3C8A"/>
    <w:rsid w:val="004F3E8D"/>
    <w:rsid w:val="004F4243"/>
    <w:rsid w:val="004F46C3"/>
    <w:rsid w:val="004F4CDB"/>
    <w:rsid w:val="004F4FDD"/>
    <w:rsid w:val="004F6CF4"/>
    <w:rsid w:val="004F7D2F"/>
    <w:rsid w:val="004F7FDC"/>
    <w:rsid w:val="0050085E"/>
    <w:rsid w:val="00500A82"/>
    <w:rsid w:val="005016D0"/>
    <w:rsid w:val="00501DE1"/>
    <w:rsid w:val="005024CE"/>
    <w:rsid w:val="00502BAA"/>
    <w:rsid w:val="00502C7C"/>
    <w:rsid w:val="005031B1"/>
    <w:rsid w:val="00504949"/>
    <w:rsid w:val="00504D05"/>
    <w:rsid w:val="00506171"/>
    <w:rsid w:val="005062F5"/>
    <w:rsid w:val="005074DB"/>
    <w:rsid w:val="005078FD"/>
    <w:rsid w:val="00507FD8"/>
    <w:rsid w:val="00510C48"/>
    <w:rsid w:val="005119F4"/>
    <w:rsid w:val="00511BF4"/>
    <w:rsid w:val="00511DDD"/>
    <w:rsid w:val="00512124"/>
    <w:rsid w:val="005123F7"/>
    <w:rsid w:val="00512E45"/>
    <w:rsid w:val="00512F2D"/>
    <w:rsid w:val="00513479"/>
    <w:rsid w:val="00513640"/>
    <w:rsid w:val="00513ED6"/>
    <w:rsid w:val="0051565D"/>
    <w:rsid w:val="005156C7"/>
    <w:rsid w:val="00515993"/>
    <w:rsid w:val="00516F6D"/>
    <w:rsid w:val="005176B6"/>
    <w:rsid w:val="00517F46"/>
    <w:rsid w:val="00517F68"/>
    <w:rsid w:val="00520209"/>
    <w:rsid w:val="0052076B"/>
    <w:rsid w:val="005211E2"/>
    <w:rsid w:val="00522060"/>
    <w:rsid w:val="00522EA5"/>
    <w:rsid w:val="00522F80"/>
    <w:rsid w:val="00523C1E"/>
    <w:rsid w:val="00523C24"/>
    <w:rsid w:val="00523E44"/>
    <w:rsid w:val="00524059"/>
    <w:rsid w:val="00524C5B"/>
    <w:rsid w:val="00524CFC"/>
    <w:rsid w:val="00525679"/>
    <w:rsid w:val="00525E51"/>
    <w:rsid w:val="005263EC"/>
    <w:rsid w:val="005264CB"/>
    <w:rsid w:val="00526DFC"/>
    <w:rsid w:val="00527214"/>
    <w:rsid w:val="00527D1D"/>
    <w:rsid w:val="00527EB0"/>
    <w:rsid w:val="005303CA"/>
    <w:rsid w:val="00530DF8"/>
    <w:rsid w:val="005310F7"/>
    <w:rsid w:val="005315FF"/>
    <w:rsid w:val="00531CA7"/>
    <w:rsid w:val="0053239B"/>
    <w:rsid w:val="005324A6"/>
    <w:rsid w:val="0053326C"/>
    <w:rsid w:val="00533F6A"/>
    <w:rsid w:val="005342FC"/>
    <w:rsid w:val="005346D7"/>
    <w:rsid w:val="005354F0"/>
    <w:rsid w:val="0053560E"/>
    <w:rsid w:val="005357E7"/>
    <w:rsid w:val="00535D3D"/>
    <w:rsid w:val="005366C3"/>
    <w:rsid w:val="00536768"/>
    <w:rsid w:val="005372F7"/>
    <w:rsid w:val="00537322"/>
    <w:rsid w:val="005404ED"/>
    <w:rsid w:val="00542227"/>
    <w:rsid w:val="005424B5"/>
    <w:rsid w:val="005427FB"/>
    <w:rsid w:val="00542CEE"/>
    <w:rsid w:val="005434F4"/>
    <w:rsid w:val="005437CB"/>
    <w:rsid w:val="00544891"/>
    <w:rsid w:val="0054496F"/>
    <w:rsid w:val="005455B1"/>
    <w:rsid w:val="00546097"/>
    <w:rsid w:val="00546B65"/>
    <w:rsid w:val="00546FB4"/>
    <w:rsid w:val="00547CF8"/>
    <w:rsid w:val="005506A5"/>
    <w:rsid w:val="00550B96"/>
    <w:rsid w:val="00550F90"/>
    <w:rsid w:val="00551077"/>
    <w:rsid w:val="0055120D"/>
    <w:rsid w:val="0055145A"/>
    <w:rsid w:val="005519F6"/>
    <w:rsid w:val="00552A7B"/>
    <w:rsid w:val="00552B60"/>
    <w:rsid w:val="00552BE0"/>
    <w:rsid w:val="005539A7"/>
    <w:rsid w:val="00553D92"/>
    <w:rsid w:val="005544CE"/>
    <w:rsid w:val="00554865"/>
    <w:rsid w:val="00555945"/>
    <w:rsid w:val="0055616B"/>
    <w:rsid w:val="00556D62"/>
    <w:rsid w:val="00557C25"/>
    <w:rsid w:val="00557E8F"/>
    <w:rsid w:val="00560207"/>
    <w:rsid w:val="005609B4"/>
    <w:rsid w:val="00560A26"/>
    <w:rsid w:val="0056329A"/>
    <w:rsid w:val="005636FA"/>
    <w:rsid w:val="0056373A"/>
    <w:rsid w:val="00564A1B"/>
    <w:rsid w:val="00564BF4"/>
    <w:rsid w:val="00564DBF"/>
    <w:rsid w:val="00565A5E"/>
    <w:rsid w:val="005660F6"/>
    <w:rsid w:val="005666AE"/>
    <w:rsid w:val="00566EB4"/>
    <w:rsid w:val="00566F71"/>
    <w:rsid w:val="00570E09"/>
    <w:rsid w:val="00571042"/>
    <w:rsid w:val="00571538"/>
    <w:rsid w:val="00571AF7"/>
    <w:rsid w:val="00571C92"/>
    <w:rsid w:val="00571D24"/>
    <w:rsid w:val="005723B9"/>
    <w:rsid w:val="005726BA"/>
    <w:rsid w:val="005726F0"/>
    <w:rsid w:val="0057299B"/>
    <w:rsid w:val="005730D3"/>
    <w:rsid w:val="0057327A"/>
    <w:rsid w:val="00573E69"/>
    <w:rsid w:val="00573F5B"/>
    <w:rsid w:val="00574A1A"/>
    <w:rsid w:val="00574C83"/>
    <w:rsid w:val="00576027"/>
    <w:rsid w:val="00576ADA"/>
    <w:rsid w:val="00576FD2"/>
    <w:rsid w:val="005776BD"/>
    <w:rsid w:val="005810DF"/>
    <w:rsid w:val="005823A9"/>
    <w:rsid w:val="00582903"/>
    <w:rsid w:val="00583101"/>
    <w:rsid w:val="005836B3"/>
    <w:rsid w:val="00583A74"/>
    <w:rsid w:val="00584AE8"/>
    <w:rsid w:val="00584D72"/>
    <w:rsid w:val="00584F35"/>
    <w:rsid w:val="0058537D"/>
    <w:rsid w:val="00586351"/>
    <w:rsid w:val="0058662D"/>
    <w:rsid w:val="00587649"/>
    <w:rsid w:val="005900C3"/>
    <w:rsid w:val="00590A21"/>
    <w:rsid w:val="005932EC"/>
    <w:rsid w:val="00594493"/>
    <w:rsid w:val="005947E7"/>
    <w:rsid w:val="00595060"/>
    <w:rsid w:val="00595FE7"/>
    <w:rsid w:val="0059659F"/>
    <w:rsid w:val="005966D8"/>
    <w:rsid w:val="0059769C"/>
    <w:rsid w:val="00597E7B"/>
    <w:rsid w:val="005A0F75"/>
    <w:rsid w:val="005A1035"/>
    <w:rsid w:val="005A129A"/>
    <w:rsid w:val="005A20A6"/>
    <w:rsid w:val="005A24DD"/>
    <w:rsid w:val="005A305B"/>
    <w:rsid w:val="005A35B4"/>
    <w:rsid w:val="005A3D95"/>
    <w:rsid w:val="005A40CD"/>
    <w:rsid w:val="005A422E"/>
    <w:rsid w:val="005A494D"/>
    <w:rsid w:val="005A5277"/>
    <w:rsid w:val="005A5613"/>
    <w:rsid w:val="005A5E71"/>
    <w:rsid w:val="005A7235"/>
    <w:rsid w:val="005A7BA6"/>
    <w:rsid w:val="005B0E2A"/>
    <w:rsid w:val="005B1478"/>
    <w:rsid w:val="005B167A"/>
    <w:rsid w:val="005B1AC9"/>
    <w:rsid w:val="005B203F"/>
    <w:rsid w:val="005B2AB0"/>
    <w:rsid w:val="005B38B0"/>
    <w:rsid w:val="005B3F30"/>
    <w:rsid w:val="005B3FFD"/>
    <w:rsid w:val="005B499E"/>
    <w:rsid w:val="005B5653"/>
    <w:rsid w:val="005B59B0"/>
    <w:rsid w:val="005B5B3C"/>
    <w:rsid w:val="005B5D22"/>
    <w:rsid w:val="005B65EB"/>
    <w:rsid w:val="005B6A8D"/>
    <w:rsid w:val="005B6AC0"/>
    <w:rsid w:val="005B6ED9"/>
    <w:rsid w:val="005B78BA"/>
    <w:rsid w:val="005C02CC"/>
    <w:rsid w:val="005C0FC9"/>
    <w:rsid w:val="005C195D"/>
    <w:rsid w:val="005C2031"/>
    <w:rsid w:val="005C2E6A"/>
    <w:rsid w:val="005C34D4"/>
    <w:rsid w:val="005C3AC1"/>
    <w:rsid w:val="005C4282"/>
    <w:rsid w:val="005C46FA"/>
    <w:rsid w:val="005C571C"/>
    <w:rsid w:val="005C57BA"/>
    <w:rsid w:val="005C5EE6"/>
    <w:rsid w:val="005D0ACB"/>
    <w:rsid w:val="005D140B"/>
    <w:rsid w:val="005D1C36"/>
    <w:rsid w:val="005D1C78"/>
    <w:rsid w:val="005D1F2E"/>
    <w:rsid w:val="005D2654"/>
    <w:rsid w:val="005D2E6F"/>
    <w:rsid w:val="005D316D"/>
    <w:rsid w:val="005D3659"/>
    <w:rsid w:val="005D4F8C"/>
    <w:rsid w:val="005D5624"/>
    <w:rsid w:val="005D5865"/>
    <w:rsid w:val="005D59F3"/>
    <w:rsid w:val="005D5F1D"/>
    <w:rsid w:val="005D656D"/>
    <w:rsid w:val="005D780E"/>
    <w:rsid w:val="005E01A0"/>
    <w:rsid w:val="005E03A2"/>
    <w:rsid w:val="005E0819"/>
    <w:rsid w:val="005E1AA1"/>
    <w:rsid w:val="005E2435"/>
    <w:rsid w:val="005E2B26"/>
    <w:rsid w:val="005E35C4"/>
    <w:rsid w:val="005E383D"/>
    <w:rsid w:val="005E4A7B"/>
    <w:rsid w:val="005E588F"/>
    <w:rsid w:val="005E589F"/>
    <w:rsid w:val="005E5A76"/>
    <w:rsid w:val="005E5A98"/>
    <w:rsid w:val="005E5BEC"/>
    <w:rsid w:val="005E5D2D"/>
    <w:rsid w:val="005E6E7A"/>
    <w:rsid w:val="005E6FAB"/>
    <w:rsid w:val="005F1234"/>
    <w:rsid w:val="005F13AA"/>
    <w:rsid w:val="005F176E"/>
    <w:rsid w:val="005F1D64"/>
    <w:rsid w:val="005F2892"/>
    <w:rsid w:val="005F46BD"/>
    <w:rsid w:val="005F484B"/>
    <w:rsid w:val="00601307"/>
    <w:rsid w:val="00601B3B"/>
    <w:rsid w:val="00601B43"/>
    <w:rsid w:val="00602636"/>
    <w:rsid w:val="006036CD"/>
    <w:rsid w:val="00603CAA"/>
    <w:rsid w:val="00603CC1"/>
    <w:rsid w:val="0060451D"/>
    <w:rsid w:val="00604681"/>
    <w:rsid w:val="00604865"/>
    <w:rsid w:val="00604D35"/>
    <w:rsid w:val="006053B6"/>
    <w:rsid w:val="0060549C"/>
    <w:rsid w:val="006071E2"/>
    <w:rsid w:val="0060750F"/>
    <w:rsid w:val="006079C2"/>
    <w:rsid w:val="00607F03"/>
    <w:rsid w:val="00610A9E"/>
    <w:rsid w:val="006113E8"/>
    <w:rsid w:val="00611426"/>
    <w:rsid w:val="006115A6"/>
    <w:rsid w:val="00613362"/>
    <w:rsid w:val="00614A97"/>
    <w:rsid w:val="00614D70"/>
    <w:rsid w:val="006150A3"/>
    <w:rsid w:val="00615522"/>
    <w:rsid w:val="006161DD"/>
    <w:rsid w:val="0061689C"/>
    <w:rsid w:val="00616FE9"/>
    <w:rsid w:val="00617268"/>
    <w:rsid w:val="00617835"/>
    <w:rsid w:val="006205CC"/>
    <w:rsid w:val="006210DF"/>
    <w:rsid w:val="0062163B"/>
    <w:rsid w:val="00621996"/>
    <w:rsid w:val="00622434"/>
    <w:rsid w:val="00622500"/>
    <w:rsid w:val="0062259B"/>
    <w:rsid w:val="00622738"/>
    <w:rsid w:val="00623817"/>
    <w:rsid w:val="006238F6"/>
    <w:rsid w:val="00623A66"/>
    <w:rsid w:val="00624119"/>
    <w:rsid w:val="00624716"/>
    <w:rsid w:val="00624BE7"/>
    <w:rsid w:val="006256CF"/>
    <w:rsid w:val="0062570F"/>
    <w:rsid w:val="00625ACD"/>
    <w:rsid w:val="00625D67"/>
    <w:rsid w:val="006262C0"/>
    <w:rsid w:val="00626565"/>
    <w:rsid w:val="00627768"/>
    <w:rsid w:val="0062787C"/>
    <w:rsid w:val="00630580"/>
    <w:rsid w:val="0063074E"/>
    <w:rsid w:val="00630B35"/>
    <w:rsid w:val="006326E1"/>
    <w:rsid w:val="00635AE2"/>
    <w:rsid w:val="00635E63"/>
    <w:rsid w:val="006364B9"/>
    <w:rsid w:val="00636646"/>
    <w:rsid w:val="00637233"/>
    <w:rsid w:val="00637244"/>
    <w:rsid w:val="00637E0F"/>
    <w:rsid w:val="00640054"/>
    <w:rsid w:val="006404E8"/>
    <w:rsid w:val="00640646"/>
    <w:rsid w:val="006406C5"/>
    <w:rsid w:val="00640A93"/>
    <w:rsid w:val="00640DB6"/>
    <w:rsid w:val="006410D4"/>
    <w:rsid w:val="006419B4"/>
    <w:rsid w:val="00642100"/>
    <w:rsid w:val="00642467"/>
    <w:rsid w:val="006425D0"/>
    <w:rsid w:val="00642D76"/>
    <w:rsid w:val="00643919"/>
    <w:rsid w:val="00643FF8"/>
    <w:rsid w:val="00644EBE"/>
    <w:rsid w:val="0064570B"/>
    <w:rsid w:val="00645AD5"/>
    <w:rsid w:val="00645B0D"/>
    <w:rsid w:val="00646708"/>
    <w:rsid w:val="00646D20"/>
    <w:rsid w:val="00650875"/>
    <w:rsid w:val="00650DB5"/>
    <w:rsid w:val="0065140A"/>
    <w:rsid w:val="00651606"/>
    <w:rsid w:val="0065161C"/>
    <w:rsid w:val="006516E2"/>
    <w:rsid w:val="00651940"/>
    <w:rsid w:val="00651CC7"/>
    <w:rsid w:val="00651DC2"/>
    <w:rsid w:val="00652B35"/>
    <w:rsid w:val="00652EE5"/>
    <w:rsid w:val="006540A7"/>
    <w:rsid w:val="0065413C"/>
    <w:rsid w:val="00654270"/>
    <w:rsid w:val="0065454C"/>
    <w:rsid w:val="00654825"/>
    <w:rsid w:val="00654A5A"/>
    <w:rsid w:val="00654E9A"/>
    <w:rsid w:val="00656167"/>
    <w:rsid w:val="00656497"/>
    <w:rsid w:val="00656FAE"/>
    <w:rsid w:val="006576B7"/>
    <w:rsid w:val="00660027"/>
    <w:rsid w:val="006602A7"/>
    <w:rsid w:val="00660307"/>
    <w:rsid w:val="00660B98"/>
    <w:rsid w:val="00660E3E"/>
    <w:rsid w:val="006616E7"/>
    <w:rsid w:val="006633A1"/>
    <w:rsid w:val="00663E2E"/>
    <w:rsid w:val="0066413C"/>
    <w:rsid w:val="0066493D"/>
    <w:rsid w:val="00665732"/>
    <w:rsid w:val="00665EAF"/>
    <w:rsid w:val="00666086"/>
    <w:rsid w:val="00666566"/>
    <w:rsid w:val="00666C60"/>
    <w:rsid w:val="00666D5A"/>
    <w:rsid w:val="00666E79"/>
    <w:rsid w:val="00667138"/>
    <w:rsid w:val="00667C78"/>
    <w:rsid w:val="00667CFD"/>
    <w:rsid w:val="00670897"/>
    <w:rsid w:val="0067205F"/>
    <w:rsid w:val="00672A20"/>
    <w:rsid w:val="00672C8F"/>
    <w:rsid w:val="006737EC"/>
    <w:rsid w:val="006739CE"/>
    <w:rsid w:val="006746B0"/>
    <w:rsid w:val="006748D2"/>
    <w:rsid w:val="00674D42"/>
    <w:rsid w:val="00676977"/>
    <w:rsid w:val="006779AD"/>
    <w:rsid w:val="00677A00"/>
    <w:rsid w:val="00677B2F"/>
    <w:rsid w:val="00677CFC"/>
    <w:rsid w:val="006807CE"/>
    <w:rsid w:val="00680E64"/>
    <w:rsid w:val="00681317"/>
    <w:rsid w:val="00681567"/>
    <w:rsid w:val="00682557"/>
    <w:rsid w:val="00682811"/>
    <w:rsid w:val="0068304A"/>
    <w:rsid w:val="00683207"/>
    <w:rsid w:val="0068438E"/>
    <w:rsid w:val="00686D59"/>
    <w:rsid w:val="00687254"/>
    <w:rsid w:val="00687583"/>
    <w:rsid w:val="006876E0"/>
    <w:rsid w:val="00691828"/>
    <w:rsid w:val="00691A07"/>
    <w:rsid w:val="00692B88"/>
    <w:rsid w:val="00692BAC"/>
    <w:rsid w:val="00693D40"/>
    <w:rsid w:val="006942AD"/>
    <w:rsid w:val="00695850"/>
    <w:rsid w:val="006958BD"/>
    <w:rsid w:val="006960B9"/>
    <w:rsid w:val="00696313"/>
    <w:rsid w:val="006964FF"/>
    <w:rsid w:val="00696BAC"/>
    <w:rsid w:val="006971C6"/>
    <w:rsid w:val="00697598"/>
    <w:rsid w:val="006A0129"/>
    <w:rsid w:val="006A01ED"/>
    <w:rsid w:val="006A067C"/>
    <w:rsid w:val="006A0C2B"/>
    <w:rsid w:val="006A16FD"/>
    <w:rsid w:val="006A173F"/>
    <w:rsid w:val="006A1AC5"/>
    <w:rsid w:val="006A231D"/>
    <w:rsid w:val="006A29EB"/>
    <w:rsid w:val="006A34DD"/>
    <w:rsid w:val="006A41F3"/>
    <w:rsid w:val="006A490E"/>
    <w:rsid w:val="006A64A5"/>
    <w:rsid w:val="006A656F"/>
    <w:rsid w:val="006A684B"/>
    <w:rsid w:val="006A6EDB"/>
    <w:rsid w:val="006B0114"/>
    <w:rsid w:val="006B0132"/>
    <w:rsid w:val="006B05C3"/>
    <w:rsid w:val="006B0BBD"/>
    <w:rsid w:val="006B102F"/>
    <w:rsid w:val="006B15F9"/>
    <w:rsid w:val="006B18D6"/>
    <w:rsid w:val="006B1E43"/>
    <w:rsid w:val="006B20E9"/>
    <w:rsid w:val="006B26BD"/>
    <w:rsid w:val="006B2749"/>
    <w:rsid w:val="006B355D"/>
    <w:rsid w:val="006B40A2"/>
    <w:rsid w:val="006B42B0"/>
    <w:rsid w:val="006B490F"/>
    <w:rsid w:val="006B57A3"/>
    <w:rsid w:val="006B58BE"/>
    <w:rsid w:val="006B58DB"/>
    <w:rsid w:val="006B5D92"/>
    <w:rsid w:val="006B630A"/>
    <w:rsid w:val="006B6448"/>
    <w:rsid w:val="006B6595"/>
    <w:rsid w:val="006B6B7D"/>
    <w:rsid w:val="006B71BC"/>
    <w:rsid w:val="006B738C"/>
    <w:rsid w:val="006B770D"/>
    <w:rsid w:val="006C0CB6"/>
    <w:rsid w:val="006C1557"/>
    <w:rsid w:val="006C1677"/>
    <w:rsid w:val="006C310B"/>
    <w:rsid w:val="006C476A"/>
    <w:rsid w:val="006C4CAA"/>
    <w:rsid w:val="006C510B"/>
    <w:rsid w:val="006C537C"/>
    <w:rsid w:val="006C5588"/>
    <w:rsid w:val="006C68A7"/>
    <w:rsid w:val="006C6D97"/>
    <w:rsid w:val="006C780F"/>
    <w:rsid w:val="006C7913"/>
    <w:rsid w:val="006C79DB"/>
    <w:rsid w:val="006D09D6"/>
    <w:rsid w:val="006D0E45"/>
    <w:rsid w:val="006D0F97"/>
    <w:rsid w:val="006D0FC9"/>
    <w:rsid w:val="006D1400"/>
    <w:rsid w:val="006D19BE"/>
    <w:rsid w:val="006D21E9"/>
    <w:rsid w:val="006D3950"/>
    <w:rsid w:val="006D3A43"/>
    <w:rsid w:val="006D419B"/>
    <w:rsid w:val="006D46D8"/>
    <w:rsid w:val="006D4ABA"/>
    <w:rsid w:val="006D4B73"/>
    <w:rsid w:val="006D5DC5"/>
    <w:rsid w:val="006D6C3E"/>
    <w:rsid w:val="006D7A1A"/>
    <w:rsid w:val="006E009D"/>
    <w:rsid w:val="006E0122"/>
    <w:rsid w:val="006E0960"/>
    <w:rsid w:val="006E0AE8"/>
    <w:rsid w:val="006E116F"/>
    <w:rsid w:val="006E13FF"/>
    <w:rsid w:val="006E1431"/>
    <w:rsid w:val="006E197A"/>
    <w:rsid w:val="006E1DC0"/>
    <w:rsid w:val="006E1E5F"/>
    <w:rsid w:val="006E2438"/>
    <w:rsid w:val="006E25D9"/>
    <w:rsid w:val="006E311B"/>
    <w:rsid w:val="006E3160"/>
    <w:rsid w:val="006E4817"/>
    <w:rsid w:val="006E58B5"/>
    <w:rsid w:val="006E66E0"/>
    <w:rsid w:val="006E6819"/>
    <w:rsid w:val="006E6A2C"/>
    <w:rsid w:val="006E6C7E"/>
    <w:rsid w:val="006E6CB7"/>
    <w:rsid w:val="006E74A8"/>
    <w:rsid w:val="006E74C4"/>
    <w:rsid w:val="006E7D37"/>
    <w:rsid w:val="006F0939"/>
    <w:rsid w:val="006F09DD"/>
    <w:rsid w:val="006F0D2A"/>
    <w:rsid w:val="006F0DEE"/>
    <w:rsid w:val="006F0F17"/>
    <w:rsid w:val="006F11EF"/>
    <w:rsid w:val="006F1AA0"/>
    <w:rsid w:val="006F1F1D"/>
    <w:rsid w:val="006F2883"/>
    <w:rsid w:val="006F4946"/>
    <w:rsid w:val="006F6417"/>
    <w:rsid w:val="00700983"/>
    <w:rsid w:val="00700C3C"/>
    <w:rsid w:val="00701418"/>
    <w:rsid w:val="00701557"/>
    <w:rsid w:val="007020F8"/>
    <w:rsid w:val="007029CB"/>
    <w:rsid w:val="00702E91"/>
    <w:rsid w:val="00702F36"/>
    <w:rsid w:val="007031E9"/>
    <w:rsid w:val="00703FEF"/>
    <w:rsid w:val="00704459"/>
    <w:rsid w:val="007045C4"/>
    <w:rsid w:val="00704900"/>
    <w:rsid w:val="00704CBA"/>
    <w:rsid w:val="00704EAA"/>
    <w:rsid w:val="0070539C"/>
    <w:rsid w:val="00705733"/>
    <w:rsid w:val="007066B9"/>
    <w:rsid w:val="00706B15"/>
    <w:rsid w:val="00706F41"/>
    <w:rsid w:val="007101B6"/>
    <w:rsid w:val="007101E2"/>
    <w:rsid w:val="00710303"/>
    <w:rsid w:val="00710A21"/>
    <w:rsid w:val="00711AD1"/>
    <w:rsid w:val="00711CED"/>
    <w:rsid w:val="00712749"/>
    <w:rsid w:val="007128E1"/>
    <w:rsid w:val="00712EDF"/>
    <w:rsid w:val="00713390"/>
    <w:rsid w:val="007134B3"/>
    <w:rsid w:val="007139DB"/>
    <w:rsid w:val="00713C72"/>
    <w:rsid w:val="00714BED"/>
    <w:rsid w:val="00714C98"/>
    <w:rsid w:val="00714D14"/>
    <w:rsid w:val="00714D64"/>
    <w:rsid w:val="00714E66"/>
    <w:rsid w:val="007167A3"/>
    <w:rsid w:val="00716971"/>
    <w:rsid w:val="00716CE1"/>
    <w:rsid w:val="00716D1D"/>
    <w:rsid w:val="007178F6"/>
    <w:rsid w:val="00720187"/>
    <w:rsid w:val="007202D8"/>
    <w:rsid w:val="00721C8C"/>
    <w:rsid w:val="0072286E"/>
    <w:rsid w:val="007229B4"/>
    <w:rsid w:val="00723BB2"/>
    <w:rsid w:val="007242DF"/>
    <w:rsid w:val="00724442"/>
    <w:rsid w:val="00724815"/>
    <w:rsid w:val="00726A0D"/>
    <w:rsid w:val="00726EFA"/>
    <w:rsid w:val="007272B9"/>
    <w:rsid w:val="00727952"/>
    <w:rsid w:val="007279D9"/>
    <w:rsid w:val="00727C7E"/>
    <w:rsid w:val="007307FB"/>
    <w:rsid w:val="00731980"/>
    <w:rsid w:val="00732759"/>
    <w:rsid w:val="00732A40"/>
    <w:rsid w:val="007336B0"/>
    <w:rsid w:val="00735197"/>
    <w:rsid w:val="00735468"/>
    <w:rsid w:val="00735C37"/>
    <w:rsid w:val="007367F2"/>
    <w:rsid w:val="007370BC"/>
    <w:rsid w:val="0073767D"/>
    <w:rsid w:val="007378C7"/>
    <w:rsid w:val="00737963"/>
    <w:rsid w:val="00737D2D"/>
    <w:rsid w:val="00737F1A"/>
    <w:rsid w:val="0074077E"/>
    <w:rsid w:val="00740FF1"/>
    <w:rsid w:val="00741566"/>
    <w:rsid w:val="00741AD6"/>
    <w:rsid w:val="00741CD7"/>
    <w:rsid w:val="00742631"/>
    <w:rsid w:val="00742DE0"/>
    <w:rsid w:val="00742E1D"/>
    <w:rsid w:val="00742F62"/>
    <w:rsid w:val="00743A10"/>
    <w:rsid w:val="00743BAD"/>
    <w:rsid w:val="00743C00"/>
    <w:rsid w:val="00743DBA"/>
    <w:rsid w:val="007440E7"/>
    <w:rsid w:val="00744FA2"/>
    <w:rsid w:val="007458B7"/>
    <w:rsid w:val="00745A5F"/>
    <w:rsid w:val="00745BDF"/>
    <w:rsid w:val="0074664E"/>
    <w:rsid w:val="00746D7D"/>
    <w:rsid w:val="00746F8F"/>
    <w:rsid w:val="00747678"/>
    <w:rsid w:val="00750796"/>
    <w:rsid w:val="0075096F"/>
    <w:rsid w:val="00750B6E"/>
    <w:rsid w:val="00751B66"/>
    <w:rsid w:val="00751C63"/>
    <w:rsid w:val="00751FEC"/>
    <w:rsid w:val="00753026"/>
    <w:rsid w:val="007534F8"/>
    <w:rsid w:val="0075373B"/>
    <w:rsid w:val="0075404F"/>
    <w:rsid w:val="00755889"/>
    <w:rsid w:val="007558ED"/>
    <w:rsid w:val="00755D82"/>
    <w:rsid w:val="007560F1"/>
    <w:rsid w:val="0075692B"/>
    <w:rsid w:val="00756A67"/>
    <w:rsid w:val="0075775D"/>
    <w:rsid w:val="00757AD7"/>
    <w:rsid w:val="00762228"/>
    <w:rsid w:val="00762E87"/>
    <w:rsid w:val="00763907"/>
    <w:rsid w:val="00763E34"/>
    <w:rsid w:val="00763F6A"/>
    <w:rsid w:val="00764847"/>
    <w:rsid w:val="00764D92"/>
    <w:rsid w:val="00764EF9"/>
    <w:rsid w:val="007651BE"/>
    <w:rsid w:val="00765D85"/>
    <w:rsid w:val="00766D25"/>
    <w:rsid w:val="00767367"/>
    <w:rsid w:val="0076774F"/>
    <w:rsid w:val="00767F9C"/>
    <w:rsid w:val="00770161"/>
    <w:rsid w:val="00770A34"/>
    <w:rsid w:val="00770FC4"/>
    <w:rsid w:val="007711BC"/>
    <w:rsid w:val="007713C7"/>
    <w:rsid w:val="007715A5"/>
    <w:rsid w:val="00772C87"/>
    <w:rsid w:val="00772D61"/>
    <w:rsid w:val="00773284"/>
    <w:rsid w:val="00775025"/>
    <w:rsid w:val="0077590F"/>
    <w:rsid w:val="00776883"/>
    <w:rsid w:val="00776C0D"/>
    <w:rsid w:val="00777053"/>
    <w:rsid w:val="0077747C"/>
    <w:rsid w:val="00777710"/>
    <w:rsid w:val="0078049F"/>
    <w:rsid w:val="00780787"/>
    <w:rsid w:val="007810EF"/>
    <w:rsid w:val="00782E4A"/>
    <w:rsid w:val="00783279"/>
    <w:rsid w:val="007837C6"/>
    <w:rsid w:val="007838DA"/>
    <w:rsid w:val="00783F43"/>
    <w:rsid w:val="0078463B"/>
    <w:rsid w:val="00784B9D"/>
    <w:rsid w:val="007853D4"/>
    <w:rsid w:val="007860F8"/>
    <w:rsid w:val="0078647D"/>
    <w:rsid w:val="00786880"/>
    <w:rsid w:val="00786BE4"/>
    <w:rsid w:val="00787355"/>
    <w:rsid w:val="00787A64"/>
    <w:rsid w:val="00790104"/>
    <w:rsid w:val="00791DFE"/>
    <w:rsid w:val="00791ECA"/>
    <w:rsid w:val="007927B8"/>
    <w:rsid w:val="007937AD"/>
    <w:rsid w:val="007938F5"/>
    <w:rsid w:val="0079422A"/>
    <w:rsid w:val="00794320"/>
    <w:rsid w:val="00794978"/>
    <w:rsid w:val="007955DF"/>
    <w:rsid w:val="00795790"/>
    <w:rsid w:val="00796ED4"/>
    <w:rsid w:val="007972BB"/>
    <w:rsid w:val="007973CF"/>
    <w:rsid w:val="007975D8"/>
    <w:rsid w:val="00797ADB"/>
    <w:rsid w:val="007A0115"/>
    <w:rsid w:val="007A08FE"/>
    <w:rsid w:val="007A166C"/>
    <w:rsid w:val="007A1677"/>
    <w:rsid w:val="007A2883"/>
    <w:rsid w:val="007A2FF4"/>
    <w:rsid w:val="007A3403"/>
    <w:rsid w:val="007A3539"/>
    <w:rsid w:val="007A3C12"/>
    <w:rsid w:val="007A3C78"/>
    <w:rsid w:val="007A4ADE"/>
    <w:rsid w:val="007A4CC7"/>
    <w:rsid w:val="007A5180"/>
    <w:rsid w:val="007A52E2"/>
    <w:rsid w:val="007A5A6C"/>
    <w:rsid w:val="007A5B82"/>
    <w:rsid w:val="007A5EE0"/>
    <w:rsid w:val="007A5EE5"/>
    <w:rsid w:val="007A60D4"/>
    <w:rsid w:val="007A6616"/>
    <w:rsid w:val="007A7062"/>
    <w:rsid w:val="007A7B24"/>
    <w:rsid w:val="007B00E3"/>
    <w:rsid w:val="007B14AA"/>
    <w:rsid w:val="007B22C1"/>
    <w:rsid w:val="007B2843"/>
    <w:rsid w:val="007B2A30"/>
    <w:rsid w:val="007B353B"/>
    <w:rsid w:val="007B3DE3"/>
    <w:rsid w:val="007B41DD"/>
    <w:rsid w:val="007B4265"/>
    <w:rsid w:val="007B4284"/>
    <w:rsid w:val="007B4A7A"/>
    <w:rsid w:val="007B5199"/>
    <w:rsid w:val="007B68E4"/>
    <w:rsid w:val="007B6DC7"/>
    <w:rsid w:val="007B74AA"/>
    <w:rsid w:val="007B7CB5"/>
    <w:rsid w:val="007C05BA"/>
    <w:rsid w:val="007C15B7"/>
    <w:rsid w:val="007C1D73"/>
    <w:rsid w:val="007C285F"/>
    <w:rsid w:val="007C3A41"/>
    <w:rsid w:val="007C5BD9"/>
    <w:rsid w:val="007C7191"/>
    <w:rsid w:val="007C7392"/>
    <w:rsid w:val="007C7414"/>
    <w:rsid w:val="007D018B"/>
    <w:rsid w:val="007D1451"/>
    <w:rsid w:val="007D1B8B"/>
    <w:rsid w:val="007D1DEB"/>
    <w:rsid w:val="007D277B"/>
    <w:rsid w:val="007D2824"/>
    <w:rsid w:val="007D28FF"/>
    <w:rsid w:val="007D2C30"/>
    <w:rsid w:val="007D2CFE"/>
    <w:rsid w:val="007D3C4B"/>
    <w:rsid w:val="007D3DAD"/>
    <w:rsid w:val="007D4381"/>
    <w:rsid w:val="007D47D8"/>
    <w:rsid w:val="007D4EFB"/>
    <w:rsid w:val="007D54F4"/>
    <w:rsid w:val="007D58A8"/>
    <w:rsid w:val="007D5A8F"/>
    <w:rsid w:val="007D5DA4"/>
    <w:rsid w:val="007D708C"/>
    <w:rsid w:val="007D7BB3"/>
    <w:rsid w:val="007E0597"/>
    <w:rsid w:val="007E0985"/>
    <w:rsid w:val="007E1BD7"/>
    <w:rsid w:val="007E1C48"/>
    <w:rsid w:val="007E1DEB"/>
    <w:rsid w:val="007E2E4D"/>
    <w:rsid w:val="007E2FF3"/>
    <w:rsid w:val="007E321C"/>
    <w:rsid w:val="007E35A4"/>
    <w:rsid w:val="007E35EF"/>
    <w:rsid w:val="007E403E"/>
    <w:rsid w:val="007E4992"/>
    <w:rsid w:val="007E4B86"/>
    <w:rsid w:val="007E5225"/>
    <w:rsid w:val="007E5E04"/>
    <w:rsid w:val="007E62D3"/>
    <w:rsid w:val="007E6844"/>
    <w:rsid w:val="007E6C47"/>
    <w:rsid w:val="007E6E0D"/>
    <w:rsid w:val="007E6E7E"/>
    <w:rsid w:val="007F1B1B"/>
    <w:rsid w:val="007F1FD4"/>
    <w:rsid w:val="007F246C"/>
    <w:rsid w:val="007F2A90"/>
    <w:rsid w:val="007F2EAF"/>
    <w:rsid w:val="007F34E0"/>
    <w:rsid w:val="007F4A50"/>
    <w:rsid w:val="007F5265"/>
    <w:rsid w:val="007F553B"/>
    <w:rsid w:val="007F60B7"/>
    <w:rsid w:val="007F6F12"/>
    <w:rsid w:val="007F7757"/>
    <w:rsid w:val="007F7B1A"/>
    <w:rsid w:val="0080187D"/>
    <w:rsid w:val="00802495"/>
    <w:rsid w:val="008027A9"/>
    <w:rsid w:val="0080293D"/>
    <w:rsid w:val="00802AB5"/>
    <w:rsid w:val="00803457"/>
    <w:rsid w:val="00804200"/>
    <w:rsid w:val="008042DB"/>
    <w:rsid w:val="008052BF"/>
    <w:rsid w:val="00805D8A"/>
    <w:rsid w:val="008060B3"/>
    <w:rsid w:val="00806588"/>
    <w:rsid w:val="00806D50"/>
    <w:rsid w:val="00806FB5"/>
    <w:rsid w:val="0080763B"/>
    <w:rsid w:val="00807B4F"/>
    <w:rsid w:val="00807F60"/>
    <w:rsid w:val="00811D22"/>
    <w:rsid w:val="00811FC2"/>
    <w:rsid w:val="008133E1"/>
    <w:rsid w:val="00813BEE"/>
    <w:rsid w:val="008144DD"/>
    <w:rsid w:val="0081485B"/>
    <w:rsid w:val="0081495C"/>
    <w:rsid w:val="00814DAB"/>
    <w:rsid w:val="00815452"/>
    <w:rsid w:val="0081557B"/>
    <w:rsid w:val="008157CD"/>
    <w:rsid w:val="00815A4C"/>
    <w:rsid w:val="00816010"/>
    <w:rsid w:val="00816379"/>
    <w:rsid w:val="00816985"/>
    <w:rsid w:val="008169B8"/>
    <w:rsid w:val="008201BE"/>
    <w:rsid w:val="008202C9"/>
    <w:rsid w:val="008208CD"/>
    <w:rsid w:val="00820A04"/>
    <w:rsid w:val="008219AA"/>
    <w:rsid w:val="008240E3"/>
    <w:rsid w:val="00824310"/>
    <w:rsid w:val="00824837"/>
    <w:rsid w:val="00825882"/>
    <w:rsid w:val="00825B6C"/>
    <w:rsid w:val="00825BF9"/>
    <w:rsid w:val="00826CE3"/>
    <w:rsid w:val="00827596"/>
    <w:rsid w:val="0082798D"/>
    <w:rsid w:val="008307BF"/>
    <w:rsid w:val="00830F44"/>
    <w:rsid w:val="008310D5"/>
    <w:rsid w:val="008316D7"/>
    <w:rsid w:val="00831944"/>
    <w:rsid w:val="00831B47"/>
    <w:rsid w:val="00831E9E"/>
    <w:rsid w:val="00832007"/>
    <w:rsid w:val="00832C46"/>
    <w:rsid w:val="00832EB1"/>
    <w:rsid w:val="0083320A"/>
    <w:rsid w:val="00833660"/>
    <w:rsid w:val="008343F1"/>
    <w:rsid w:val="0083498D"/>
    <w:rsid w:val="00835040"/>
    <w:rsid w:val="008351E8"/>
    <w:rsid w:val="0083528C"/>
    <w:rsid w:val="0083567B"/>
    <w:rsid w:val="008362A9"/>
    <w:rsid w:val="0083661F"/>
    <w:rsid w:val="008366EC"/>
    <w:rsid w:val="00837664"/>
    <w:rsid w:val="00840AE4"/>
    <w:rsid w:val="00840B24"/>
    <w:rsid w:val="00840C7B"/>
    <w:rsid w:val="00840E12"/>
    <w:rsid w:val="008416DF"/>
    <w:rsid w:val="00842392"/>
    <w:rsid w:val="008443B3"/>
    <w:rsid w:val="0084454D"/>
    <w:rsid w:val="00844BBF"/>
    <w:rsid w:val="008451B1"/>
    <w:rsid w:val="008460C5"/>
    <w:rsid w:val="00846433"/>
    <w:rsid w:val="008464E1"/>
    <w:rsid w:val="0084668A"/>
    <w:rsid w:val="00850DF4"/>
    <w:rsid w:val="00850FB2"/>
    <w:rsid w:val="008510C7"/>
    <w:rsid w:val="0085150A"/>
    <w:rsid w:val="0085160F"/>
    <w:rsid w:val="00851E94"/>
    <w:rsid w:val="00851EF0"/>
    <w:rsid w:val="00851FFB"/>
    <w:rsid w:val="00852B15"/>
    <w:rsid w:val="00852C90"/>
    <w:rsid w:val="0085327B"/>
    <w:rsid w:val="00853B1E"/>
    <w:rsid w:val="00853BC9"/>
    <w:rsid w:val="00854AAE"/>
    <w:rsid w:val="008558F0"/>
    <w:rsid w:val="00855CB5"/>
    <w:rsid w:val="00856149"/>
    <w:rsid w:val="00856398"/>
    <w:rsid w:val="00856CDB"/>
    <w:rsid w:val="00860243"/>
    <w:rsid w:val="00860817"/>
    <w:rsid w:val="00862183"/>
    <w:rsid w:val="00862ACA"/>
    <w:rsid w:val="00863B5C"/>
    <w:rsid w:val="00863B6F"/>
    <w:rsid w:val="00863CE4"/>
    <w:rsid w:val="00863D03"/>
    <w:rsid w:val="00863E35"/>
    <w:rsid w:val="0086480C"/>
    <w:rsid w:val="00865152"/>
    <w:rsid w:val="0086533D"/>
    <w:rsid w:val="008653FC"/>
    <w:rsid w:val="0086680C"/>
    <w:rsid w:val="00866A4F"/>
    <w:rsid w:val="00866F44"/>
    <w:rsid w:val="008676C2"/>
    <w:rsid w:val="00870630"/>
    <w:rsid w:val="00870D0B"/>
    <w:rsid w:val="00870DCD"/>
    <w:rsid w:val="00870F86"/>
    <w:rsid w:val="008710D9"/>
    <w:rsid w:val="00871520"/>
    <w:rsid w:val="0087168C"/>
    <w:rsid w:val="00871A89"/>
    <w:rsid w:val="00871AF1"/>
    <w:rsid w:val="00871C82"/>
    <w:rsid w:val="00872408"/>
    <w:rsid w:val="00872C7F"/>
    <w:rsid w:val="00873EFF"/>
    <w:rsid w:val="00874392"/>
    <w:rsid w:val="008746F2"/>
    <w:rsid w:val="008749E8"/>
    <w:rsid w:val="0087511B"/>
    <w:rsid w:val="00875373"/>
    <w:rsid w:val="008753E5"/>
    <w:rsid w:val="00875998"/>
    <w:rsid w:val="00876643"/>
    <w:rsid w:val="00876774"/>
    <w:rsid w:val="00876C6F"/>
    <w:rsid w:val="008803DA"/>
    <w:rsid w:val="00881794"/>
    <w:rsid w:val="00881A8B"/>
    <w:rsid w:val="00881CAD"/>
    <w:rsid w:val="008824CA"/>
    <w:rsid w:val="00882B53"/>
    <w:rsid w:val="00882B9C"/>
    <w:rsid w:val="0088303C"/>
    <w:rsid w:val="00883A58"/>
    <w:rsid w:val="008850E6"/>
    <w:rsid w:val="0088534C"/>
    <w:rsid w:val="0088582C"/>
    <w:rsid w:val="00885F45"/>
    <w:rsid w:val="0088643B"/>
    <w:rsid w:val="00886D68"/>
    <w:rsid w:val="00886FA4"/>
    <w:rsid w:val="008875FC"/>
    <w:rsid w:val="00887B73"/>
    <w:rsid w:val="00887D8F"/>
    <w:rsid w:val="00890A90"/>
    <w:rsid w:val="008929CC"/>
    <w:rsid w:val="0089326A"/>
    <w:rsid w:val="008933B8"/>
    <w:rsid w:val="0089358E"/>
    <w:rsid w:val="00893F67"/>
    <w:rsid w:val="00895AF1"/>
    <w:rsid w:val="00895E6F"/>
    <w:rsid w:val="008960D5"/>
    <w:rsid w:val="00897D3F"/>
    <w:rsid w:val="008A0178"/>
    <w:rsid w:val="008A0297"/>
    <w:rsid w:val="008A034D"/>
    <w:rsid w:val="008A0A03"/>
    <w:rsid w:val="008A0BD4"/>
    <w:rsid w:val="008A1004"/>
    <w:rsid w:val="008A10C2"/>
    <w:rsid w:val="008A1260"/>
    <w:rsid w:val="008A15C2"/>
    <w:rsid w:val="008A2F96"/>
    <w:rsid w:val="008A34CB"/>
    <w:rsid w:val="008A474D"/>
    <w:rsid w:val="008A6790"/>
    <w:rsid w:val="008A6835"/>
    <w:rsid w:val="008A769B"/>
    <w:rsid w:val="008B0300"/>
    <w:rsid w:val="008B035C"/>
    <w:rsid w:val="008B04B6"/>
    <w:rsid w:val="008B092F"/>
    <w:rsid w:val="008B170E"/>
    <w:rsid w:val="008B1F4B"/>
    <w:rsid w:val="008B3537"/>
    <w:rsid w:val="008B37A1"/>
    <w:rsid w:val="008B4625"/>
    <w:rsid w:val="008B467F"/>
    <w:rsid w:val="008B471C"/>
    <w:rsid w:val="008B57B0"/>
    <w:rsid w:val="008B5A65"/>
    <w:rsid w:val="008B796F"/>
    <w:rsid w:val="008B7AD9"/>
    <w:rsid w:val="008B7E3B"/>
    <w:rsid w:val="008C06CB"/>
    <w:rsid w:val="008C0B3D"/>
    <w:rsid w:val="008C0C83"/>
    <w:rsid w:val="008C0EFE"/>
    <w:rsid w:val="008C1290"/>
    <w:rsid w:val="008C2699"/>
    <w:rsid w:val="008C3486"/>
    <w:rsid w:val="008C37B5"/>
    <w:rsid w:val="008C42D0"/>
    <w:rsid w:val="008C582D"/>
    <w:rsid w:val="008C650A"/>
    <w:rsid w:val="008C6A5F"/>
    <w:rsid w:val="008C7F35"/>
    <w:rsid w:val="008D12E7"/>
    <w:rsid w:val="008D27D8"/>
    <w:rsid w:val="008D2A1E"/>
    <w:rsid w:val="008D2CA0"/>
    <w:rsid w:val="008D35EC"/>
    <w:rsid w:val="008D3861"/>
    <w:rsid w:val="008D3B33"/>
    <w:rsid w:val="008D41B4"/>
    <w:rsid w:val="008D43BE"/>
    <w:rsid w:val="008D4703"/>
    <w:rsid w:val="008D506F"/>
    <w:rsid w:val="008D55BB"/>
    <w:rsid w:val="008D659E"/>
    <w:rsid w:val="008D6650"/>
    <w:rsid w:val="008D6656"/>
    <w:rsid w:val="008E10B1"/>
    <w:rsid w:val="008E1321"/>
    <w:rsid w:val="008E22C6"/>
    <w:rsid w:val="008E2B3A"/>
    <w:rsid w:val="008E2C96"/>
    <w:rsid w:val="008E3EF5"/>
    <w:rsid w:val="008E4DC6"/>
    <w:rsid w:val="008E5364"/>
    <w:rsid w:val="008E5DFF"/>
    <w:rsid w:val="008E6B14"/>
    <w:rsid w:val="008E6FC3"/>
    <w:rsid w:val="008E7D3D"/>
    <w:rsid w:val="008F0A00"/>
    <w:rsid w:val="008F0EEB"/>
    <w:rsid w:val="008F10F6"/>
    <w:rsid w:val="008F1A77"/>
    <w:rsid w:val="008F1F04"/>
    <w:rsid w:val="008F2107"/>
    <w:rsid w:val="008F2756"/>
    <w:rsid w:val="008F2C24"/>
    <w:rsid w:val="008F48A5"/>
    <w:rsid w:val="008F4B28"/>
    <w:rsid w:val="008F5FAF"/>
    <w:rsid w:val="008F6EF8"/>
    <w:rsid w:val="008F74C2"/>
    <w:rsid w:val="008F7796"/>
    <w:rsid w:val="008F7CEE"/>
    <w:rsid w:val="009003FA"/>
    <w:rsid w:val="00900E6F"/>
    <w:rsid w:val="00900FD9"/>
    <w:rsid w:val="00901019"/>
    <w:rsid w:val="009012A8"/>
    <w:rsid w:val="00901384"/>
    <w:rsid w:val="00901BD3"/>
    <w:rsid w:val="00901C53"/>
    <w:rsid w:val="00901F75"/>
    <w:rsid w:val="00902767"/>
    <w:rsid w:val="00902BB7"/>
    <w:rsid w:val="00903235"/>
    <w:rsid w:val="00903B7A"/>
    <w:rsid w:val="00903C38"/>
    <w:rsid w:val="00904679"/>
    <w:rsid w:val="009048BF"/>
    <w:rsid w:val="00904C44"/>
    <w:rsid w:val="00904F20"/>
    <w:rsid w:val="00905439"/>
    <w:rsid w:val="00906D7A"/>
    <w:rsid w:val="00907921"/>
    <w:rsid w:val="00907D46"/>
    <w:rsid w:val="00911212"/>
    <w:rsid w:val="0091197F"/>
    <w:rsid w:val="00911E06"/>
    <w:rsid w:val="009124E7"/>
    <w:rsid w:val="009124F1"/>
    <w:rsid w:val="00912F15"/>
    <w:rsid w:val="009135D3"/>
    <w:rsid w:val="00913D43"/>
    <w:rsid w:val="00914B81"/>
    <w:rsid w:val="00914EB5"/>
    <w:rsid w:val="00916392"/>
    <w:rsid w:val="00916658"/>
    <w:rsid w:val="00916674"/>
    <w:rsid w:val="0091675C"/>
    <w:rsid w:val="00916D23"/>
    <w:rsid w:val="00917144"/>
    <w:rsid w:val="0091768B"/>
    <w:rsid w:val="00917E7D"/>
    <w:rsid w:val="00920117"/>
    <w:rsid w:val="009204D6"/>
    <w:rsid w:val="00921687"/>
    <w:rsid w:val="009217C1"/>
    <w:rsid w:val="009219DC"/>
    <w:rsid w:val="00922812"/>
    <w:rsid w:val="00922846"/>
    <w:rsid w:val="00922AA7"/>
    <w:rsid w:val="00922C6F"/>
    <w:rsid w:val="00922D6B"/>
    <w:rsid w:val="00923155"/>
    <w:rsid w:val="009236D6"/>
    <w:rsid w:val="00923BA0"/>
    <w:rsid w:val="0092404E"/>
    <w:rsid w:val="0092473E"/>
    <w:rsid w:val="0092480C"/>
    <w:rsid w:val="00924D31"/>
    <w:rsid w:val="00925391"/>
    <w:rsid w:val="009254E0"/>
    <w:rsid w:val="00925602"/>
    <w:rsid w:val="00925A13"/>
    <w:rsid w:val="00925CEA"/>
    <w:rsid w:val="009261B7"/>
    <w:rsid w:val="00927A0F"/>
    <w:rsid w:val="00927A30"/>
    <w:rsid w:val="00927DC6"/>
    <w:rsid w:val="00930577"/>
    <w:rsid w:val="00931E43"/>
    <w:rsid w:val="00931E9D"/>
    <w:rsid w:val="009328B3"/>
    <w:rsid w:val="00932D56"/>
    <w:rsid w:val="009331E6"/>
    <w:rsid w:val="00933BEF"/>
    <w:rsid w:val="00936305"/>
    <w:rsid w:val="00936A54"/>
    <w:rsid w:val="00937543"/>
    <w:rsid w:val="00937AC9"/>
    <w:rsid w:val="00940528"/>
    <w:rsid w:val="0094071A"/>
    <w:rsid w:val="00940B0E"/>
    <w:rsid w:val="00940BC2"/>
    <w:rsid w:val="00940F81"/>
    <w:rsid w:val="00941552"/>
    <w:rsid w:val="009417CD"/>
    <w:rsid w:val="00941FBF"/>
    <w:rsid w:val="009421EC"/>
    <w:rsid w:val="00942892"/>
    <w:rsid w:val="00942B82"/>
    <w:rsid w:val="00942D32"/>
    <w:rsid w:val="009431C0"/>
    <w:rsid w:val="00943C5A"/>
    <w:rsid w:val="00944273"/>
    <w:rsid w:val="00944C1D"/>
    <w:rsid w:val="00945D12"/>
    <w:rsid w:val="00946163"/>
    <w:rsid w:val="00946222"/>
    <w:rsid w:val="00946242"/>
    <w:rsid w:val="00946AE2"/>
    <w:rsid w:val="00947195"/>
    <w:rsid w:val="0094791C"/>
    <w:rsid w:val="0095052C"/>
    <w:rsid w:val="00950B0C"/>
    <w:rsid w:val="00952160"/>
    <w:rsid w:val="0095227C"/>
    <w:rsid w:val="009522B5"/>
    <w:rsid w:val="009523A7"/>
    <w:rsid w:val="009523F2"/>
    <w:rsid w:val="009524AB"/>
    <w:rsid w:val="00953460"/>
    <w:rsid w:val="00953B8C"/>
    <w:rsid w:val="00953FB7"/>
    <w:rsid w:val="0095445E"/>
    <w:rsid w:val="00954F8D"/>
    <w:rsid w:val="009551C5"/>
    <w:rsid w:val="0095634D"/>
    <w:rsid w:val="00956636"/>
    <w:rsid w:val="00956FBF"/>
    <w:rsid w:val="00960699"/>
    <w:rsid w:val="00961413"/>
    <w:rsid w:val="00961EBB"/>
    <w:rsid w:val="00961FE9"/>
    <w:rsid w:val="009620C0"/>
    <w:rsid w:val="00962119"/>
    <w:rsid w:val="009624A5"/>
    <w:rsid w:val="009628DB"/>
    <w:rsid w:val="00962AEE"/>
    <w:rsid w:val="00963312"/>
    <w:rsid w:val="0096386A"/>
    <w:rsid w:val="00963FFE"/>
    <w:rsid w:val="00964832"/>
    <w:rsid w:val="0096508A"/>
    <w:rsid w:val="00965ABF"/>
    <w:rsid w:val="00965E49"/>
    <w:rsid w:val="00966584"/>
    <w:rsid w:val="009666A2"/>
    <w:rsid w:val="00966DE0"/>
    <w:rsid w:val="00967B10"/>
    <w:rsid w:val="00967D65"/>
    <w:rsid w:val="00970B36"/>
    <w:rsid w:val="00970C1B"/>
    <w:rsid w:val="00970F73"/>
    <w:rsid w:val="0097143A"/>
    <w:rsid w:val="00971A41"/>
    <w:rsid w:val="0097235D"/>
    <w:rsid w:val="00972923"/>
    <w:rsid w:val="009737BA"/>
    <w:rsid w:val="00974F2B"/>
    <w:rsid w:val="0097553D"/>
    <w:rsid w:val="00975BE8"/>
    <w:rsid w:val="009760FC"/>
    <w:rsid w:val="00976A58"/>
    <w:rsid w:val="0097706E"/>
    <w:rsid w:val="00977AA1"/>
    <w:rsid w:val="00980058"/>
    <w:rsid w:val="00980B1B"/>
    <w:rsid w:val="00981471"/>
    <w:rsid w:val="00981498"/>
    <w:rsid w:val="00981ACD"/>
    <w:rsid w:val="00982445"/>
    <w:rsid w:val="00982717"/>
    <w:rsid w:val="00982777"/>
    <w:rsid w:val="00982C40"/>
    <w:rsid w:val="0098375D"/>
    <w:rsid w:val="0098455F"/>
    <w:rsid w:val="00986137"/>
    <w:rsid w:val="00986389"/>
    <w:rsid w:val="00986746"/>
    <w:rsid w:val="009872CD"/>
    <w:rsid w:val="00987A8B"/>
    <w:rsid w:val="00990A46"/>
    <w:rsid w:val="00990AB9"/>
    <w:rsid w:val="009912BB"/>
    <w:rsid w:val="00991BE7"/>
    <w:rsid w:val="00991E06"/>
    <w:rsid w:val="009920E2"/>
    <w:rsid w:val="0099257F"/>
    <w:rsid w:val="009929CE"/>
    <w:rsid w:val="00992CAC"/>
    <w:rsid w:val="00992E90"/>
    <w:rsid w:val="00993090"/>
    <w:rsid w:val="009932B0"/>
    <w:rsid w:val="0099397C"/>
    <w:rsid w:val="00993E4C"/>
    <w:rsid w:val="009941D9"/>
    <w:rsid w:val="00994217"/>
    <w:rsid w:val="00994618"/>
    <w:rsid w:val="00994632"/>
    <w:rsid w:val="00994E41"/>
    <w:rsid w:val="00995E70"/>
    <w:rsid w:val="0099680F"/>
    <w:rsid w:val="00996CD5"/>
    <w:rsid w:val="00997E71"/>
    <w:rsid w:val="009A09EC"/>
    <w:rsid w:val="009A0E02"/>
    <w:rsid w:val="009A151F"/>
    <w:rsid w:val="009A201A"/>
    <w:rsid w:val="009A24BC"/>
    <w:rsid w:val="009A3464"/>
    <w:rsid w:val="009A3CD7"/>
    <w:rsid w:val="009A442C"/>
    <w:rsid w:val="009A587A"/>
    <w:rsid w:val="009A5BE2"/>
    <w:rsid w:val="009A5C07"/>
    <w:rsid w:val="009A6756"/>
    <w:rsid w:val="009A6AF8"/>
    <w:rsid w:val="009A7EF0"/>
    <w:rsid w:val="009B0266"/>
    <w:rsid w:val="009B23AE"/>
    <w:rsid w:val="009B2A92"/>
    <w:rsid w:val="009B2BA7"/>
    <w:rsid w:val="009B317A"/>
    <w:rsid w:val="009B3C05"/>
    <w:rsid w:val="009B413F"/>
    <w:rsid w:val="009B46F6"/>
    <w:rsid w:val="009B55B2"/>
    <w:rsid w:val="009B565C"/>
    <w:rsid w:val="009B5CB4"/>
    <w:rsid w:val="009B5E96"/>
    <w:rsid w:val="009B6723"/>
    <w:rsid w:val="009B76F3"/>
    <w:rsid w:val="009B7753"/>
    <w:rsid w:val="009B787E"/>
    <w:rsid w:val="009B7D23"/>
    <w:rsid w:val="009C06A5"/>
    <w:rsid w:val="009C083F"/>
    <w:rsid w:val="009C1811"/>
    <w:rsid w:val="009C1BFE"/>
    <w:rsid w:val="009C2087"/>
    <w:rsid w:val="009C22A5"/>
    <w:rsid w:val="009C24FF"/>
    <w:rsid w:val="009C2D44"/>
    <w:rsid w:val="009C2DE1"/>
    <w:rsid w:val="009C3010"/>
    <w:rsid w:val="009C3334"/>
    <w:rsid w:val="009C3712"/>
    <w:rsid w:val="009C3901"/>
    <w:rsid w:val="009C3BA8"/>
    <w:rsid w:val="009C3C64"/>
    <w:rsid w:val="009C415A"/>
    <w:rsid w:val="009C41E2"/>
    <w:rsid w:val="009C487C"/>
    <w:rsid w:val="009C4A01"/>
    <w:rsid w:val="009C5D58"/>
    <w:rsid w:val="009C627D"/>
    <w:rsid w:val="009C6526"/>
    <w:rsid w:val="009C66BD"/>
    <w:rsid w:val="009C7031"/>
    <w:rsid w:val="009C71E9"/>
    <w:rsid w:val="009C7376"/>
    <w:rsid w:val="009C7442"/>
    <w:rsid w:val="009C76A1"/>
    <w:rsid w:val="009D038B"/>
    <w:rsid w:val="009D040F"/>
    <w:rsid w:val="009D043F"/>
    <w:rsid w:val="009D0ACB"/>
    <w:rsid w:val="009D11FC"/>
    <w:rsid w:val="009D15DD"/>
    <w:rsid w:val="009D1603"/>
    <w:rsid w:val="009D1C22"/>
    <w:rsid w:val="009D23AF"/>
    <w:rsid w:val="009D2F92"/>
    <w:rsid w:val="009D4058"/>
    <w:rsid w:val="009D4259"/>
    <w:rsid w:val="009D4369"/>
    <w:rsid w:val="009D4B0D"/>
    <w:rsid w:val="009D57EC"/>
    <w:rsid w:val="009D5839"/>
    <w:rsid w:val="009D5AD5"/>
    <w:rsid w:val="009D607F"/>
    <w:rsid w:val="009D6586"/>
    <w:rsid w:val="009D6EDD"/>
    <w:rsid w:val="009D75E4"/>
    <w:rsid w:val="009D7BDB"/>
    <w:rsid w:val="009D7CC1"/>
    <w:rsid w:val="009D7D39"/>
    <w:rsid w:val="009E082C"/>
    <w:rsid w:val="009E0CD5"/>
    <w:rsid w:val="009E107C"/>
    <w:rsid w:val="009E1340"/>
    <w:rsid w:val="009E13C5"/>
    <w:rsid w:val="009E1EB9"/>
    <w:rsid w:val="009E25DF"/>
    <w:rsid w:val="009E2D76"/>
    <w:rsid w:val="009E33E8"/>
    <w:rsid w:val="009E3400"/>
    <w:rsid w:val="009E39DB"/>
    <w:rsid w:val="009E3F6A"/>
    <w:rsid w:val="009E40F8"/>
    <w:rsid w:val="009E56F6"/>
    <w:rsid w:val="009E5EDB"/>
    <w:rsid w:val="009E5FEA"/>
    <w:rsid w:val="009E7C65"/>
    <w:rsid w:val="009E7FEE"/>
    <w:rsid w:val="009F0114"/>
    <w:rsid w:val="009F06DE"/>
    <w:rsid w:val="009F1184"/>
    <w:rsid w:val="009F1C1D"/>
    <w:rsid w:val="009F1E00"/>
    <w:rsid w:val="009F1ED7"/>
    <w:rsid w:val="009F1F24"/>
    <w:rsid w:val="009F21C3"/>
    <w:rsid w:val="009F2673"/>
    <w:rsid w:val="009F3011"/>
    <w:rsid w:val="009F3A1B"/>
    <w:rsid w:val="009F45ED"/>
    <w:rsid w:val="009F4C15"/>
    <w:rsid w:val="009F562E"/>
    <w:rsid w:val="009F5F4E"/>
    <w:rsid w:val="009F7B46"/>
    <w:rsid w:val="009F7DAD"/>
    <w:rsid w:val="009F7F7A"/>
    <w:rsid w:val="00A0003C"/>
    <w:rsid w:val="00A02D1A"/>
    <w:rsid w:val="00A03078"/>
    <w:rsid w:val="00A04573"/>
    <w:rsid w:val="00A05307"/>
    <w:rsid w:val="00A0627A"/>
    <w:rsid w:val="00A10781"/>
    <w:rsid w:val="00A10C30"/>
    <w:rsid w:val="00A11689"/>
    <w:rsid w:val="00A11997"/>
    <w:rsid w:val="00A123FB"/>
    <w:rsid w:val="00A12BD8"/>
    <w:rsid w:val="00A13B5A"/>
    <w:rsid w:val="00A13D90"/>
    <w:rsid w:val="00A145C6"/>
    <w:rsid w:val="00A15C94"/>
    <w:rsid w:val="00A15F64"/>
    <w:rsid w:val="00A205E7"/>
    <w:rsid w:val="00A20A27"/>
    <w:rsid w:val="00A215D2"/>
    <w:rsid w:val="00A233E0"/>
    <w:rsid w:val="00A23B6F"/>
    <w:rsid w:val="00A2427B"/>
    <w:rsid w:val="00A247E0"/>
    <w:rsid w:val="00A24956"/>
    <w:rsid w:val="00A24F5B"/>
    <w:rsid w:val="00A25187"/>
    <w:rsid w:val="00A25FA7"/>
    <w:rsid w:val="00A26353"/>
    <w:rsid w:val="00A267AE"/>
    <w:rsid w:val="00A26E89"/>
    <w:rsid w:val="00A2713F"/>
    <w:rsid w:val="00A271CD"/>
    <w:rsid w:val="00A274B4"/>
    <w:rsid w:val="00A276AF"/>
    <w:rsid w:val="00A27E5C"/>
    <w:rsid w:val="00A306EB"/>
    <w:rsid w:val="00A30A33"/>
    <w:rsid w:val="00A30AC3"/>
    <w:rsid w:val="00A31484"/>
    <w:rsid w:val="00A319DA"/>
    <w:rsid w:val="00A32452"/>
    <w:rsid w:val="00A33D7E"/>
    <w:rsid w:val="00A33E27"/>
    <w:rsid w:val="00A33E75"/>
    <w:rsid w:val="00A340F6"/>
    <w:rsid w:val="00A34924"/>
    <w:rsid w:val="00A35170"/>
    <w:rsid w:val="00A352DB"/>
    <w:rsid w:val="00A35350"/>
    <w:rsid w:val="00A357FC"/>
    <w:rsid w:val="00A358CC"/>
    <w:rsid w:val="00A35BC3"/>
    <w:rsid w:val="00A35F5B"/>
    <w:rsid w:val="00A361CE"/>
    <w:rsid w:val="00A36DC5"/>
    <w:rsid w:val="00A370E9"/>
    <w:rsid w:val="00A400E3"/>
    <w:rsid w:val="00A4140F"/>
    <w:rsid w:val="00A45137"/>
    <w:rsid w:val="00A456EA"/>
    <w:rsid w:val="00A45746"/>
    <w:rsid w:val="00A45770"/>
    <w:rsid w:val="00A45865"/>
    <w:rsid w:val="00A45B2C"/>
    <w:rsid w:val="00A45E3D"/>
    <w:rsid w:val="00A50B85"/>
    <w:rsid w:val="00A51C53"/>
    <w:rsid w:val="00A5226D"/>
    <w:rsid w:val="00A53BD4"/>
    <w:rsid w:val="00A53C9A"/>
    <w:rsid w:val="00A5566A"/>
    <w:rsid w:val="00A55764"/>
    <w:rsid w:val="00A55B22"/>
    <w:rsid w:val="00A56C84"/>
    <w:rsid w:val="00A57912"/>
    <w:rsid w:val="00A57BA5"/>
    <w:rsid w:val="00A60133"/>
    <w:rsid w:val="00A60384"/>
    <w:rsid w:val="00A60A62"/>
    <w:rsid w:val="00A616FC"/>
    <w:rsid w:val="00A6282F"/>
    <w:rsid w:val="00A62AFA"/>
    <w:rsid w:val="00A62F7C"/>
    <w:rsid w:val="00A63475"/>
    <w:rsid w:val="00A6386F"/>
    <w:rsid w:val="00A63FD6"/>
    <w:rsid w:val="00A64B54"/>
    <w:rsid w:val="00A65FF6"/>
    <w:rsid w:val="00A6613C"/>
    <w:rsid w:val="00A6656C"/>
    <w:rsid w:val="00A66F4A"/>
    <w:rsid w:val="00A67FC6"/>
    <w:rsid w:val="00A68791"/>
    <w:rsid w:val="00A70A25"/>
    <w:rsid w:val="00A71397"/>
    <w:rsid w:val="00A71F84"/>
    <w:rsid w:val="00A72623"/>
    <w:rsid w:val="00A73202"/>
    <w:rsid w:val="00A74FE2"/>
    <w:rsid w:val="00A768D2"/>
    <w:rsid w:val="00A77C4D"/>
    <w:rsid w:val="00A80A27"/>
    <w:rsid w:val="00A816BC"/>
    <w:rsid w:val="00A81FF6"/>
    <w:rsid w:val="00A82555"/>
    <w:rsid w:val="00A82647"/>
    <w:rsid w:val="00A8349A"/>
    <w:rsid w:val="00A84203"/>
    <w:rsid w:val="00A84632"/>
    <w:rsid w:val="00A852A3"/>
    <w:rsid w:val="00A8542E"/>
    <w:rsid w:val="00A8593A"/>
    <w:rsid w:val="00A861B1"/>
    <w:rsid w:val="00A9015D"/>
    <w:rsid w:val="00A9020E"/>
    <w:rsid w:val="00A90882"/>
    <w:rsid w:val="00A91522"/>
    <w:rsid w:val="00A9165F"/>
    <w:rsid w:val="00A91800"/>
    <w:rsid w:val="00A9188B"/>
    <w:rsid w:val="00A91EFC"/>
    <w:rsid w:val="00A91F36"/>
    <w:rsid w:val="00A93DC1"/>
    <w:rsid w:val="00A955EC"/>
    <w:rsid w:val="00A97036"/>
    <w:rsid w:val="00A9734E"/>
    <w:rsid w:val="00A975AC"/>
    <w:rsid w:val="00A978E1"/>
    <w:rsid w:val="00A97EE9"/>
    <w:rsid w:val="00A97F0F"/>
    <w:rsid w:val="00AA1610"/>
    <w:rsid w:val="00AA1A76"/>
    <w:rsid w:val="00AA25BB"/>
    <w:rsid w:val="00AA26C8"/>
    <w:rsid w:val="00AA2A37"/>
    <w:rsid w:val="00AA2AE3"/>
    <w:rsid w:val="00AA36AC"/>
    <w:rsid w:val="00AA3857"/>
    <w:rsid w:val="00AA3DC0"/>
    <w:rsid w:val="00AA412B"/>
    <w:rsid w:val="00AA4660"/>
    <w:rsid w:val="00AA4A5E"/>
    <w:rsid w:val="00AA4F24"/>
    <w:rsid w:val="00AA550A"/>
    <w:rsid w:val="00AA5BD7"/>
    <w:rsid w:val="00AA60D3"/>
    <w:rsid w:val="00AA67A0"/>
    <w:rsid w:val="00AA74E9"/>
    <w:rsid w:val="00AB0341"/>
    <w:rsid w:val="00AB12C4"/>
    <w:rsid w:val="00AB1C20"/>
    <w:rsid w:val="00AB2B5E"/>
    <w:rsid w:val="00AB3F51"/>
    <w:rsid w:val="00AB425F"/>
    <w:rsid w:val="00AB43D2"/>
    <w:rsid w:val="00AB44E4"/>
    <w:rsid w:val="00AB5031"/>
    <w:rsid w:val="00AB5440"/>
    <w:rsid w:val="00AB58D2"/>
    <w:rsid w:val="00AB6428"/>
    <w:rsid w:val="00AB679F"/>
    <w:rsid w:val="00AB6965"/>
    <w:rsid w:val="00AB7D0F"/>
    <w:rsid w:val="00AC105E"/>
    <w:rsid w:val="00AC1131"/>
    <w:rsid w:val="00AC1AC4"/>
    <w:rsid w:val="00AC1E00"/>
    <w:rsid w:val="00AC20FF"/>
    <w:rsid w:val="00AC2352"/>
    <w:rsid w:val="00AC480E"/>
    <w:rsid w:val="00AC484C"/>
    <w:rsid w:val="00AC48C6"/>
    <w:rsid w:val="00AC5472"/>
    <w:rsid w:val="00AC6D8B"/>
    <w:rsid w:val="00AC74A7"/>
    <w:rsid w:val="00AC774C"/>
    <w:rsid w:val="00AC77F6"/>
    <w:rsid w:val="00AC7BA7"/>
    <w:rsid w:val="00AD022D"/>
    <w:rsid w:val="00AD15AC"/>
    <w:rsid w:val="00AD1953"/>
    <w:rsid w:val="00AD1B66"/>
    <w:rsid w:val="00AD1CFF"/>
    <w:rsid w:val="00AD1F33"/>
    <w:rsid w:val="00AD2318"/>
    <w:rsid w:val="00AD2447"/>
    <w:rsid w:val="00AD2627"/>
    <w:rsid w:val="00AD2C37"/>
    <w:rsid w:val="00AD324C"/>
    <w:rsid w:val="00AD3F78"/>
    <w:rsid w:val="00AD420D"/>
    <w:rsid w:val="00AD46F7"/>
    <w:rsid w:val="00AD46F9"/>
    <w:rsid w:val="00AD47FD"/>
    <w:rsid w:val="00AD50FB"/>
    <w:rsid w:val="00AD52A1"/>
    <w:rsid w:val="00AD5DCC"/>
    <w:rsid w:val="00AD5F7B"/>
    <w:rsid w:val="00AD6560"/>
    <w:rsid w:val="00AD7400"/>
    <w:rsid w:val="00AE0083"/>
    <w:rsid w:val="00AE026A"/>
    <w:rsid w:val="00AE04B0"/>
    <w:rsid w:val="00AE07FD"/>
    <w:rsid w:val="00AE1346"/>
    <w:rsid w:val="00AE2594"/>
    <w:rsid w:val="00AE274D"/>
    <w:rsid w:val="00AE3028"/>
    <w:rsid w:val="00AE340E"/>
    <w:rsid w:val="00AE3624"/>
    <w:rsid w:val="00AE3760"/>
    <w:rsid w:val="00AE3B3D"/>
    <w:rsid w:val="00AE3D29"/>
    <w:rsid w:val="00AE3F7E"/>
    <w:rsid w:val="00AE4DA9"/>
    <w:rsid w:val="00AE505A"/>
    <w:rsid w:val="00AE531F"/>
    <w:rsid w:val="00AE5442"/>
    <w:rsid w:val="00AE59DA"/>
    <w:rsid w:val="00AE5CA4"/>
    <w:rsid w:val="00AE63B1"/>
    <w:rsid w:val="00AE6566"/>
    <w:rsid w:val="00AE74D4"/>
    <w:rsid w:val="00AE7BE7"/>
    <w:rsid w:val="00AE7FC5"/>
    <w:rsid w:val="00AF0569"/>
    <w:rsid w:val="00AF0761"/>
    <w:rsid w:val="00AF1D37"/>
    <w:rsid w:val="00AF1D44"/>
    <w:rsid w:val="00AF2486"/>
    <w:rsid w:val="00AF38DC"/>
    <w:rsid w:val="00AF3D20"/>
    <w:rsid w:val="00AF4218"/>
    <w:rsid w:val="00AF5C38"/>
    <w:rsid w:val="00AF6F5C"/>
    <w:rsid w:val="00AF78ED"/>
    <w:rsid w:val="00B00910"/>
    <w:rsid w:val="00B0113C"/>
    <w:rsid w:val="00B027C5"/>
    <w:rsid w:val="00B0283F"/>
    <w:rsid w:val="00B02874"/>
    <w:rsid w:val="00B02DBE"/>
    <w:rsid w:val="00B04655"/>
    <w:rsid w:val="00B04DBD"/>
    <w:rsid w:val="00B06750"/>
    <w:rsid w:val="00B06BD4"/>
    <w:rsid w:val="00B07337"/>
    <w:rsid w:val="00B077ED"/>
    <w:rsid w:val="00B1018A"/>
    <w:rsid w:val="00B101CF"/>
    <w:rsid w:val="00B11B2A"/>
    <w:rsid w:val="00B11C3B"/>
    <w:rsid w:val="00B12EDF"/>
    <w:rsid w:val="00B13545"/>
    <w:rsid w:val="00B13877"/>
    <w:rsid w:val="00B13DEC"/>
    <w:rsid w:val="00B13F9F"/>
    <w:rsid w:val="00B142EE"/>
    <w:rsid w:val="00B1456E"/>
    <w:rsid w:val="00B146F1"/>
    <w:rsid w:val="00B147C7"/>
    <w:rsid w:val="00B14C3C"/>
    <w:rsid w:val="00B15AEE"/>
    <w:rsid w:val="00B15B9E"/>
    <w:rsid w:val="00B15E85"/>
    <w:rsid w:val="00B15EFA"/>
    <w:rsid w:val="00B164E1"/>
    <w:rsid w:val="00B2067C"/>
    <w:rsid w:val="00B222EC"/>
    <w:rsid w:val="00B22810"/>
    <w:rsid w:val="00B2294A"/>
    <w:rsid w:val="00B22CFE"/>
    <w:rsid w:val="00B22E8E"/>
    <w:rsid w:val="00B22F84"/>
    <w:rsid w:val="00B2326A"/>
    <w:rsid w:val="00B23E0D"/>
    <w:rsid w:val="00B24852"/>
    <w:rsid w:val="00B25571"/>
    <w:rsid w:val="00B25724"/>
    <w:rsid w:val="00B26757"/>
    <w:rsid w:val="00B2695D"/>
    <w:rsid w:val="00B274F6"/>
    <w:rsid w:val="00B27AB7"/>
    <w:rsid w:val="00B31C31"/>
    <w:rsid w:val="00B31C77"/>
    <w:rsid w:val="00B32638"/>
    <w:rsid w:val="00B32CEC"/>
    <w:rsid w:val="00B33307"/>
    <w:rsid w:val="00B346B5"/>
    <w:rsid w:val="00B34B69"/>
    <w:rsid w:val="00B34BBD"/>
    <w:rsid w:val="00B37B51"/>
    <w:rsid w:val="00B37C28"/>
    <w:rsid w:val="00B400AE"/>
    <w:rsid w:val="00B403DA"/>
    <w:rsid w:val="00B40B16"/>
    <w:rsid w:val="00B413BA"/>
    <w:rsid w:val="00B434D7"/>
    <w:rsid w:val="00B4495E"/>
    <w:rsid w:val="00B45BEF"/>
    <w:rsid w:val="00B468B9"/>
    <w:rsid w:val="00B47058"/>
    <w:rsid w:val="00B5068E"/>
    <w:rsid w:val="00B51024"/>
    <w:rsid w:val="00B5150D"/>
    <w:rsid w:val="00B51B95"/>
    <w:rsid w:val="00B524A9"/>
    <w:rsid w:val="00B52766"/>
    <w:rsid w:val="00B52C69"/>
    <w:rsid w:val="00B53248"/>
    <w:rsid w:val="00B54F9E"/>
    <w:rsid w:val="00B55D6A"/>
    <w:rsid w:val="00B564E6"/>
    <w:rsid w:val="00B57B49"/>
    <w:rsid w:val="00B603E4"/>
    <w:rsid w:val="00B60A44"/>
    <w:rsid w:val="00B60F3F"/>
    <w:rsid w:val="00B6143F"/>
    <w:rsid w:val="00B62717"/>
    <w:rsid w:val="00B62988"/>
    <w:rsid w:val="00B63B97"/>
    <w:rsid w:val="00B64782"/>
    <w:rsid w:val="00B65237"/>
    <w:rsid w:val="00B655B4"/>
    <w:rsid w:val="00B661EE"/>
    <w:rsid w:val="00B666CD"/>
    <w:rsid w:val="00B67894"/>
    <w:rsid w:val="00B679C1"/>
    <w:rsid w:val="00B71227"/>
    <w:rsid w:val="00B71741"/>
    <w:rsid w:val="00B72371"/>
    <w:rsid w:val="00B737EF"/>
    <w:rsid w:val="00B74D25"/>
    <w:rsid w:val="00B74D2C"/>
    <w:rsid w:val="00B74F4D"/>
    <w:rsid w:val="00B7519D"/>
    <w:rsid w:val="00B75DB1"/>
    <w:rsid w:val="00B77C81"/>
    <w:rsid w:val="00B801A2"/>
    <w:rsid w:val="00B80F76"/>
    <w:rsid w:val="00B816B9"/>
    <w:rsid w:val="00B818B8"/>
    <w:rsid w:val="00B81A2E"/>
    <w:rsid w:val="00B830F2"/>
    <w:rsid w:val="00B834E0"/>
    <w:rsid w:val="00B83587"/>
    <w:rsid w:val="00B8407F"/>
    <w:rsid w:val="00B8491D"/>
    <w:rsid w:val="00B85177"/>
    <w:rsid w:val="00B85525"/>
    <w:rsid w:val="00B85B34"/>
    <w:rsid w:val="00B86424"/>
    <w:rsid w:val="00B8742C"/>
    <w:rsid w:val="00B87C9F"/>
    <w:rsid w:val="00B90437"/>
    <w:rsid w:val="00B91032"/>
    <w:rsid w:val="00B913C1"/>
    <w:rsid w:val="00B92284"/>
    <w:rsid w:val="00B9379D"/>
    <w:rsid w:val="00B93CC4"/>
    <w:rsid w:val="00B93F50"/>
    <w:rsid w:val="00B94077"/>
    <w:rsid w:val="00B9424F"/>
    <w:rsid w:val="00B949DD"/>
    <w:rsid w:val="00B9504D"/>
    <w:rsid w:val="00B957FA"/>
    <w:rsid w:val="00B95BD0"/>
    <w:rsid w:val="00B9602F"/>
    <w:rsid w:val="00B9642D"/>
    <w:rsid w:val="00BA0A19"/>
    <w:rsid w:val="00BA1A18"/>
    <w:rsid w:val="00BA1F1E"/>
    <w:rsid w:val="00BA1F73"/>
    <w:rsid w:val="00BA25C0"/>
    <w:rsid w:val="00BA261D"/>
    <w:rsid w:val="00BA37D9"/>
    <w:rsid w:val="00BA45CB"/>
    <w:rsid w:val="00BA45E6"/>
    <w:rsid w:val="00BA47D7"/>
    <w:rsid w:val="00BA5E6F"/>
    <w:rsid w:val="00BA71B8"/>
    <w:rsid w:val="00BA7590"/>
    <w:rsid w:val="00BB0516"/>
    <w:rsid w:val="00BB0704"/>
    <w:rsid w:val="00BB0A0E"/>
    <w:rsid w:val="00BB0D04"/>
    <w:rsid w:val="00BB0F54"/>
    <w:rsid w:val="00BB0FC8"/>
    <w:rsid w:val="00BB1FAD"/>
    <w:rsid w:val="00BB282E"/>
    <w:rsid w:val="00BB29FA"/>
    <w:rsid w:val="00BB2B15"/>
    <w:rsid w:val="00BB3410"/>
    <w:rsid w:val="00BB432F"/>
    <w:rsid w:val="00BB49A7"/>
    <w:rsid w:val="00BB49C0"/>
    <w:rsid w:val="00BB5578"/>
    <w:rsid w:val="00BB57D1"/>
    <w:rsid w:val="00BB6D35"/>
    <w:rsid w:val="00BB6F4C"/>
    <w:rsid w:val="00BB6FB5"/>
    <w:rsid w:val="00BB753F"/>
    <w:rsid w:val="00BB7DA0"/>
    <w:rsid w:val="00BB7E12"/>
    <w:rsid w:val="00BB7E98"/>
    <w:rsid w:val="00BB7FF2"/>
    <w:rsid w:val="00BC0628"/>
    <w:rsid w:val="00BC0B1A"/>
    <w:rsid w:val="00BC0E63"/>
    <w:rsid w:val="00BC124B"/>
    <w:rsid w:val="00BC1522"/>
    <w:rsid w:val="00BC1BF0"/>
    <w:rsid w:val="00BC1F6D"/>
    <w:rsid w:val="00BC2AA0"/>
    <w:rsid w:val="00BC3541"/>
    <w:rsid w:val="00BC3767"/>
    <w:rsid w:val="00BC38F9"/>
    <w:rsid w:val="00BC3DD2"/>
    <w:rsid w:val="00BC4A45"/>
    <w:rsid w:val="00BC6D2F"/>
    <w:rsid w:val="00BC79C7"/>
    <w:rsid w:val="00BD0482"/>
    <w:rsid w:val="00BD04B0"/>
    <w:rsid w:val="00BD0E6D"/>
    <w:rsid w:val="00BD1178"/>
    <w:rsid w:val="00BD12E4"/>
    <w:rsid w:val="00BD1709"/>
    <w:rsid w:val="00BD1EA1"/>
    <w:rsid w:val="00BD211B"/>
    <w:rsid w:val="00BD252C"/>
    <w:rsid w:val="00BD5002"/>
    <w:rsid w:val="00BD65EC"/>
    <w:rsid w:val="00BD67BA"/>
    <w:rsid w:val="00BD6B16"/>
    <w:rsid w:val="00BD721D"/>
    <w:rsid w:val="00BD75F7"/>
    <w:rsid w:val="00BD7D9A"/>
    <w:rsid w:val="00BE12E1"/>
    <w:rsid w:val="00BE1B26"/>
    <w:rsid w:val="00BE1F44"/>
    <w:rsid w:val="00BE2174"/>
    <w:rsid w:val="00BE3D6F"/>
    <w:rsid w:val="00BE4548"/>
    <w:rsid w:val="00BE46DD"/>
    <w:rsid w:val="00BE4DE8"/>
    <w:rsid w:val="00BE53BF"/>
    <w:rsid w:val="00BE63D7"/>
    <w:rsid w:val="00BE73A8"/>
    <w:rsid w:val="00BE79A6"/>
    <w:rsid w:val="00BE7AD1"/>
    <w:rsid w:val="00BE7B61"/>
    <w:rsid w:val="00BF0476"/>
    <w:rsid w:val="00BF0CAD"/>
    <w:rsid w:val="00BF112A"/>
    <w:rsid w:val="00BF1D41"/>
    <w:rsid w:val="00BF2700"/>
    <w:rsid w:val="00BF2A34"/>
    <w:rsid w:val="00BF2DF6"/>
    <w:rsid w:val="00BF3F6E"/>
    <w:rsid w:val="00BF42B9"/>
    <w:rsid w:val="00BF4AFD"/>
    <w:rsid w:val="00BF5699"/>
    <w:rsid w:val="00BF6721"/>
    <w:rsid w:val="00BF67F8"/>
    <w:rsid w:val="00BF6B9A"/>
    <w:rsid w:val="00BF7607"/>
    <w:rsid w:val="00C00D24"/>
    <w:rsid w:val="00C01465"/>
    <w:rsid w:val="00C018DA"/>
    <w:rsid w:val="00C02721"/>
    <w:rsid w:val="00C02C57"/>
    <w:rsid w:val="00C02D9A"/>
    <w:rsid w:val="00C033E9"/>
    <w:rsid w:val="00C0389F"/>
    <w:rsid w:val="00C04326"/>
    <w:rsid w:val="00C046AD"/>
    <w:rsid w:val="00C04F8D"/>
    <w:rsid w:val="00C054E3"/>
    <w:rsid w:val="00C05E9C"/>
    <w:rsid w:val="00C0664E"/>
    <w:rsid w:val="00C066B7"/>
    <w:rsid w:val="00C067D9"/>
    <w:rsid w:val="00C06B69"/>
    <w:rsid w:val="00C0756F"/>
    <w:rsid w:val="00C07AAE"/>
    <w:rsid w:val="00C07D74"/>
    <w:rsid w:val="00C10B34"/>
    <w:rsid w:val="00C11E49"/>
    <w:rsid w:val="00C11ED5"/>
    <w:rsid w:val="00C12579"/>
    <w:rsid w:val="00C12A18"/>
    <w:rsid w:val="00C138E7"/>
    <w:rsid w:val="00C13B84"/>
    <w:rsid w:val="00C14613"/>
    <w:rsid w:val="00C14B7B"/>
    <w:rsid w:val="00C14D9D"/>
    <w:rsid w:val="00C15D8E"/>
    <w:rsid w:val="00C15E14"/>
    <w:rsid w:val="00C1628D"/>
    <w:rsid w:val="00C16540"/>
    <w:rsid w:val="00C17C24"/>
    <w:rsid w:val="00C17D41"/>
    <w:rsid w:val="00C17D7E"/>
    <w:rsid w:val="00C20372"/>
    <w:rsid w:val="00C20470"/>
    <w:rsid w:val="00C218E1"/>
    <w:rsid w:val="00C22E93"/>
    <w:rsid w:val="00C2356F"/>
    <w:rsid w:val="00C24C15"/>
    <w:rsid w:val="00C24C6C"/>
    <w:rsid w:val="00C25375"/>
    <w:rsid w:val="00C25A7A"/>
    <w:rsid w:val="00C26013"/>
    <w:rsid w:val="00C2636F"/>
    <w:rsid w:val="00C265DC"/>
    <w:rsid w:val="00C26805"/>
    <w:rsid w:val="00C27150"/>
    <w:rsid w:val="00C2799A"/>
    <w:rsid w:val="00C30469"/>
    <w:rsid w:val="00C30D02"/>
    <w:rsid w:val="00C3183C"/>
    <w:rsid w:val="00C31C4E"/>
    <w:rsid w:val="00C32359"/>
    <w:rsid w:val="00C324E1"/>
    <w:rsid w:val="00C329FD"/>
    <w:rsid w:val="00C32ACC"/>
    <w:rsid w:val="00C32D5B"/>
    <w:rsid w:val="00C33767"/>
    <w:rsid w:val="00C33A15"/>
    <w:rsid w:val="00C33E98"/>
    <w:rsid w:val="00C3431F"/>
    <w:rsid w:val="00C345C2"/>
    <w:rsid w:val="00C347F1"/>
    <w:rsid w:val="00C34842"/>
    <w:rsid w:val="00C34F64"/>
    <w:rsid w:val="00C35949"/>
    <w:rsid w:val="00C365DF"/>
    <w:rsid w:val="00C36AEE"/>
    <w:rsid w:val="00C36E61"/>
    <w:rsid w:val="00C375CA"/>
    <w:rsid w:val="00C41498"/>
    <w:rsid w:val="00C41AAE"/>
    <w:rsid w:val="00C41CC5"/>
    <w:rsid w:val="00C4298A"/>
    <w:rsid w:val="00C42F7B"/>
    <w:rsid w:val="00C441E0"/>
    <w:rsid w:val="00C44324"/>
    <w:rsid w:val="00C44A9E"/>
    <w:rsid w:val="00C44ACE"/>
    <w:rsid w:val="00C453CB"/>
    <w:rsid w:val="00C457F1"/>
    <w:rsid w:val="00C45979"/>
    <w:rsid w:val="00C47245"/>
    <w:rsid w:val="00C50DDE"/>
    <w:rsid w:val="00C51D4B"/>
    <w:rsid w:val="00C520D9"/>
    <w:rsid w:val="00C53690"/>
    <w:rsid w:val="00C538F7"/>
    <w:rsid w:val="00C541C4"/>
    <w:rsid w:val="00C54E17"/>
    <w:rsid w:val="00C54FDB"/>
    <w:rsid w:val="00C55210"/>
    <w:rsid w:val="00C55A7A"/>
    <w:rsid w:val="00C56D8C"/>
    <w:rsid w:val="00C573BC"/>
    <w:rsid w:val="00C60156"/>
    <w:rsid w:val="00C60DDA"/>
    <w:rsid w:val="00C61B11"/>
    <w:rsid w:val="00C61EB6"/>
    <w:rsid w:val="00C61EFD"/>
    <w:rsid w:val="00C62020"/>
    <w:rsid w:val="00C6228D"/>
    <w:rsid w:val="00C624BA"/>
    <w:rsid w:val="00C62F1F"/>
    <w:rsid w:val="00C62F2D"/>
    <w:rsid w:val="00C62FA6"/>
    <w:rsid w:val="00C63846"/>
    <w:rsid w:val="00C65BD0"/>
    <w:rsid w:val="00C663B0"/>
    <w:rsid w:val="00C66A55"/>
    <w:rsid w:val="00C672AB"/>
    <w:rsid w:val="00C6736B"/>
    <w:rsid w:val="00C67D9C"/>
    <w:rsid w:val="00C706D7"/>
    <w:rsid w:val="00C72108"/>
    <w:rsid w:val="00C72590"/>
    <w:rsid w:val="00C72CCD"/>
    <w:rsid w:val="00C733F7"/>
    <w:rsid w:val="00C73A4C"/>
    <w:rsid w:val="00C73DE9"/>
    <w:rsid w:val="00C74A72"/>
    <w:rsid w:val="00C754FD"/>
    <w:rsid w:val="00C76129"/>
    <w:rsid w:val="00C7689C"/>
    <w:rsid w:val="00C76FDB"/>
    <w:rsid w:val="00C80081"/>
    <w:rsid w:val="00C80E50"/>
    <w:rsid w:val="00C810E1"/>
    <w:rsid w:val="00C81216"/>
    <w:rsid w:val="00C81982"/>
    <w:rsid w:val="00C81E8A"/>
    <w:rsid w:val="00C82CE5"/>
    <w:rsid w:val="00C82FD0"/>
    <w:rsid w:val="00C83679"/>
    <w:rsid w:val="00C83ECD"/>
    <w:rsid w:val="00C8408B"/>
    <w:rsid w:val="00C860E0"/>
    <w:rsid w:val="00C863F2"/>
    <w:rsid w:val="00C86ABE"/>
    <w:rsid w:val="00C8720B"/>
    <w:rsid w:val="00C87C08"/>
    <w:rsid w:val="00C87E71"/>
    <w:rsid w:val="00C903FE"/>
    <w:rsid w:val="00C90FE5"/>
    <w:rsid w:val="00C91270"/>
    <w:rsid w:val="00C9141A"/>
    <w:rsid w:val="00C91493"/>
    <w:rsid w:val="00C916DE"/>
    <w:rsid w:val="00C918BE"/>
    <w:rsid w:val="00C91C83"/>
    <w:rsid w:val="00C9299C"/>
    <w:rsid w:val="00C93634"/>
    <w:rsid w:val="00C93821"/>
    <w:rsid w:val="00C943C6"/>
    <w:rsid w:val="00C947BD"/>
    <w:rsid w:val="00C9485A"/>
    <w:rsid w:val="00C949DA"/>
    <w:rsid w:val="00C94A49"/>
    <w:rsid w:val="00C94D70"/>
    <w:rsid w:val="00C9517E"/>
    <w:rsid w:val="00C9534C"/>
    <w:rsid w:val="00C96032"/>
    <w:rsid w:val="00C966E6"/>
    <w:rsid w:val="00C96BDE"/>
    <w:rsid w:val="00C97C51"/>
    <w:rsid w:val="00CA0285"/>
    <w:rsid w:val="00CA07A8"/>
    <w:rsid w:val="00CA07EC"/>
    <w:rsid w:val="00CA25FF"/>
    <w:rsid w:val="00CA27B9"/>
    <w:rsid w:val="00CA32FE"/>
    <w:rsid w:val="00CA3380"/>
    <w:rsid w:val="00CA4137"/>
    <w:rsid w:val="00CA451B"/>
    <w:rsid w:val="00CA5782"/>
    <w:rsid w:val="00CA5AE4"/>
    <w:rsid w:val="00CA6083"/>
    <w:rsid w:val="00CA6B28"/>
    <w:rsid w:val="00CA6CCF"/>
    <w:rsid w:val="00CA6D14"/>
    <w:rsid w:val="00CA7D74"/>
    <w:rsid w:val="00CB0251"/>
    <w:rsid w:val="00CB02A1"/>
    <w:rsid w:val="00CB038B"/>
    <w:rsid w:val="00CB1797"/>
    <w:rsid w:val="00CB2284"/>
    <w:rsid w:val="00CB3CA5"/>
    <w:rsid w:val="00CB3F77"/>
    <w:rsid w:val="00CB469C"/>
    <w:rsid w:val="00CB4B04"/>
    <w:rsid w:val="00CB546B"/>
    <w:rsid w:val="00CB5922"/>
    <w:rsid w:val="00CB5E71"/>
    <w:rsid w:val="00CB6AD7"/>
    <w:rsid w:val="00CC03C4"/>
    <w:rsid w:val="00CC0BC3"/>
    <w:rsid w:val="00CC0D7A"/>
    <w:rsid w:val="00CC2643"/>
    <w:rsid w:val="00CC2CAE"/>
    <w:rsid w:val="00CC338D"/>
    <w:rsid w:val="00CC3C26"/>
    <w:rsid w:val="00CC43C3"/>
    <w:rsid w:val="00CC43C5"/>
    <w:rsid w:val="00CC43CD"/>
    <w:rsid w:val="00CC4618"/>
    <w:rsid w:val="00CC746C"/>
    <w:rsid w:val="00CD01DB"/>
    <w:rsid w:val="00CD0C66"/>
    <w:rsid w:val="00CD133E"/>
    <w:rsid w:val="00CD1614"/>
    <w:rsid w:val="00CD1836"/>
    <w:rsid w:val="00CD1B12"/>
    <w:rsid w:val="00CD1C05"/>
    <w:rsid w:val="00CD260E"/>
    <w:rsid w:val="00CD275E"/>
    <w:rsid w:val="00CD2832"/>
    <w:rsid w:val="00CD2D40"/>
    <w:rsid w:val="00CD2EF7"/>
    <w:rsid w:val="00CD38AB"/>
    <w:rsid w:val="00CD4100"/>
    <w:rsid w:val="00CD4338"/>
    <w:rsid w:val="00CD4809"/>
    <w:rsid w:val="00CD484D"/>
    <w:rsid w:val="00CD5A92"/>
    <w:rsid w:val="00CD5C7C"/>
    <w:rsid w:val="00CE0942"/>
    <w:rsid w:val="00CE127A"/>
    <w:rsid w:val="00CE1C8F"/>
    <w:rsid w:val="00CE1EF9"/>
    <w:rsid w:val="00CE2CB1"/>
    <w:rsid w:val="00CE3ACF"/>
    <w:rsid w:val="00CE4292"/>
    <w:rsid w:val="00CE474B"/>
    <w:rsid w:val="00CE4CD3"/>
    <w:rsid w:val="00CE4DEB"/>
    <w:rsid w:val="00CE4F47"/>
    <w:rsid w:val="00CE5752"/>
    <w:rsid w:val="00CE5F46"/>
    <w:rsid w:val="00CE5F7B"/>
    <w:rsid w:val="00CE6F2D"/>
    <w:rsid w:val="00CE6F8E"/>
    <w:rsid w:val="00CE7918"/>
    <w:rsid w:val="00CF1D78"/>
    <w:rsid w:val="00CF1F4B"/>
    <w:rsid w:val="00CF2385"/>
    <w:rsid w:val="00CF23B4"/>
    <w:rsid w:val="00CF242E"/>
    <w:rsid w:val="00CF3A23"/>
    <w:rsid w:val="00CF3EE6"/>
    <w:rsid w:val="00CF413A"/>
    <w:rsid w:val="00CF4631"/>
    <w:rsid w:val="00CF5A3C"/>
    <w:rsid w:val="00CF5EFF"/>
    <w:rsid w:val="00CF652A"/>
    <w:rsid w:val="00CF7AA1"/>
    <w:rsid w:val="00D00106"/>
    <w:rsid w:val="00D00D33"/>
    <w:rsid w:val="00D014CF"/>
    <w:rsid w:val="00D01A8F"/>
    <w:rsid w:val="00D01FC2"/>
    <w:rsid w:val="00D02538"/>
    <w:rsid w:val="00D04072"/>
    <w:rsid w:val="00D040EE"/>
    <w:rsid w:val="00D043F3"/>
    <w:rsid w:val="00D044DA"/>
    <w:rsid w:val="00D0527C"/>
    <w:rsid w:val="00D060C9"/>
    <w:rsid w:val="00D10B82"/>
    <w:rsid w:val="00D1231F"/>
    <w:rsid w:val="00D1236F"/>
    <w:rsid w:val="00D12B57"/>
    <w:rsid w:val="00D12D20"/>
    <w:rsid w:val="00D13055"/>
    <w:rsid w:val="00D14230"/>
    <w:rsid w:val="00D14A68"/>
    <w:rsid w:val="00D151AA"/>
    <w:rsid w:val="00D15247"/>
    <w:rsid w:val="00D158D3"/>
    <w:rsid w:val="00D163B0"/>
    <w:rsid w:val="00D1669E"/>
    <w:rsid w:val="00D16B31"/>
    <w:rsid w:val="00D17A13"/>
    <w:rsid w:val="00D17BB9"/>
    <w:rsid w:val="00D210DB"/>
    <w:rsid w:val="00D225E2"/>
    <w:rsid w:val="00D2321D"/>
    <w:rsid w:val="00D234AD"/>
    <w:rsid w:val="00D23FAA"/>
    <w:rsid w:val="00D24AC0"/>
    <w:rsid w:val="00D26124"/>
    <w:rsid w:val="00D26D68"/>
    <w:rsid w:val="00D272F8"/>
    <w:rsid w:val="00D27F3F"/>
    <w:rsid w:val="00D3156D"/>
    <w:rsid w:val="00D31DCE"/>
    <w:rsid w:val="00D326D8"/>
    <w:rsid w:val="00D33157"/>
    <w:rsid w:val="00D33817"/>
    <w:rsid w:val="00D33AB1"/>
    <w:rsid w:val="00D33B73"/>
    <w:rsid w:val="00D35D7F"/>
    <w:rsid w:val="00D36464"/>
    <w:rsid w:val="00D364D5"/>
    <w:rsid w:val="00D370BB"/>
    <w:rsid w:val="00D37D03"/>
    <w:rsid w:val="00D37D3F"/>
    <w:rsid w:val="00D40C02"/>
    <w:rsid w:val="00D40E68"/>
    <w:rsid w:val="00D41078"/>
    <w:rsid w:val="00D414EB"/>
    <w:rsid w:val="00D41934"/>
    <w:rsid w:val="00D41B44"/>
    <w:rsid w:val="00D4260C"/>
    <w:rsid w:val="00D43278"/>
    <w:rsid w:val="00D432B7"/>
    <w:rsid w:val="00D437E5"/>
    <w:rsid w:val="00D43B70"/>
    <w:rsid w:val="00D44491"/>
    <w:rsid w:val="00D4483E"/>
    <w:rsid w:val="00D452AD"/>
    <w:rsid w:val="00D4591C"/>
    <w:rsid w:val="00D45C8A"/>
    <w:rsid w:val="00D463D4"/>
    <w:rsid w:val="00D47C16"/>
    <w:rsid w:val="00D47C2B"/>
    <w:rsid w:val="00D47CB3"/>
    <w:rsid w:val="00D5031A"/>
    <w:rsid w:val="00D5056B"/>
    <w:rsid w:val="00D50C3C"/>
    <w:rsid w:val="00D50C95"/>
    <w:rsid w:val="00D5109C"/>
    <w:rsid w:val="00D51171"/>
    <w:rsid w:val="00D51356"/>
    <w:rsid w:val="00D517F0"/>
    <w:rsid w:val="00D5260D"/>
    <w:rsid w:val="00D52DC6"/>
    <w:rsid w:val="00D540DC"/>
    <w:rsid w:val="00D54334"/>
    <w:rsid w:val="00D544EC"/>
    <w:rsid w:val="00D55265"/>
    <w:rsid w:val="00D55926"/>
    <w:rsid w:val="00D55EB1"/>
    <w:rsid w:val="00D56C31"/>
    <w:rsid w:val="00D57716"/>
    <w:rsid w:val="00D61C86"/>
    <w:rsid w:val="00D61EDC"/>
    <w:rsid w:val="00D6270A"/>
    <w:rsid w:val="00D62950"/>
    <w:rsid w:val="00D62C9A"/>
    <w:rsid w:val="00D6392F"/>
    <w:rsid w:val="00D639B9"/>
    <w:rsid w:val="00D64254"/>
    <w:rsid w:val="00D64571"/>
    <w:rsid w:val="00D64F2E"/>
    <w:rsid w:val="00D65425"/>
    <w:rsid w:val="00D65D3B"/>
    <w:rsid w:val="00D65D71"/>
    <w:rsid w:val="00D6626E"/>
    <w:rsid w:val="00D66BEB"/>
    <w:rsid w:val="00D67F59"/>
    <w:rsid w:val="00D71DC2"/>
    <w:rsid w:val="00D73048"/>
    <w:rsid w:val="00D73509"/>
    <w:rsid w:val="00D736A2"/>
    <w:rsid w:val="00D73B67"/>
    <w:rsid w:val="00D73DBE"/>
    <w:rsid w:val="00D73E09"/>
    <w:rsid w:val="00D74290"/>
    <w:rsid w:val="00D746FB"/>
    <w:rsid w:val="00D75B2C"/>
    <w:rsid w:val="00D75F5C"/>
    <w:rsid w:val="00D765CB"/>
    <w:rsid w:val="00D76DB3"/>
    <w:rsid w:val="00D7714F"/>
    <w:rsid w:val="00D7748D"/>
    <w:rsid w:val="00D77C8D"/>
    <w:rsid w:val="00D8020C"/>
    <w:rsid w:val="00D80C57"/>
    <w:rsid w:val="00D8125E"/>
    <w:rsid w:val="00D82111"/>
    <w:rsid w:val="00D82186"/>
    <w:rsid w:val="00D835A5"/>
    <w:rsid w:val="00D84D7E"/>
    <w:rsid w:val="00D85578"/>
    <w:rsid w:val="00D855DB"/>
    <w:rsid w:val="00D86099"/>
    <w:rsid w:val="00D86C7F"/>
    <w:rsid w:val="00D87764"/>
    <w:rsid w:val="00D90653"/>
    <w:rsid w:val="00D9116F"/>
    <w:rsid w:val="00D91F39"/>
    <w:rsid w:val="00D92ED6"/>
    <w:rsid w:val="00D94D1B"/>
    <w:rsid w:val="00D94EDF"/>
    <w:rsid w:val="00D9557A"/>
    <w:rsid w:val="00D9599C"/>
    <w:rsid w:val="00D9758C"/>
    <w:rsid w:val="00DA02F2"/>
    <w:rsid w:val="00DA0A7A"/>
    <w:rsid w:val="00DA2609"/>
    <w:rsid w:val="00DA34C1"/>
    <w:rsid w:val="00DA3A30"/>
    <w:rsid w:val="00DA3BAF"/>
    <w:rsid w:val="00DA3C3E"/>
    <w:rsid w:val="00DA4019"/>
    <w:rsid w:val="00DA43B2"/>
    <w:rsid w:val="00DA4E0C"/>
    <w:rsid w:val="00DA5132"/>
    <w:rsid w:val="00DA53F8"/>
    <w:rsid w:val="00DA5DD6"/>
    <w:rsid w:val="00DA610D"/>
    <w:rsid w:val="00DA7843"/>
    <w:rsid w:val="00DA78FF"/>
    <w:rsid w:val="00DA7B10"/>
    <w:rsid w:val="00DA7B63"/>
    <w:rsid w:val="00DA7E80"/>
    <w:rsid w:val="00DB0109"/>
    <w:rsid w:val="00DB01E8"/>
    <w:rsid w:val="00DB0E66"/>
    <w:rsid w:val="00DB10A6"/>
    <w:rsid w:val="00DB13CB"/>
    <w:rsid w:val="00DB3368"/>
    <w:rsid w:val="00DB3FD3"/>
    <w:rsid w:val="00DB4D58"/>
    <w:rsid w:val="00DB4F1D"/>
    <w:rsid w:val="00DB523F"/>
    <w:rsid w:val="00DB52E0"/>
    <w:rsid w:val="00DB5E95"/>
    <w:rsid w:val="00DB6062"/>
    <w:rsid w:val="00DB7775"/>
    <w:rsid w:val="00DB799B"/>
    <w:rsid w:val="00DB7DDB"/>
    <w:rsid w:val="00DC009F"/>
    <w:rsid w:val="00DC0B88"/>
    <w:rsid w:val="00DC1889"/>
    <w:rsid w:val="00DC19C1"/>
    <w:rsid w:val="00DC1EEC"/>
    <w:rsid w:val="00DC21ED"/>
    <w:rsid w:val="00DC2D99"/>
    <w:rsid w:val="00DC2D9C"/>
    <w:rsid w:val="00DC3082"/>
    <w:rsid w:val="00DC3525"/>
    <w:rsid w:val="00DC3AA1"/>
    <w:rsid w:val="00DC3B73"/>
    <w:rsid w:val="00DC3D7E"/>
    <w:rsid w:val="00DC3DD2"/>
    <w:rsid w:val="00DC3F7B"/>
    <w:rsid w:val="00DC57CD"/>
    <w:rsid w:val="00DC63F1"/>
    <w:rsid w:val="00DC6593"/>
    <w:rsid w:val="00DD0354"/>
    <w:rsid w:val="00DD0D3C"/>
    <w:rsid w:val="00DD143A"/>
    <w:rsid w:val="00DD1919"/>
    <w:rsid w:val="00DD1DBD"/>
    <w:rsid w:val="00DD2057"/>
    <w:rsid w:val="00DD2682"/>
    <w:rsid w:val="00DD2752"/>
    <w:rsid w:val="00DD35B0"/>
    <w:rsid w:val="00DD4221"/>
    <w:rsid w:val="00DD4761"/>
    <w:rsid w:val="00DD498E"/>
    <w:rsid w:val="00DD4E7A"/>
    <w:rsid w:val="00DD6533"/>
    <w:rsid w:val="00DD655B"/>
    <w:rsid w:val="00DD6B75"/>
    <w:rsid w:val="00DD70F8"/>
    <w:rsid w:val="00DD718B"/>
    <w:rsid w:val="00DD752F"/>
    <w:rsid w:val="00DE0B68"/>
    <w:rsid w:val="00DE15D8"/>
    <w:rsid w:val="00DE23BC"/>
    <w:rsid w:val="00DE26D9"/>
    <w:rsid w:val="00DE286A"/>
    <w:rsid w:val="00DE33C5"/>
    <w:rsid w:val="00DE3DF8"/>
    <w:rsid w:val="00DE424F"/>
    <w:rsid w:val="00DE4349"/>
    <w:rsid w:val="00DE4798"/>
    <w:rsid w:val="00DE4E0C"/>
    <w:rsid w:val="00DE50FF"/>
    <w:rsid w:val="00DE60DC"/>
    <w:rsid w:val="00DE637F"/>
    <w:rsid w:val="00DE65C9"/>
    <w:rsid w:val="00DE68CB"/>
    <w:rsid w:val="00DE7E93"/>
    <w:rsid w:val="00DF075C"/>
    <w:rsid w:val="00DF08A2"/>
    <w:rsid w:val="00DF08DC"/>
    <w:rsid w:val="00DF0955"/>
    <w:rsid w:val="00DF0961"/>
    <w:rsid w:val="00DF0E23"/>
    <w:rsid w:val="00DF1E69"/>
    <w:rsid w:val="00DF2565"/>
    <w:rsid w:val="00DF28FC"/>
    <w:rsid w:val="00DF3AA1"/>
    <w:rsid w:val="00DF46A8"/>
    <w:rsid w:val="00DF4735"/>
    <w:rsid w:val="00DF4973"/>
    <w:rsid w:val="00DF5E8A"/>
    <w:rsid w:val="00DF6030"/>
    <w:rsid w:val="00DF686C"/>
    <w:rsid w:val="00DF7836"/>
    <w:rsid w:val="00DF7E5D"/>
    <w:rsid w:val="00E00589"/>
    <w:rsid w:val="00E00F09"/>
    <w:rsid w:val="00E01133"/>
    <w:rsid w:val="00E016E9"/>
    <w:rsid w:val="00E01DFD"/>
    <w:rsid w:val="00E0220E"/>
    <w:rsid w:val="00E034D9"/>
    <w:rsid w:val="00E03734"/>
    <w:rsid w:val="00E03FC8"/>
    <w:rsid w:val="00E04947"/>
    <w:rsid w:val="00E076DF"/>
    <w:rsid w:val="00E07B60"/>
    <w:rsid w:val="00E1050B"/>
    <w:rsid w:val="00E10927"/>
    <w:rsid w:val="00E10CB9"/>
    <w:rsid w:val="00E10D96"/>
    <w:rsid w:val="00E1130F"/>
    <w:rsid w:val="00E11846"/>
    <w:rsid w:val="00E119E0"/>
    <w:rsid w:val="00E11FEC"/>
    <w:rsid w:val="00E128B1"/>
    <w:rsid w:val="00E129FA"/>
    <w:rsid w:val="00E12A0C"/>
    <w:rsid w:val="00E12E23"/>
    <w:rsid w:val="00E13543"/>
    <w:rsid w:val="00E13573"/>
    <w:rsid w:val="00E1429A"/>
    <w:rsid w:val="00E143C7"/>
    <w:rsid w:val="00E14467"/>
    <w:rsid w:val="00E14B5E"/>
    <w:rsid w:val="00E14BF3"/>
    <w:rsid w:val="00E16410"/>
    <w:rsid w:val="00E16417"/>
    <w:rsid w:val="00E20518"/>
    <w:rsid w:val="00E205A3"/>
    <w:rsid w:val="00E20866"/>
    <w:rsid w:val="00E22AD5"/>
    <w:rsid w:val="00E2329D"/>
    <w:rsid w:val="00E2389F"/>
    <w:rsid w:val="00E2396C"/>
    <w:rsid w:val="00E240FA"/>
    <w:rsid w:val="00E24451"/>
    <w:rsid w:val="00E24E92"/>
    <w:rsid w:val="00E25157"/>
    <w:rsid w:val="00E25BCF"/>
    <w:rsid w:val="00E26456"/>
    <w:rsid w:val="00E27F78"/>
    <w:rsid w:val="00E302A9"/>
    <w:rsid w:val="00E30F8E"/>
    <w:rsid w:val="00E3122D"/>
    <w:rsid w:val="00E316DE"/>
    <w:rsid w:val="00E33CB1"/>
    <w:rsid w:val="00E33FC1"/>
    <w:rsid w:val="00E3518D"/>
    <w:rsid w:val="00E353AC"/>
    <w:rsid w:val="00E35BF8"/>
    <w:rsid w:val="00E3697C"/>
    <w:rsid w:val="00E36F57"/>
    <w:rsid w:val="00E36FE2"/>
    <w:rsid w:val="00E37531"/>
    <w:rsid w:val="00E37A2B"/>
    <w:rsid w:val="00E40D81"/>
    <w:rsid w:val="00E41A95"/>
    <w:rsid w:val="00E42EA6"/>
    <w:rsid w:val="00E430EA"/>
    <w:rsid w:val="00E43453"/>
    <w:rsid w:val="00E439D8"/>
    <w:rsid w:val="00E44ED6"/>
    <w:rsid w:val="00E45B37"/>
    <w:rsid w:val="00E46374"/>
    <w:rsid w:val="00E463E4"/>
    <w:rsid w:val="00E47562"/>
    <w:rsid w:val="00E47940"/>
    <w:rsid w:val="00E47CC0"/>
    <w:rsid w:val="00E50607"/>
    <w:rsid w:val="00E5099D"/>
    <w:rsid w:val="00E50CD6"/>
    <w:rsid w:val="00E5140B"/>
    <w:rsid w:val="00E51ADA"/>
    <w:rsid w:val="00E52AC7"/>
    <w:rsid w:val="00E5311D"/>
    <w:rsid w:val="00E532B6"/>
    <w:rsid w:val="00E54906"/>
    <w:rsid w:val="00E54B97"/>
    <w:rsid w:val="00E550A0"/>
    <w:rsid w:val="00E55EBA"/>
    <w:rsid w:val="00E55F68"/>
    <w:rsid w:val="00E56017"/>
    <w:rsid w:val="00E561CA"/>
    <w:rsid w:val="00E56919"/>
    <w:rsid w:val="00E604E8"/>
    <w:rsid w:val="00E60E70"/>
    <w:rsid w:val="00E62084"/>
    <w:rsid w:val="00E625D9"/>
    <w:rsid w:val="00E63258"/>
    <w:rsid w:val="00E63B7C"/>
    <w:rsid w:val="00E64357"/>
    <w:rsid w:val="00E644BB"/>
    <w:rsid w:val="00E64935"/>
    <w:rsid w:val="00E64F23"/>
    <w:rsid w:val="00E64F9E"/>
    <w:rsid w:val="00E663AF"/>
    <w:rsid w:val="00E66B7E"/>
    <w:rsid w:val="00E6714A"/>
    <w:rsid w:val="00E671A5"/>
    <w:rsid w:val="00E67A82"/>
    <w:rsid w:val="00E67AA0"/>
    <w:rsid w:val="00E67FEE"/>
    <w:rsid w:val="00E70107"/>
    <w:rsid w:val="00E70167"/>
    <w:rsid w:val="00E7048D"/>
    <w:rsid w:val="00E705EC"/>
    <w:rsid w:val="00E70ABB"/>
    <w:rsid w:val="00E7134D"/>
    <w:rsid w:val="00E7168A"/>
    <w:rsid w:val="00E71E8B"/>
    <w:rsid w:val="00E724E8"/>
    <w:rsid w:val="00E725A6"/>
    <w:rsid w:val="00E729B2"/>
    <w:rsid w:val="00E72DB0"/>
    <w:rsid w:val="00E73765"/>
    <w:rsid w:val="00E73E81"/>
    <w:rsid w:val="00E74070"/>
    <w:rsid w:val="00E74511"/>
    <w:rsid w:val="00E74A53"/>
    <w:rsid w:val="00E75438"/>
    <w:rsid w:val="00E75C33"/>
    <w:rsid w:val="00E75DBD"/>
    <w:rsid w:val="00E76727"/>
    <w:rsid w:val="00E76C72"/>
    <w:rsid w:val="00E775C6"/>
    <w:rsid w:val="00E777B0"/>
    <w:rsid w:val="00E77E40"/>
    <w:rsid w:val="00E806B5"/>
    <w:rsid w:val="00E815E1"/>
    <w:rsid w:val="00E833F8"/>
    <w:rsid w:val="00E83677"/>
    <w:rsid w:val="00E83D5C"/>
    <w:rsid w:val="00E847A6"/>
    <w:rsid w:val="00E84D5E"/>
    <w:rsid w:val="00E853F3"/>
    <w:rsid w:val="00E85622"/>
    <w:rsid w:val="00E86B93"/>
    <w:rsid w:val="00E87497"/>
    <w:rsid w:val="00E87532"/>
    <w:rsid w:val="00E87F99"/>
    <w:rsid w:val="00E87FCD"/>
    <w:rsid w:val="00E90AAE"/>
    <w:rsid w:val="00E91367"/>
    <w:rsid w:val="00E916C1"/>
    <w:rsid w:val="00E91848"/>
    <w:rsid w:val="00E91C6A"/>
    <w:rsid w:val="00E921DA"/>
    <w:rsid w:val="00E92C38"/>
    <w:rsid w:val="00E9366C"/>
    <w:rsid w:val="00E93D74"/>
    <w:rsid w:val="00E94DD8"/>
    <w:rsid w:val="00E94E34"/>
    <w:rsid w:val="00E957A4"/>
    <w:rsid w:val="00E95CE5"/>
    <w:rsid w:val="00E961AF"/>
    <w:rsid w:val="00E97093"/>
    <w:rsid w:val="00E97A8E"/>
    <w:rsid w:val="00EA0CF2"/>
    <w:rsid w:val="00EA0D20"/>
    <w:rsid w:val="00EA1418"/>
    <w:rsid w:val="00EA1A51"/>
    <w:rsid w:val="00EA2837"/>
    <w:rsid w:val="00EA33F3"/>
    <w:rsid w:val="00EA3AE4"/>
    <w:rsid w:val="00EA3C89"/>
    <w:rsid w:val="00EA485B"/>
    <w:rsid w:val="00EA4A33"/>
    <w:rsid w:val="00EA50DA"/>
    <w:rsid w:val="00EA525A"/>
    <w:rsid w:val="00EA58E6"/>
    <w:rsid w:val="00EA5C4F"/>
    <w:rsid w:val="00EA5D58"/>
    <w:rsid w:val="00EA5D83"/>
    <w:rsid w:val="00EA5F37"/>
    <w:rsid w:val="00EA6184"/>
    <w:rsid w:val="00EA6BDC"/>
    <w:rsid w:val="00EA7198"/>
    <w:rsid w:val="00EA7C36"/>
    <w:rsid w:val="00EB0C83"/>
    <w:rsid w:val="00EB1912"/>
    <w:rsid w:val="00EB1C08"/>
    <w:rsid w:val="00EB1E1C"/>
    <w:rsid w:val="00EB2A3A"/>
    <w:rsid w:val="00EB34A6"/>
    <w:rsid w:val="00EB34FE"/>
    <w:rsid w:val="00EB36BC"/>
    <w:rsid w:val="00EB3B9C"/>
    <w:rsid w:val="00EB473D"/>
    <w:rsid w:val="00EB4C2F"/>
    <w:rsid w:val="00EB59E5"/>
    <w:rsid w:val="00EB5B32"/>
    <w:rsid w:val="00EB5DF1"/>
    <w:rsid w:val="00EB7A18"/>
    <w:rsid w:val="00EC0326"/>
    <w:rsid w:val="00EC04E3"/>
    <w:rsid w:val="00EC070E"/>
    <w:rsid w:val="00EC0AAA"/>
    <w:rsid w:val="00EC0D68"/>
    <w:rsid w:val="00EC1141"/>
    <w:rsid w:val="00EC11F9"/>
    <w:rsid w:val="00EC122D"/>
    <w:rsid w:val="00EC1979"/>
    <w:rsid w:val="00EC1FE6"/>
    <w:rsid w:val="00EC230D"/>
    <w:rsid w:val="00EC2C89"/>
    <w:rsid w:val="00EC2E72"/>
    <w:rsid w:val="00EC3A51"/>
    <w:rsid w:val="00EC4061"/>
    <w:rsid w:val="00EC4421"/>
    <w:rsid w:val="00EC4DA4"/>
    <w:rsid w:val="00EC53CB"/>
    <w:rsid w:val="00EC5EFA"/>
    <w:rsid w:val="00EC617E"/>
    <w:rsid w:val="00EC6B27"/>
    <w:rsid w:val="00EC6C74"/>
    <w:rsid w:val="00EC6E28"/>
    <w:rsid w:val="00EC6F84"/>
    <w:rsid w:val="00EC700B"/>
    <w:rsid w:val="00EC755A"/>
    <w:rsid w:val="00EC7AEE"/>
    <w:rsid w:val="00ED0082"/>
    <w:rsid w:val="00ED0562"/>
    <w:rsid w:val="00ED1842"/>
    <w:rsid w:val="00ED1AE5"/>
    <w:rsid w:val="00ED1C59"/>
    <w:rsid w:val="00ED2015"/>
    <w:rsid w:val="00ED2BC5"/>
    <w:rsid w:val="00ED2C2E"/>
    <w:rsid w:val="00ED31BD"/>
    <w:rsid w:val="00ED3834"/>
    <w:rsid w:val="00ED3C90"/>
    <w:rsid w:val="00ED4385"/>
    <w:rsid w:val="00ED4425"/>
    <w:rsid w:val="00ED44A3"/>
    <w:rsid w:val="00ED4E6C"/>
    <w:rsid w:val="00ED57A4"/>
    <w:rsid w:val="00ED6496"/>
    <w:rsid w:val="00ED6F87"/>
    <w:rsid w:val="00EE038B"/>
    <w:rsid w:val="00EE1E0A"/>
    <w:rsid w:val="00EE2072"/>
    <w:rsid w:val="00EE2403"/>
    <w:rsid w:val="00EE2704"/>
    <w:rsid w:val="00EE2AC1"/>
    <w:rsid w:val="00EE2B2F"/>
    <w:rsid w:val="00EE41C1"/>
    <w:rsid w:val="00EE4594"/>
    <w:rsid w:val="00EE47E2"/>
    <w:rsid w:val="00EE4BF9"/>
    <w:rsid w:val="00EE4E8F"/>
    <w:rsid w:val="00EE50CC"/>
    <w:rsid w:val="00EE5AC9"/>
    <w:rsid w:val="00EE5D95"/>
    <w:rsid w:val="00EE663B"/>
    <w:rsid w:val="00EE68B7"/>
    <w:rsid w:val="00EE7609"/>
    <w:rsid w:val="00EE76E7"/>
    <w:rsid w:val="00EE782C"/>
    <w:rsid w:val="00EF1EDE"/>
    <w:rsid w:val="00EF25EC"/>
    <w:rsid w:val="00EF2E9D"/>
    <w:rsid w:val="00EF36C8"/>
    <w:rsid w:val="00EF3B34"/>
    <w:rsid w:val="00EF5E29"/>
    <w:rsid w:val="00EF6372"/>
    <w:rsid w:val="00EF71E8"/>
    <w:rsid w:val="00EF7A31"/>
    <w:rsid w:val="00EF7B2E"/>
    <w:rsid w:val="00EF7C01"/>
    <w:rsid w:val="00F0015C"/>
    <w:rsid w:val="00F02003"/>
    <w:rsid w:val="00F02EBC"/>
    <w:rsid w:val="00F036B5"/>
    <w:rsid w:val="00F0376A"/>
    <w:rsid w:val="00F04617"/>
    <w:rsid w:val="00F04707"/>
    <w:rsid w:val="00F04E75"/>
    <w:rsid w:val="00F0518E"/>
    <w:rsid w:val="00F052AA"/>
    <w:rsid w:val="00F054EA"/>
    <w:rsid w:val="00F06088"/>
    <w:rsid w:val="00F06B84"/>
    <w:rsid w:val="00F0705E"/>
    <w:rsid w:val="00F071BE"/>
    <w:rsid w:val="00F07C33"/>
    <w:rsid w:val="00F107D8"/>
    <w:rsid w:val="00F1090B"/>
    <w:rsid w:val="00F10CF0"/>
    <w:rsid w:val="00F11D3D"/>
    <w:rsid w:val="00F11D49"/>
    <w:rsid w:val="00F13918"/>
    <w:rsid w:val="00F13B8A"/>
    <w:rsid w:val="00F13C30"/>
    <w:rsid w:val="00F14B3F"/>
    <w:rsid w:val="00F154D5"/>
    <w:rsid w:val="00F15CFE"/>
    <w:rsid w:val="00F162AA"/>
    <w:rsid w:val="00F16E21"/>
    <w:rsid w:val="00F171C6"/>
    <w:rsid w:val="00F1773A"/>
    <w:rsid w:val="00F17E88"/>
    <w:rsid w:val="00F17F8C"/>
    <w:rsid w:val="00F20132"/>
    <w:rsid w:val="00F21B6E"/>
    <w:rsid w:val="00F229AC"/>
    <w:rsid w:val="00F22E9C"/>
    <w:rsid w:val="00F22EA5"/>
    <w:rsid w:val="00F2310B"/>
    <w:rsid w:val="00F241D9"/>
    <w:rsid w:val="00F252CD"/>
    <w:rsid w:val="00F2554C"/>
    <w:rsid w:val="00F25C08"/>
    <w:rsid w:val="00F26A04"/>
    <w:rsid w:val="00F271E1"/>
    <w:rsid w:val="00F27BD2"/>
    <w:rsid w:val="00F27E1F"/>
    <w:rsid w:val="00F3030A"/>
    <w:rsid w:val="00F303FD"/>
    <w:rsid w:val="00F309A6"/>
    <w:rsid w:val="00F30D83"/>
    <w:rsid w:val="00F30E8C"/>
    <w:rsid w:val="00F313CE"/>
    <w:rsid w:val="00F31DEE"/>
    <w:rsid w:val="00F32BF6"/>
    <w:rsid w:val="00F33388"/>
    <w:rsid w:val="00F33E4D"/>
    <w:rsid w:val="00F34178"/>
    <w:rsid w:val="00F3434B"/>
    <w:rsid w:val="00F348C4"/>
    <w:rsid w:val="00F34BCA"/>
    <w:rsid w:val="00F35E7B"/>
    <w:rsid w:val="00F3612F"/>
    <w:rsid w:val="00F36723"/>
    <w:rsid w:val="00F36C86"/>
    <w:rsid w:val="00F37D13"/>
    <w:rsid w:val="00F40003"/>
    <w:rsid w:val="00F405E9"/>
    <w:rsid w:val="00F40F7C"/>
    <w:rsid w:val="00F4164D"/>
    <w:rsid w:val="00F425F2"/>
    <w:rsid w:val="00F431B8"/>
    <w:rsid w:val="00F43533"/>
    <w:rsid w:val="00F43976"/>
    <w:rsid w:val="00F440BC"/>
    <w:rsid w:val="00F44D66"/>
    <w:rsid w:val="00F462DB"/>
    <w:rsid w:val="00F4786D"/>
    <w:rsid w:val="00F47EAC"/>
    <w:rsid w:val="00F50073"/>
    <w:rsid w:val="00F5019F"/>
    <w:rsid w:val="00F504DD"/>
    <w:rsid w:val="00F50A2D"/>
    <w:rsid w:val="00F50C29"/>
    <w:rsid w:val="00F50EEA"/>
    <w:rsid w:val="00F51F05"/>
    <w:rsid w:val="00F51F75"/>
    <w:rsid w:val="00F551C0"/>
    <w:rsid w:val="00F56114"/>
    <w:rsid w:val="00F5636B"/>
    <w:rsid w:val="00F5654A"/>
    <w:rsid w:val="00F56FD7"/>
    <w:rsid w:val="00F573CC"/>
    <w:rsid w:val="00F574F5"/>
    <w:rsid w:val="00F57EAD"/>
    <w:rsid w:val="00F601B4"/>
    <w:rsid w:val="00F6071A"/>
    <w:rsid w:val="00F6108E"/>
    <w:rsid w:val="00F61298"/>
    <w:rsid w:val="00F61A12"/>
    <w:rsid w:val="00F61B3A"/>
    <w:rsid w:val="00F62B8B"/>
    <w:rsid w:val="00F62C65"/>
    <w:rsid w:val="00F62EEB"/>
    <w:rsid w:val="00F63290"/>
    <w:rsid w:val="00F63CEF"/>
    <w:rsid w:val="00F64018"/>
    <w:rsid w:val="00F649EA"/>
    <w:rsid w:val="00F64CFC"/>
    <w:rsid w:val="00F652A6"/>
    <w:rsid w:val="00F658A3"/>
    <w:rsid w:val="00F65DFD"/>
    <w:rsid w:val="00F66728"/>
    <w:rsid w:val="00F6690F"/>
    <w:rsid w:val="00F67084"/>
    <w:rsid w:val="00F67649"/>
    <w:rsid w:val="00F67C9A"/>
    <w:rsid w:val="00F706AD"/>
    <w:rsid w:val="00F7072E"/>
    <w:rsid w:val="00F70F54"/>
    <w:rsid w:val="00F718EB"/>
    <w:rsid w:val="00F71A1F"/>
    <w:rsid w:val="00F71C27"/>
    <w:rsid w:val="00F7283C"/>
    <w:rsid w:val="00F73206"/>
    <w:rsid w:val="00F741CB"/>
    <w:rsid w:val="00F74FF8"/>
    <w:rsid w:val="00F75C36"/>
    <w:rsid w:val="00F75F84"/>
    <w:rsid w:val="00F76606"/>
    <w:rsid w:val="00F7776D"/>
    <w:rsid w:val="00F80260"/>
    <w:rsid w:val="00F823FF"/>
    <w:rsid w:val="00F82668"/>
    <w:rsid w:val="00F82CCB"/>
    <w:rsid w:val="00F844ED"/>
    <w:rsid w:val="00F84AF9"/>
    <w:rsid w:val="00F85132"/>
    <w:rsid w:val="00F8586C"/>
    <w:rsid w:val="00F85BB1"/>
    <w:rsid w:val="00F8697C"/>
    <w:rsid w:val="00F8781A"/>
    <w:rsid w:val="00F900FA"/>
    <w:rsid w:val="00F904F9"/>
    <w:rsid w:val="00F90ACE"/>
    <w:rsid w:val="00F90CBF"/>
    <w:rsid w:val="00F90E50"/>
    <w:rsid w:val="00F91569"/>
    <w:rsid w:val="00F9157A"/>
    <w:rsid w:val="00F916E8"/>
    <w:rsid w:val="00F91707"/>
    <w:rsid w:val="00F919A1"/>
    <w:rsid w:val="00F919C9"/>
    <w:rsid w:val="00F91EF0"/>
    <w:rsid w:val="00F923AF"/>
    <w:rsid w:val="00F92596"/>
    <w:rsid w:val="00F92861"/>
    <w:rsid w:val="00F93076"/>
    <w:rsid w:val="00F930AE"/>
    <w:rsid w:val="00F9320F"/>
    <w:rsid w:val="00F9402F"/>
    <w:rsid w:val="00F94E1C"/>
    <w:rsid w:val="00F94F21"/>
    <w:rsid w:val="00F95973"/>
    <w:rsid w:val="00F97197"/>
    <w:rsid w:val="00F97B3E"/>
    <w:rsid w:val="00FA0D52"/>
    <w:rsid w:val="00FA0F0D"/>
    <w:rsid w:val="00FA0F24"/>
    <w:rsid w:val="00FA154F"/>
    <w:rsid w:val="00FA243A"/>
    <w:rsid w:val="00FA33E6"/>
    <w:rsid w:val="00FA34B9"/>
    <w:rsid w:val="00FA3993"/>
    <w:rsid w:val="00FA4B8D"/>
    <w:rsid w:val="00FA4C93"/>
    <w:rsid w:val="00FA5FC1"/>
    <w:rsid w:val="00FA616F"/>
    <w:rsid w:val="00FA7931"/>
    <w:rsid w:val="00FB012C"/>
    <w:rsid w:val="00FB0AFF"/>
    <w:rsid w:val="00FB1842"/>
    <w:rsid w:val="00FB20A7"/>
    <w:rsid w:val="00FB2200"/>
    <w:rsid w:val="00FB28C8"/>
    <w:rsid w:val="00FB37E2"/>
    <w:rsid w:val="00FB38ED"/>
    <w:rsid w:val="00FB40D2"/>
    <w:rsid w:val="00FB410F"/>
    <w:rsid w:val="00FB4CC2"/>
    <w:rsid w:val="00FB5074"/>
    <w:rsid w:val="00FB5725"/>
    <w:rsid w:val="00FB5EBD"/>
    <w:rsid w:val="00FB6E02"/>
    <w:rsid w:val="00FB72D9"/>
    <w:rsid w:val="00FB7BAA"/>
    <w:rsid w:val="00FB7E9F"/>
    <w:rsid w:val="00FC02BD"/>
    <w:rsid w:val="00FC0948"/>
    <w:rsid w:val="00FC0F42"/>
    <w:rsid w:val="00FC1CF8"/>
    <w:rsid w:val="00FC1D33"/>
    <w:rsid w:val="00FC2365"/>
    <w:rsid w:val="00FC264F"/>
    <w:rsid w:val="00FC2BEA"/>
    <w:rsid w:val="00FC2CA8"/>
    <w:rsid w:val="00FC377D"/>
    <w:rsid w:val="00FC4CC6"/>
    <w:rsid w:val="00FC4D8A"/>
    <w:rsid w:val="00FC4FBB"/>
    <w:rsid w:val="00FC53C7"/>
    <w:rsid w:val="00FC55A6"/>
    <w:rsid w:val="00FC5609"/>
    <w:rsid w:val="00FC5753"/>
    <w:rsid w:val="00FC5803"/>
    <w:rsid w:val="00FC5D9F"/>
    <w:rsid w:val="00FC601F"/>
    <w:rsid w:val="00FC60EB"/>
    <w:rsid w:val="00FC6545"/>
    <w:rsid w:val="00FC6B66"/>
    <w:rsid w:val="00FC6BB8"/>
    <w:rsid w:val="00FC7219"/>
    <w:rsid w:val="00FC7E37"/>
    <w:rsid w:val="00FD0324"/>
    <w:rsid w:val="00FD071A"/>
    <w:rsid w:val="00FD24FB"/>
    <w:rsid w:val="00FD3C3F"/>
    <w:rsid w:val="00FD3EF8"/>
    <w:rsid w:val="00FD4FAB"/>
    <w:rsid w:val="00FD54EB"/>
    <w:rsid w:val="00FD558A"/>
    <w:rsid w:val="00FD5877"/>
    <w:rsid w:val="00FD5FA6"/>
    <w:rsid w:val="00FD64E3"/>
    <w:rsid w:val="00FD7196"/>
    <w:rsid w:val="00FD72E4"/>
    <w:rsid w:val="00FE0BEA"/>
    <w:rsid w:val="00FE0C45"/>
    <w:rsid w:val="00FE0D5A"/>
    <w:rsid w:val="00FE0D6A"/>
    <w:rsid w:val="00FE27C0"/>
    <w:rsid w:val="00FE2C1F"/>
    <w:rsid w:val="00FE3BD4"/>
    <w:rsid w:val="00FE4311"/>
    <w:rsid w:val="00FE44E3"/>
    <w:rsid w:val="00FE4512"/>
    <w:rsid w:val="00FE4665"/>
    <w:rsid w:val="00FE4A7B"/>
    <w:rsid w:val="00FE539F"/>
    <w:rsid w:val="00FE5825"/>
    <w:rsid w:val="00FE69E8"/>
    <w:rsid w:val="00FF0413"/>
    <w:rsid w:val="00FF04B1"/>
    <w:rsid w:val="00FF0533"/>
    <w:rsid w:val="00FF0CC3"/>
    <w:rsid w:val="00FF0DE8"/>
    <w:rsid w:val="00FF11A9"/>
    <w:rsid w:val="00FF165F"/>
    <w:rsid w:val="00FF16DB"/>
    <w:rsid w:val="00FF1D1B"/>
    <w:rsid w:val="00FF1FD9"/>
    <w:rsid w:val="00FF20B0"/>
    <w:rsid w:val="00FF233D"/>
    <w:rsid w:val="00FF2535"/>
    <w:rsid w:val="00FF3DDF"/>
    <w:rsid w:val="00FF4911"/>
    <w:rsid w:val="00FF4AE0"/>
    <w:rsid w:val="00FF5265"/>
    <w:rsid w:val="00FF55F1"/>
    <w:rsid w:val="00FF5CEB"/>
    <w:rsid w:val="00FF660D"/>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C79100"/>
    <w:rsid w:val="09DA399C"/>
    <w:rsid w:val="0A60FF51"/>
    <w:rsid w:val="0A61D18E"/>
    <w:rsid w:val="0A7BADC9"/>
    <w:rsid w:val="0A87B1B4"/>
    <w:rsid w:val="0A9A8022"/>
    <w:rsid w:val="0AA3A86F"/>
    <w:rsid w:val="0AFB87B1"/>
    <w:rsid w:val="0C14FBF0"/>
    <w:rsid w:val="0C550549"/>
    <w:rsid w:val="0C5C3ED0"/>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E1A6A2"/>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9272C2"/>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1AB570"/>
    <w:rsid w:val="23B29CB5"/>
    <w:rsid w:val="240E6710"/>
    <w:rsid w:val="2465FC40"/>
    <w:rsid w:val="24CA7F1E"/>
    <w:rsid w:val="25373DF2"/>
    <w:rsid w:val="25887D1F"/>
    <w:rsid w:val="25A37DC1"/>
    <w:rsid w:val="25CAEC98"/>
    <w:rsid w:val="25DAA77B"/>
    <w:rsid w:val="263A7A08"/>
    <w:rsid w:val="266CA112"/>
    <w:rsid w:val="27274B2F"/>
    <w:rsid w:val="275FA0AA"/>
    <w:rsid w:val="279052A7"/>
    <w:rsid w:val="2792BB1F"/>
    <w:rsid w:val="27BDE7A1"/>
    <w:rsid w:val="27BE8256"/>
    <w:rsid w:val="27E825D9"/>
    <w:rsid w:val="286300B2"/>
    <w:rsid w:val="287DB562"/>
    <w:rsid w:val="28A8953E"/>
    <w:rsid w:val="28D8B764"/>
    <w:rsid w:val="2912FBA6"/>
    <w:rsid w:val="2990A606"/>
    <w:rsid w:val="2A00A404"/>
    <w:rsid w:val="2A8EDDB9"/>
    <w:rsid w:val="2AA44433"/>
    <w:rsid w:val="2AB2567D"/>
    <w:rsid w:val="2B010FC8"/>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16EB37"/>
    <w:rsid w:val="325F3114"/>
    <w:rsid w:val="326B2CC6"/>
    <w:rsid w:val="329F570B"/>
    <w:rsid w:val="32E3142D"/>
    <w:rsid w:val="331FED17"/>
    <w:rsid w:val="3343CE0C"/>
    <w:rsid w:val="33446247"/>
    <w:rsid w:val="337291F6"/>
    <w:rsid w:val="3432FB36"/>
    <w:rsid w:val="34573AA0"/>
    <w:rsid w:val="350163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3F0E487"/>
    <w:rsid w:val="4421770F"/>
    <w:rsid w:val="448F848A"/>
    <w:rsid w:val="44D2B511"/>
    <w:rsid w:val="451ABEE3"/>
    <w:rsid w:val="4520F70F"/>
    <w:rsid w:val="4590F584"/>
    <w:rsid w:val="459FC8F5"/>
    <w:rsid w:val="45D22335"/>
    <w:rsid w:val="4613F2F6"/>
    <w:rsid w:val="46201964"/>
    <w:rsid w:val="4620F3F3"/>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755EC4"/>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1F627E3"/>
    <w:rsid w:val="521911B3"/>
    <w:rsid w:val="5286A8AB"/>
    <w:rsid w:val="528A0761"/>
    <w:rsid w:val="52A0F47C"/>
    <w:rsid w:val="52C9A661"/>
    <w:rsid w:val="52DA71F9"/>
    <w:rsid w:val="534A0648"/>
    <w:rsid w:val="53B8BDE3"/>
    <w:rsid w:val="53BC4006"/>
    <w:rsid w:val="53F006E8"/>
    <w:rsid w:val="542209E4"/>
    <w:rsid w:val="54C8E03D"/>
    <w:rsid w:val="54EBB54E"/>
    <w:rsid w:val="54EF6163"/>
    <w:rsid w:val="54F09390"/>
    <w:rsid w:val="55C46F90"/>
    <w:rsid w:val="562AFBC0"/>
    <w:rsid w:val="57097FCD"/>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1D70780"/>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8AD14FA"/>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DE20D02"/>
    <w:rsid w:val="6E6D5E88"/>
    <w:rsid w:val="6EBC1B3C"/>
    <w:rsid w:val="6EFA4A49"/>
    <w:rsid w:val="6F4FE255"/>
    <w:rsid w:val="6F6C6E4E"/>
    <w:rsid w:val="6F7C8CC6"/>
    <w:rsid w:val="6F800330"/>
    <w:rsid w:val="7079529B"/>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97DD6E"/>
    <w:rsid w:val="75AD869D"/>
    <w:rsid w:val="76450E62"/>
    <w:rsid w:val="7658FDB3"/>
    <w:rsid w:val="767124E0"/>
    <w:rsid w:val="767F2AB4"/>
    <w:rsid w:val="76D274F7"/>
    <w:rsid w:val="76F5E482"/>
    <w:rsid w:val="76F8507D"/>
    <w:rsid w:val="771357ED"/>
    <w:rsid w:val="7758C1E7"/>
    <w:rsid w:val="778EDDEE"/>
    <w:rsid w:val="77AC73D7"/>
    <w:rsid w:val="77CE5746"/>
    <w:rsid w:val="77F83150"/>
    <w:rsid w:val="78674B66"/>
    <w:rsid w:val="78BF49DD"/>
    <w:rsid w:val="790B3138"/>
    <w:rsid w:val="799DA319"/>
    <w:rsid w:val="79A48D3C"/>
    <w:rsid w:val="79A8EA42"/>
    <w:rsid w:val="79B20E76"/>
    <w:rsid w:val="79C64322"/>
    <w:rsid w:val="79D13773"/>
    <w:rsid w:val="79D5BFE7"/>
    <w:rsid w:val="7B85C3CB"/>
    <w:rsid w:val="7BD2E15A"/>
    <w:rsid w:val="7C02D676"/>
    <w:rsid w:val="7C55E10E"/>
    <w:rsid w:val="7C6523A7"/>
    <w:rsid w:val="7D0C0225"/>
    <w:rsid w:val="7D4D62A7"/>
    <w:rsid w:val="7D4DE6BD"/>
    <w:rsid w:val="7D7D5244"/>
    <w:rsid w:val="7DB10950"/>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891EC9F9-A07B-452B-99DF-F0CE8CB4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EE47E2"/>
    <w:pPr>
      <w:spacing w:before="240"/>
      <w:outlineLvl w:val="0"/>
    </w:pPr>
    <w:rPr>
      <w:b/>
      <w:bCs/>
    </w:rPr>
  </w:style>
  <w:style w:type="paragraph" w:styleId="Heading2">
    <w:name w:val="heading 2"/>
    <w:basedOn w:val="Normal"/>
    <w:next w:val="Normal"/>
    <w:link w:val="Heading2Char"/>
    <w:uiPriority w:val="9"/>
    <w:unhideWhenUsed/>
    <w:qFormat/>
    <w:rsid w:val="00980B1B"/>
    <w:pPr>
      <w:spacing w:before="120" w:after="0"/>
      <w:outlineLvl w:val="1"/>
    </w:pPr>
    <w:rPr>
      <w:rFonts w:cstheme="minorHAnsi"/>
      <w:b/>
      <w:bCs/>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EE47E2"/>
    <w:rPr>
      <w:b/>
      <w:bCs/>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980B1B"/>
    <w:rPr>
      <w:rFonts w:cstheme="minorHAnsi"/>
      <w:b/>
      <w:bCs/>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rsid w:val="005C2E6A"/>
    <w:pPr>
      <w:tabs>
        <w:tab w:val="center" w:pos="4680"/>
      </w:tabs>
      <w:spacing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C2E6A"/>
    <w:rPr>
      <w:rFonts w:ascii="Arial" w:eastAsia="Times New Roman" w:hAnsi="Arial" w:cs="Times New Roman"/>
      <w:sz w:val="24"/>
      <w:szCs w:val="20"/>
    </w:rPr>
  </w:style>
  <w:style w:type="character" w:styleId="Mention">
    <w:name w:val="Mention"/>
    <w:basedOn w:val="DefaultParagraphFont"/>
    <w:uiPriority w:val="99"/>
    <w:unhideWhenUsed/>
    <w:rsid w:val="00483F99"/>
    <w:rPr>
      <w:color w:val="2B579A"/>
      <w:shd w:val="clear" w:color="auto" w:fill="E1DFDD"/>
    </w:rPr>
  </w:style>
  <w:style w:type="character" w:customStyle="1" w:styleId="cf01">
    <w:name w:val="cf01"/>
    <w:basedOn w:val="DefaultParagraphFont"/>
    <w:rsid w:val="006D3A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sites/production/files/2015-09/documents/npdesea.pdf" TargetMode="External" /><Relationship Id="rId11" Type="http://schemas.openxmlformats.org/officeDocument/2006/relationships/hyperlink" Target="https://www.bls.gov/news.release/pdf/ecec.pdf" TargetMode="External" /><Relationship Id="rId12" Type="http://schemas.openxmlformats.org/officeDocument/2006/relationships/hyperlink" Target="https://www.opm.gov/policy-data-oversight/pay-leave/salaries-wages/salary-tables/pdf/2024/GS.pdf" TargetMode="External" /><Relationship Id="rId13" Type="http://schemas.openxmlformats.org/officeDocument/2006/relationships/hyperlink" Target="https://echo.epa.gov/" TargetMode="External" /><Relationship Id="rId14" Type="http://schemas.openxmlformats.org/officeDocument/2006/relationships/hyperlink" Target="https://permitsearch.epa.gov/epermit-search/ui/search"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2024-11-13T14:51:50+00:00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lcf76f155ced4ddcb4097134ff3c332f xmlns="ac3b49f6-dd20-4a49-ba92-2d4d52ff2b3f">
      <Terms xmlns="http://schemas.microsoft.com/office/infopath/2007/PartnerControls"/>
    </lcf76f155ced4ddcb4097134ff3c332f>
    <SharedWithUsers xmlns="5ac1d4f1-1736-461c-bc70-7e033fb379e8">
      <UserInfo>
        <DisplayName/>
        <AccountId xsi:nil="true"/>
        <AccountType/>
      </UserInfo>
    </SharedWithUsers>
    <_ip_UnifiedCompliancePolicyUIAction xmlns="http://schemas.microsoft.com/sharepoint/v3" xsi:nil="true"/>
    <_ip_UnifiedCompliancePolicyProperties xmlns="http://schemas.microsoft.com/sharepoint/v3" xsi:nil="true"/>
    <Notes xmlns="ac3b49f6-dd20-4a49-ba92-2d4d52ff2b3f" xsi:nil="true"/>
    <AddedtoExcel_x003f_ xmlns="ac3b49f6-dd20-4a49-ba92-2d4d52ff2b3f">false</AddedtoExcel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2CC818B0AB19428705E72DAFDF541F" ma:contentTypeVersion="20" ma:contentTypeDescription="Create a new document." ma:contentTypeScope="" ma:versionID="f5681e22fbb4600114c7de9a70b39fc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c3b49f6-dd20-4a49-ba92-2d4d52ff2b3f" xmlns:ns6="5ac1d4f1-1736-461c-bc70-7e033fb379e8" targetNamespace="http://schemas.microsoft.com/office/2006/metadata/properties" ma:root="true" ma:fieldsID="e8ee39a2d94976d7e222b11f2d71bad0" ns1:_="" ns2:_="" ns3:_="" ns4:_="" ns5:_="" ns6:_="">
    <xsd:import namespace="http://schemas.microsoft.com/sharepoint/v3"/>
    <xsd:import namespace="4ffa91fb-a0ff-4ac5-b2db-65c790d184a4"/>
    <xsd:import namespace="http://schemas.microsoft.com/sharepoint.v3"/>
    <xsd:import namespace="http://schemas.microsoft.com/sharepoint/v3/fields"/>
    <xsd:import namespace="ac3b49f6-dd20-4a49-ba92-2d4d52ff2b3f"/>
    <xsd:import namespace="5ac1d4f1-1736-461c-bc70-7e033fb379e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Location" minOccurs="0"/>
                <xsd:element ref="ns1:_ip_UnifiedCompliancePolicyProperties" minOccurs="0"/>
                <xsd:element ref="ns1:_ip_UnifiedCompliancePolicyUIAction" minOccurs="0"/>
                <xsd:element ref="ns5:MediaServiceObjectDetectorVersions" minOccurs="0"/>
                <xsd:element ref="ns5:AddedtoExcel_x003f_" minOccurs="0"/>
                <xsd:element ref="ns5:MediaServiceSearchProperties" minOccurs="0"/>
                <xsd:element ref="ns5: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3f92367-004d-4e5f-9c7c-0c0e86988e66}" ma:internalName="TaxCatchAllLabel" ma:readOnly="true" ma:showField="CatchAllDataLabel" ma:web="5ac1d4f1-1736-461c-bc70-7e033fb379e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3f92367-004d-4e5f-9c7c-0c0e86988e66}" ma:internalName="TaxCatchAll" ma:showField="CatchAllData" ma:web="5ac1d4f1-1736-461c-bc70-7e033fb37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49f6-dd20-4a49-ba92-2d4d52ff2b3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AddedtoExcel_x003f_" ma:index="43" nillable="true" ma:displayName="Added to Excel?" ma:default="0" ma:format="Dropdown" ma:internalName="AddedtoExcel_x003f_">
      <xsd:simpleType>
        <xsd:restriction base="dms:Boolean"/>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Notes" ma:index="45" nillable="true" ma:displayName="Notes" ma:description="last updated/saved"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d4f1-1736-461c-bc70-7e033fb379e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1A7309FE-F559-4B7A-81ED-99A42E6834B6}">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ffa91fb-a0ff-4ac5-b2db-65c790d184a4"/>
    <ds:schemaRef ds:uri="http://schemas.microsoft.com/sharepoint/v3/fields"/>
    <ds:schemaRef ds:uri="http://schemas.microsoft.com/sharepoint/v3"/>
    <ds:schemaRef ds:uri="http://schemas.microsoft.com/sharepoint.v3"/>
    <ds:schemaRef ds:uri="ac3b49f6-dd20-4a49-ba92-2d4d52ff2b3f"/>
    <ds:schemaRef ds:uri="5ac1d4f1-1736-461c-bc70-7e033fb379e8"/>
  </ds:schemaRefs>
</ds:datastoreItem>
</file>

<file path=customXml/itemProps4.xml><?xml version="1.0" encoding="utf-8"?>
<ds:datastoreItem xmlns:ds="http://schemas.openxmlformats.org/officeDocument/2006/customXml" ds:itemID="{B9175874-93CD-4A2E-B6CC-F261B9EC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c3b49f6-dd20-4a49-ba92-2d4d52ff2b3f"/>
    <ds:schemaRef ds:uri="5ac1d4f1-1736-461c-bc70-7e033fb3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10149</Words>
  <Characters>56618</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cp:lastPrinted>2024-09-03T23:28:00Z</cp:lastPrinted>
  <dcterms:created xsi:type="dcterms:W3CDTF">2025-01-21T16:42:00Z</dcterms:created>
  <dcterms:modified xsi:type="dcterms:W3CDTF">2025-01-21T16:42:00Z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edtoExcel?">
    <vt:bool>false</vt:bool>
  </property>
  <property fmtid="{D5CDD505-2E9C-101B-9397-08002B2CF9AE}" pid="3" name="ComplianceAssetId">
    <vt:lpwstr/>
  </property>
  <property fmtid="{D5CDD505-2E9C-101B-9397-08002B2CF9AE}" pid="4" name="ContentTypeId">
    <vt:lpwstr>0x010100462CC818B0AB19428705E72DAFDF541F</vt:lpwstr>
  </property>
  <property fmtid="{D5CDD505-2E9C-101B-9397-08002B2CF9AE}" pid="5" name="Document Type">
    <vt:lpwstr/>
  </property>
  <property fmtid="{D5CDD505-2E9C-101B-9397-08002B2CF9AE}" pid="6" name="Document_x0020_Type">
    <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y fmtid="{D5CDD505-2E9C-101B-9397-08002B2CF9AE}" pid="10" name="GrammarlyDocumentId">
    <vt:lpwstr>a86e2fc53bbd1bcb0284f45b3c0d02852a05458551506f0bb17e01f1c2acf9c3</vt:lpwstr>
  </property>
  <property fmtid="{D5CDD505-2E9C-101B-9397-08002B2CF9AE}" pid="11" name="MediaServiceImageTags">
    <vt:lpwstr/>
  </property>
  <property fmtid="{D5CDD505-2E9C-101B-9397-08002B2CF9AE}" pid="12" name="Order">
    <vt:r8>375600</vt:r8>
  </property>
  <property fmtid="{D5CDD505-2E9C-101B-9397-08002B2CF9AE}" pid="13" name="TaxKeyword">
    <vt:lpwstr/>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